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74DD1" w:rsidRPr="00560C4C" w:rsidP="00374DD1">
      <w:pPr>
        <w:spacing w:line="360" w:lineRule="auto"/>
        <w:jc w:val="center"/>
        <w:rPr>
          <w:rFonts w:ascii="Calibri" w:hAnsi="Calibri" w:cs="Calibri"/>
          <w:sz w:val="28"/>
          <w:szCs w:val="28"/>
        </w:rPr>
      </w:pPr>
      <w:bookmarkStart w:id="0" w:name="_5h0x5e9bekz1" w:colFirst="0" w:colLast="0"/>
      <w:bookmarkEnd w:id="0"/>
      <w:r w:rsidRPr="00560C4C">
        <w:rPr>
          <w:rFonts w:ascii="Calibri" w:hAnsi="Calibri" w:cs="Calibri"/>
          <w:sz w:val="28"/>
          <w:szCs w:val="28"/>
        </w:rPr>
        <w:t>Written evidence submitted by</w:t>
      </w:r>
      <w:r>
        <w:rPr>
          <w:rFonts w:ascii="Calibri" w:hAnsi="Calibri" w:cs="Calibri"/>
          <w:sz w:val="28"/>
          <w:szCs w:val="28"/>
        </w:rPr>
        <w:t xml:space="preserve"> </w:t>
      </w:r>
      <w:r w:rsidRPr="00374DD1">
        <w:rPr>
          <w:rFonts w:ascii="Calibri" w:hAnsi="Calibri" w:cs="Calibri"/>
          <w:sz w:val="28"/>
          <w:szCs w:val="28"/>
        </w:rPr>
        <w:t>Hleb Buziuk</w:t>
      </w:r>
    </w:p>
    <w:p w:rsidR="00FF2526">
      <w:pPr>
        <w:pStyle w:val="Heading2"/>
        <w:keepNext w:val="0"/>
        <w:keepLines w:val="0"/>
        <w:spacing w:after="80"/>
        <w:rPr>
          <w:b/>
          <w:bCs/>
          <w:sz w:val="26"/>
          <w:szCs w:val="26"/>
        </w:rPr>
      </w:pPr>
      <w:r>
        <w:rPr>
          <w:b/>
          <w:bCs/>
          <w:sz w:val="26"/>
          <w:szCs w:val="26"/>
        </w:rPr>
        <w:t>1) One-page briefing</w:t>
      </w:r>
    </w:p>
    <w:p w:rsidR="00FF2526">
      <w:pPr>
        <w:spacing w:before="240" w:after="240" w:line="240" w:lineRule="auto"/>
      </w:pPr>
      <w:r>
        <w:t>This evidence is submitted in a personal capacity by Hleb Buziuk, an independent public policy and governance researcher.</w:t>
      </w:r>
    </w:p>
    <w:p w:rsidR="00FF2526">
      <w:pPr>
        <w:spacing w:before="240" w:after="240" w:line="240" w:lineRule="auto"/>
        <w:rPr>
          <w:b/>
          <w:bCs/>
        </w:rPr>
      </w:pPr>
      <w:r>
        <w:rPr>
          <w:b/>
          <w:bCs/>
        </w:rPr>
        <w:t>Key messages</w:t>
      </w:r>
    </w:p>
    <w:p w:rsidR="00FF2526">
      <w:pPr>
        <w:numPr>
          <w:ilvl w:val="0"/>
          <w:numId w:val="20"/>
        </w:numPr>
        <w:spacing w:before="240" w:line="240" w:lineRule="auto"/>
      </w:pPr>
      <w:r>
        <w:t>Tourism policy should distinguish demand recovery from destination readiness. More visitors do not automatically mean longer stays, wider regional spend or stronger local capacity.</w:t>
      </w:r>
    </w:p>
    <w:p w:rsidR="00FF2526">
      <w:pPr>
        <w:numPr>
          <w:ilvl w:val="0"/>
          <w:numId w:val="20"/>
        </w:numPr>
        <w:spacing w:line="240" w:lineRule="auto"/>
      </w:pPr>
      <w:r>
        <w:t>Competitiveness is not only a branding question. It also depends on transport, digital access, bookable regional product, workforce stability and clear destination governance.</w:t>
      </w:r>
    </w:p>
    <w:p w:rsidR="00FF2526">
      <w:pPr>
        <w:numPr>
          <w:ilvl w:val="0"/>
          <w:numId w:val="20"/>
        </w:numPr>
        <w:spacing w:after="240" w:line="240" w:lineRule="auto"/>
      </w:pPr>
      <w:r>
        <w:t>Domestic tourism recovery should be judged in real operating terms, not only nominal spend.</w:t>
      </w:r>
    </w:p>
    <w:p w:rsidR="00FF2526">
      <w:pPr>
        <w:spacing w:before="240" w:after="240" w:line="240" w:lineRule="auto"/>
        <w:rPr>
          <w:b/>
          <w:bCs/>
        </w:rPr>
      </w:pPr>
      <w:r>
        <w:rPr>
          <w:b/>
          <w:bCs/>
        </w:rPr>
        <w:t>Key findings</w:t>
      </w:r>
    </w:p>
    <w:p w:rsidR="00FF2526">
      <w:pPr>
        <w:numPr>
          <w:ilvl w:val="0"/>
          <w:numId w:val="14"/>
        </w:numPr>
        <w:spacing w:before="240" w:line="240" w:lineRule="auto"/>
      </w:pPr>
      <w:r>
        <w:t>Inbound tourism has substantially recovered. Overseas residents made an estimated 42.6 million visits to the UK in 2024 and spent £32.5 billion. VisitBritain forecasts 45.5 million visits and £35.7 billion spend in 2026. However, European tourism nights also reached a record level in 2025, so UK performance should be compared carefully across visits, nights, spend and regional spread, not by one headline number [1][2][3].</w:t>
      </w:r>
    </w:p>
    <w:p w:rsidR="00FF2526">
      <w:pPr>
        <w:numPr>
          <w:ilvl w:val="0"/>
          <w:numId w:val="14"/>
        </w:numPr>
        <w:spacing w:line="240" w:lineRule="auto"/>
      </w:pPr>
      <w:r>
        <w:t>The main implementation risk is weak conversion. Promotion may bring attention, but local destination bodies, digital access and regional readiness determine whether demand becomes longer stays and spend outside already-strong circuits [4][5].</w:t>
      </w:r>
    </w:p>
    <w:p w:rsidR="00FF2526">
      <w:pPr>
        <w:numPr>
          <w:ilvl w:val="0"/>
          <w:numId w:val="14"/>
        </w:numPr>
        <w:spacing w:line="240" w:lineRule="auto"/>
      </w:pPr>
      <w:r>
        <w:t>Domestic recovery is mixed. In England in 2024, overnight trip volume fell while spend rose, and day-visit volume also fell while spend rose. April 2026 sentiment data still identify affordability barriers, and hospitality sector evidence reports margin, jobs and hours pressure. The sector evidence is testimony and should be used as an operating-risk signal, not prevalence evidence [6][7][8][9].</w:t>
      </w:r>
    </w:p>
    <w:p w:rsidR="00FF2526">
      <w:pPr>
        <w:numPr>
          <w:ilvl w:val="0"/>
          <w:numId w:val="14"/>
        </w:numPr>
        <w:spacing w:after="240" w:line="240" w:lineRule="auto"/>
      </w:pPr>
      <w:r>
        <w:t>If overnight visitor levy powers proceed, design matters more than the principle alone. Consultation, exemptions, collection responsibility, additionality and visible local reinvestment should be specified before implementation [10][11].</w:t>
      </w:r>
    </w:p>
    <w:p w:rsidR="00FF2526">
      <w:pPr>
        <w:spacing w:before="240" w:after="240" w:line="240" w:lineRule="auto"/>
      </w:pPr>
      <w:r>
        <w:rPr>
          <w:b/>
          <w:bCs/>
        </w:rPr>
        <w:t>Experience signal:</w:t>
      </w:r>
      <w:r>
        <w:t xml:space="preserve"> the recurring friction is affordability for households and delivery capacity for some businesses. This is a directional signal, not a measure of prevalence [8][9].</w:t>
      </w:r>
    </w:p>
    <w:p w:rsidR="00FF2526">
      <w:pPr>
        <w:spacing w:before="240" w:after="240" w:line="240" w:lineRule="auto"/>
        <w:rPr>
          <w:b/>
          <w:bCs/>
        </w:rPr>
      </w:pPr>
      <w:r>
        <w:rPr>
          <w:b/>
          <w:bCs/>
        </w:rPr>
        <w:t>Recommendations</w:t>
      </w:r>
    </w:p>
    <w:p w:rsidR="00FF2526">
      <w:pPr>
        <w:numPr>
          <w:ilvl w:val="0"/>
          <w:numId w:val="15"/>
        </w:numPr>
        <w:spacing w:before="240" w:line="240" w:lineRule="auto"/>
      </w:pPr>
      <w:r>
        <w:t>The Committee should ask DCMS, HMT and MHCLG to publish a compact tourism scorecard within six months of the Government response to this inquiry.</w:t>
      </w:r>
    </w:p>
    <w:p w:rsidR="00FF2526">
      <w:pPr>
        <w:numPr>
          <w:ilvl w:val="0"/>
          <w:numId w:val="15"/>
        </w:numPr>
        <w:spacing w:line="240" w:lineRule="auto"/>
      </w:pPr>
      <w:r>
        <w:t>DCMS and VisitEngland should state the intended end-state for England’s destination system, including coverage, core functions and funding expectations.</w:t>
      </w:r>
    </w:p>
    <w:p w:rsidR="00FF2526">
      <w:pPr>
        <w:numPr>
          <w:ilvl w:val="0"/>
          <w:numId w:val="15"/>
        </w:numPr>
        <w:spacing w:line="240" w:lineRule="auto"/>
      </w:pPr>
      <w:r>
        <w:t>If levy powers proceed, ministers should set minimum safeguards on additionality, exemptions, collection burden, reporting and review.</w:t>
      </w:r>
    </w:p>
    <w:p w:rsidR="00FF2526">
      <w:pPr>
        <w:numPr>
          <w:ilvl w:val="0"/>
          <w:numId w:val="15"/>
        </w:numPr>
        <w:spacing w:after="240" w:line="240" w:lineRule="auto"/>
      </w:pPr>
      <w:r>
        <w:t>DCMS should work with the Home Office and skills bodies on a tourism workforce transition note, because immigration and skills policy are now explicitly linked [12].</w:t>
      </w:r>
    </w:p>
    <w:p w:rsidR="00FF2526">
      <w:pPr>
        <w:spacing w:before="240" w:after="240" w:line="240" w:lineRule="auto"/>
        <w:rPr>
          <w:b/>
          <w:bCs/>
        </w:rPr>
      </w:pPr>
      <w:r>
        <w:rPr>
          <w:b/>
          <w:bCs/>
        </w:rPr>
        <w:t>What is new vs official sources</w:t>
      </w:r>
    </w:p>
    <w:p w:rsidR="00FF2526">
      <w:pPr>
        <w:numPr>
          <w:ilvl w:val="0"/>
          <w:numId w:val="16"/>
        </w:numPr>
        <w:spacing w:before="240" w:line="240" w:lineRule="auto"/>
      </w:pPr>
      <w:r>
        <w:t>A useful synthesis is that promotion can fail at the conversion stage if destination capacity and connectivity are not ready [1][4][5].</w:t>
      </w:r>
    </w:p>
    <w:p w:rsidR="00FF2526">
      <w:pPr>
        <w:numPr>
          <w:ilvl w:val="0"/>
          <w:numId w:val="16"/>
        </w:numPr>
        <w:spacing w:line="240" w:lineRule="auto"/>
      </w:pPr>
      <w:r>
        <w:t>A second failure mode is that nominal spend can rise while trip volume, margins and opening hours weaken [6][7][9].</w:t>
      </w:r>
    </w:p>
    <w:p w:rsidR="00FF2526">
      <w:pPr>
        <w:numPr>
          <w:ilvl w:val="0"/>
          <w:numId w:val="16"/>
        </w:numPr>
        <w:spacing w:after="240" w:line="240" w:lineRule="auto"/>
      </w:pPr>
      <w:r>
        <w:t>Heritage and attractions should be treated as itinerary and place-making assets, not only as stand-alone sites [13][14].</w:t>
      </w:r>
    </w:p>
    <w:p w:rsidR="00FF2526">
      <w:pPr>
        <w:spacing w:before="240" w:after="240" w:line="240" w:lineRule="auto"/>
      </w:pPr>
      <w:r>
        <w:t>Methods are summarised in section 3. Section 7 sets out proportionate evidence strengthening, and section 9 offers hearing questions.</w:t>
      </w:r>
    </w:p>
    <w:p w:rsidR="00FF2526">
      <w:pPr>
        <w:pStyle w:val="Heading2"/>
        <w:keepNext w:val="0"/>
        <w:keepLines w:val="0"/>
        <w:spacing w:after="80"/>
        <w:rPr>
          <w:b/>
          <w:bCs/>
          <w:sz w:val="26"/>
          <w:szCs w:val="26"/>
        </w:rPr>
      </w:pPr>
      <w:bookmarkStart w:id="1" w:name="_ar88dnhvsj0q" w:colFirst="0" w:colLast="0"/>
      <w:bookmarkEnd w:id="1"/>
      <w:r>
        <w:rPr>
          <w:b/>
          <w:bCs/>
          <w:sz w:val="26"/>
          <w:szCs w:val="26"/>
        </w:rPr>
        <w:t>2) About</w:t>
      </w:r>
    </w:p>
    <w:p w:rsidR="00FF2526">
      <w:pPr>
        <w:spacing w:before="240" w:after="240" w:line="240" w:lineRule="auto"/>
      </w:pPr>
      <w:r>
        <w:t>This submission is made in a personal capacity. It does not represent an employer, client or campaigning organisation. No personal, identifying or private case material is used.</w:t>
      </w:r>
    </w:p>
    <w:p w:rsidR="00FF2526">
      <w:pPr>
        <w:pStyle w:val="Heading2"/>
        <w:keepNext w:val="0"/>
        <w:keepLines w:val="0"/>
        <w:spacing w:after="80"/>
        <w:rPr>
          <w:b/>
          <w:bCs/>
          <w:sz w:val="26"/>
          <w:szCs w:val="26"/>
        </w:rPr>
      </w:pPr>
      <w:bookmarkStart w:id="2" w:name="_z9956hr6oiek" w:colFirst="0" w:colLast="0"/>
      <w:bookmarkEnd w:id="2"/>
      <w:r>
        <w:rPr>
          <w:b/>
          <w:bCs/>
          <w:sz w:val="26"/>
          <w:szCs w:val="26"/>
        </w:rPr>
        <w:t>3) Methods, sources, limitations</w:t>
      </w:r>
    </w:p>
    <w:p w:rsidR="00FF2526">
      <w:pPr>
        <w:spacing w:before="240" w:after="240" w:line="240" w:lineRule="auto"/>
      </w:pPr>
      <w:r>
        <w:t>This submission uses official statistics and public policy documents for performance and governance claims, and sector or stakeholder material only as testimony about delivery pressure. It separates three questions: what is happening to demand, what policy settings appear relevant, and what implementation conditions would make policy work.</w:t>
      </w:r>
    </w:p>
    <w:p w:rsidR="00FF2526">
      <w:pPr>
        <w:spacing w:before="240" w:after="240" w:line="240" w:lineRule="auto"/>
      </w:pPr>
      <w:r>
        <w:t>Some sources measure performance, such as visits, spend, nights and digital coverage. Some describe policy design, such as levy powers or destination-management architecture. Some describe implementation pressure, such as cost and workforce evidence. They should not be treated as interchangeable.</w:t>
      </w:r>
    </w:p>
    <w:p w:rsidR="00FF2526">
      <w:pPr>
        <w:spacing w:before="240" w:after="240" w:line="240" w:lineRule="auto"/>
      </w:pPr>
      <w:r>
        <w:t>Trade-body and agency evidence is useful but interest-bearing. It should inform questions about burden, feasibility and risk, not be used alone as proof of outcomes or prevalence. No narrative vignettes are used. No headline finding relies only on secondary committee narrative or testimony.</w:t>
      </w:r>
    </w:p>
    <w:p w:rsidR="00FF2526">
      <w:pPr>
        <w:pStyle w:val="Heading2"/>
        <w:keepNext w:val="0"/>
        <w:keepLines w:val="0"/>
        <w:spacing w:after="80"/>
        <w:rPr>
          <w:b/>
          <w:bCs/>
          <w:sz w:val="26"/>
          <w:szCs w:val="26"/>
        </w:rPr>
      </w:pPr>
      <w:bookmarkStart w:id="3" w:name="_cshespb36vvd" w:colFirst="0" w:colLast="0"/>
      <w:bookmarkEnd w:id="3"/>
      <w:r>
        <w:rPr>
          <w:b/>
          <w:bCs/>
          <w:sz w:val="26"/>
          <w:szCs w:val="26"/>
        </w:rPr>
        <w:t>4) Context</w:t>
      </w:r>
    </w:p>
    <w:p w:rsidR="00FF2526">
      <w:pPr>
        <w:spacing w:before="240" w:after="240" w:line="240" w:lineRule="auto"/>
      </w:pPr>
      <w:r>
        <w:t>The inquiry is UK-wide, but the policy levers are uneven. Inbound promotion, border policy and some workforce settings are UK-level. Destination management in England is being restructured through Local Visitor Economy Partnerships. Overnight visitor levy proposals in England sit alongside different devolved choices in Wales and Scotland. That means the Committee should ask both national performance questions and place-based implementation questions.</w:t>
      </w:r>
    </w:p>
    <w:p w:rsidR="00FF2526">
      <w:pPr>
        <w:pStyle w:val="Heading2"/>
        <w:keepNext w:val="0"/>
        <w:keepLines w:val="0"/>
        <w:spacing w:after="80"/>
        <w:rPr>
          <w:b/>
          <w:bCs/>
          <w:sz w:val="26"/>
          <w:szCs w:val="26"/>
        </w:rPr>
      </w:pPr>
      <w:bookmarkStart w:id="4" w:name="_cht5qw19ip76" w:colFirst="0" w:colLast="0"/>
      <w:bookmarkEnd w:id="4"/>
      <w:r>
        <w:rPr>
          <w:b/>
          <w:bCs/>
          <w:sz w:val="26"/>
          <w:szCs w:val="26"/>
        </w:rPr>
        <w:t>5) Evidence mapped to theme clusters</w:t>
      </w:r>
    </w:p>
    <w:p w:rsidR="00FF2526">
      <w:pPr>
        <w:pStyle w:val="Heading3"/>
        <w:keepNext w:val="0"/>
        <w:keepLines w:val="0"/>
        <w:spacing w:before="280"/>
        <w:rPr>
          <w:b/>
          <w:bCs/>
          <w:color w:val="000000"/>
          <w:sz w:val="24"/>
          <w:szCs w:val="24"/>
        </w:rPr>
      </w:pPr>
      <w:bookmarkStart w:id="5" w:name="_u3b2t37kpdzc" w:colFirst="0" w:colLast="0"/>
      <w:bookmarkEnd w:id="5"/>
      <w:r>
        <w:rPr>
          <w:b/>
          <w:bCs/>
          <w:color w:val="000000"/>
          <w:sz w:val="24"/>
          <w:szCs w:val="24"/>
        </w:rPr>
        <w:t>5.1 International competitiveness and demand conversion</w:t>
      </w:r>
    </w:p>
    <w:p w:rsidR="00FF2526">
      <w:pPr>
        <w:spacing w:before="240" w:after="240" w:line="240" w:lineRule="auto"/>
      </w:pPr>
      <w:r>
        <w:t>The UK’s international question should not be framed only as whether enough people know about Britain. The test is whether awareness converts into longer stays, real spend and wider regional benefits. The 2024 inbound estimates and the 2026 VisitBritain forecast show recovery and expected growth, but peer comparison is complex because European accommodation-night data measure something different [1][2][3].</w:t>
      </w:r>
    </w:p>
    <w:p w:rsidR="00FF2526">
      <w:pPr>
        <w:numPr>
          <w:ilvl w:val="0"/>
          <w:numId w:val="18"/>
        </w:numPr>
        <w:spacing w:before="240" w:line="240" w:lineRule="auto"/>
      </w:pPr>
      <w:r>
        <w:t>Use a conversion frame: visits, nights, spend per visit, off-peak demand and spend outside the strongest gateways.</w:t>
      </w:r>
    </w:p>
    <w:p w:rsidR="00FF2526">
      <w:pPr>
        <w:numPr>
          <w:ilvl w:val="0"/>
          <w:numId w:val="18"/>
        </w:numPr>
        <w:spacing w:line="240" w:lineRule="auto"/>
      </w:pPr>
      <w:r>
        <w:t>Treat promotion, visa and price issues alongside local product, transport and digital readiness.</w:t>
      </w:r>
    </w:p>
    <w:p w:rsidR="00FF2526">
      <w:pPr>
        <w:numPr>
          <w:ilvl w:val="0"/>
          <w:numId w:val="18"/>
        </w:numPr>
        <w:spacing w:line="240" w:lineRule="auto"/>
      </w:pPr>
      <w:r>
        <w:t>Design parameter: link campaigns to regional bookability and partner readiness.</w:t>
      </w:r>
    </w:p>
    <w:p w:rsidR="00FF2526">
      <w:pPr>
        <w:numPr>
          <w:ilvl w:val="0"/>
          <w:numId w:val="18"/>
        </w:numPr>
        <w:spacing w:line="240" w:lineRule="auto"/>
      </w:pPr>
      <w:r>
        <w:t>Conditions and failure modes: demand may concentrate in mature destinations; weaker digital or transport access may reduce dispersal.</w:t>
      </w:r>
    </w:p>
    <w:p w:rsidR="00FF2526">
      <w:pPr>
        <w:numPr>
          <w:ilvl w:val="0"/>
          <w:numId w:val="18"/>
        </w:numPr>
        <w:spacing w:after="240" w:line="240" w:lineRule="auto"/>
      </w:pPr>
      <w:r>
        <w:t>Equity consequence: places with lower institutional capacity may benefit least from national demand growth.</w:t>
      </w:r>
    </w:p>
    <w:p w:rsidR="00FF2526">
      <w:pPr>
        <w:pStyle w:val="Heading3"/>
        <w:keepNext w:val="0"/>
        <w:keepLines w:val="0"/>
        <w:spacing w:before="280"/>
        <w:rPr>
          <w:b/>
          <w:bCs/>
          <w:color w:val="000000"/>
          <w:sz w:val="24"/>
          <w:szCs w:val="24"/>
        </w:rPr>
      </w:pPr>
      <w:bookmarkStart w:id="6" w:name="_enmpexydevgj" w:colFirst="0" w:colLast="0"/>
      <w:bookmarkEnd w:id="6"/>
      <w:r>
        <w:rPr>
          <w:b/>
          <w:bCs/>
          <w:color w:val="000000"/>
          <w:sz w:val="24"/>
          <w:szCs w:val="24"/>
        </w:rPr>
        <w:t>5.2 Governance, destination management and devolution</w:t>
      </w:r>
    </w:p>
    <w:p w:rsidR="00FF2526">
      <w:pPr>
        <w:spacing w:before="240" w:after="240" w:line="240" w:lineRule="auto"/>
      </w:pPr>
      <w:r>
        <w:t>England’s destination system is still settling. Local Visitor Economy Partnerships are intended to lead, market and manage destinations, but maturity varies. Levy powers would add a new fiscal instrument into that system. This is not an argument against a levy. It is an argument for specifying the administrative model before relying on levy income as a tourism-growth tool [4][10][11].</w:t>
      </w:r>
    </w:p>
    <w:p w:rsidR="00FF2526">
      <w:pPr>
        <w:numPr>
          <w:ilvl w:val="0"/>
          <w:numId w:val="12"/>
        </w:numPr>
        <w:spacing w:before="240" w:line="240" w:lineRule="auto"/>
      </w:pPr>
      <w:r>
        <w:t>Design parameter: specify geography, duties, consultation, rate basis, exemptions, collection, additionality and reporting.</w:t>
      </w:r>
    </w:p>
    <w:p w:rsidR="00FF2526">
      <w:pPr>
        <w:numPr>
          <w:ilvl w:val="0"/>
          <w:numId w:val="12"/>
        </w:numPr>
        <w:spacing w:line="240" w:lineRule="auto"/>
      </w:pPr>
      <w:r>
        <w:t>Conditions and failure modes: a levy can strengthen local investment if visible and additional; it can weaken legitimacy if administration is high or income substitutes for existing spending.</w:t>
      </w:r>
    </w:p>
    <w:p w:rsidR="00FF2526">
      <w:pPr>
        <w:numPr>
          <w:ilvl w:val="0"/>
          <w:numId w:val="12"/>
        </w:numPr>
        <w:spacing w:line="240" w:lineRule="auto"/>
      </w:pPr>
      <w:r>
        <w:t>Equity consequence: fixed and percentage approaches affect low-price accommodation, families, business travel and micro-providers differently.</w:t>
      </w:r>
    </w:p>
    <w:p w:rsidR="00FF2526">
      <w:pPr>
        <w:numPr>
          <w:ilvl w:val="0"/>
          <w:numId w:val="12"/>
        </w:numPr>
        <w:spacing w:line="240" w:lineRule="auto"/>
      </w:pPr>
      <w:r>
        <w:t>Counterpoint: local areas may need tools to manage visitor pressure and invest in visitor infrastructure, but national rules should prevent avoidable complexity.</w:t>
      </w:r>
    </w:p>
    <w:p w:rsidR="00FF2526">
      <w:pPr>
        <w:numPr>
          <w:ilvl w:val="0"/>
          <w:numId w:val="12"/>
        </w:numPr>
        <w:spacing w:after="240" w:line="240" w:lineRule="auto"/>
      </w:pPr>
      <w:r>
        <w:t>Gap + test: a responsible judgement on whether the reformed English destination-management model is improving regional spread is blocked until outcomes are reported against coverage, investment and productivity.</w:t>
      </w:r>
    </w:p>
    <w:p w:rsidR="00FF2526">
      <w:pPr>
        <w:pStyle w:val="Heading3"/>
        <w:keepNext w:val="0"/>
        <w:keepLines w:val="0"/>
        <w:spacing w:before="280"/>
        <w:rPr>
          <w:b/>
          <w:bCs/>
          <w:color w:val="000000"/>
          <w:sz w:val="24"/>
          <w:szCs w:val="24"/>
        </w:rPr>
      </w:pPr>
      <w:bookmarkStart w:id="7" w:name="_gxhuj542rc70" w:colFirst="0" w:colLast="0"/>
      <w:bookmarkEnd w:id="7"/>
      <w:r>
        <w:rPr>
          <w:b/>
          <w:bCs/>
          <w:color w:val="000000"/>
          <w:sz w:val="24"/>
          <w:szCs w:val="24"/>
        </w:rPr>
        <w:t>5.3 Investment, infrastructure and regional spread</w:t>
      </w:r>
    </w:p>
    <w:p w:rsidR="00FF2526">
      <w:pPr>
        <w:spacing w:before="240" w:after="240" w:line="240" w:lineRule="auto"/>
      </w:pPr>
      <w:r>
        <w:t>Regional growth depends on more than attracting attention. It requires practical capacity: local coordination, routes, digital coverage, cultural infrastructure and year-round trading. Ofcom reports annual progress on broadband and mobile availability, but this is infrastructure context, not tourism-specific outcome evidence. The tourism question is whether places can turn connectivity into visitor services, bookable products and productivity [5].</w:t>
      </w:r>
    </w:p>
    <w:p w:rsidR="00FF2526">
      <w:pPr>
        <w:numPr>
          <w:ilvl w:val="0"/>
          <w:numId w:val="3"/>
        </w:numPr>
        <w:spacing w:before="240" w:line="240" w:lineRule="auto"/>
      </w:pPr>
      <w:r>
        <w:t>Design parameter: treat place readiness as a bundle, not a single grant line.</w:t>
      </w:r>
    </w:p>
    <w:p w:rsidR="00FF2526">
      <w:pPr>
        <w:numPr>
          <w:ilvl w:val="0"/>
          <w:numId w:val="3"/>
        </w:numPr>
        <w:spacing w:line="240" w:lineRule="auto"/>
      </w:pPr>
      <w:r>
        <w:t>Conditions and failure modes: investment will not spread evenly unless destination bodies can assemble projects, coordinate partners and reduce investor uncertainty.</w:t>
      </w:r>
    </w:p>
    <w:p w:rsidR="00FF2526">
      <w:pPr>
        <w:numPr>
          <w:ilvl w:val="0"/>
          <w:numId w:val="3"/>
        </w:numPr>
        <w:spacing w:line="240" w:lineRule="auto"/>
      </w:pPr>
      <w:r>
        <w:t>Coastal and rural places may need different sequencing: basic access and season extension before major new demand stimulation.</w:t>
      </w:r>
    </w:p>
    <w:p w:rsidR="00FF2526">
      <w:pPr>
        <w:numPr>
          <w:ilvl w:val="0"/>
          <w:numId w:val="3"/>
        </w:numPr>
        <w:spacing w:line="240" w:lineRule="auto"/>
      </w:pPr>
      <w:r>
        <w:t>Equity consequence: places with weaker councils, fewer anchor institutions or seasonal labour markets may need more facilitation.</w:t>
      </w:r>
    </w:p>
    <w:p w:rsidR="00FF2526">
      <w:pPr>
        <w:numPr>
          <w:ilvl w:val="0"/>
          <w:numId w:val="3"/>
        </w:numPr>
        <w:spacing w:after="240" w:line="240" w:lineRule="auto"/>
      </w:pPr>
      <w:r>
        <w:t>Counterpoint: dispersal should not mean weakening high-performing gateways; it should build routes from gateways into wider itineraries.</w:t>
      </w:r>
    </w:p>
    <w:p w:rsidR="00FF2526">
      <w:pPr>
        <w:pStyle w:val="Heading3"/>
        <w:keepNext w:val="0"/>
        <w:keepLines w:val="0"/>
        <w:spacing w:before="280"/>
        <w:rPr>
          <w:b/>
          <w:bCs/>
          <w:color w:val="000000"/>
          <w:sz w:val="24"/>
          <w:szCs w:val="24"/>
        </w:rPr>
      </w:pPr>
      <w:bookmarkStart w:id="8" w:name="_jizwp4t8yjvs" w:colFirst="0" w:colLast="0"/>
      <w:bookmarkEnd w:id="8"/>
      <w:r>
        <w:rPr>
          <w:b/>
          <w:bCs/>
          <w:color w:val="000000"/>
          <w:sz w:val="24"/>
          <w:szCs w:val="24"/>
        </w:rPr>
        <w:t>5.4 Recovery, domestic demand and business viability</w:t>
      </w:r>
    </w:p>
    <w:p w:rsidR="00FF2526">
      <w:pPr>
        <w:spacing w:before="240" w:after="240" w:line="240" w:lineRule="auto"/>
      </w:pPr>
      <w:r>
        <w:t xml:space="preserve">Domestic demand remains fragile. England’s domestic overnight trips fell by 10% in 2024 compared with 2023, while spend rose by 5%. Domestic day-visit volume fell by 12%, while </w:t>
      </w:r>
      <w:r>
        <w:t>spend rose by 6%. The April 2026 sentiment tracker still identifies affordability and weather as leading barriers to domestic overnight trips. Hospitality survey evidence reports businesses operating at a loss and cutting jobs or hours, but this should be treated as sector testimony rather than whole-economy prevalence [6][7][8][9].</w:t>
      </w:r>
    </w:p>
    <w:p w:rsidR="00FF2526">
      <w:pPr>
        <w:numPr>
          <w:ilvl w:val="0"/>
          <w:numId w:val="22"/>
        </w:numPr>
        <w:spacing w:before="240" w:line="240" w:lineRule="auto"/>
      </w:pPr>
      <w:r>
        <w:t>Design parameter: measure recovery by volume, real spend, margin pressure, opening days and off-peak occupancy.</w:t>
      </w:r>
    </w:p>
    <w:p w:rsidR="00FF2526">
      <w:pPr>
        <w:numPr>
          <w:ilvl w:val="0"/>
          <w:numId w:val="22"/>
        </w:numPr>
        <w:spacing w:line="240" w:lineRule="auto"/>
      </w:pPr>
      <w:r>
        <w:t>Conditions and failure modes: nominal spend can rise because trips are more expensive, not because households or operators are better off.</w:t>
      </w:r>
    </w:p>
    <w:p w:rsidR="00FF2526">
      <w:pPr>
        <w:numPr>
          <w:ilvl w:val="0"/>
          <w:numId w:val="22"/>
        </w:numPr>
        <w:spacing w:line="240" w:lineRule="auto"/>
      </w:pPr>
      <w:r>
        <w:t>Targeted intervention should favour off-peak, bookable packages and transport-linked demand, rather than untargeted promotion.</w:t>
      </w:r>
    </w:p>
    <w:p w:rsidR="00FF2526">
      <w:pPr>
        <w:numPr>
          <w:ilvl w:val="0"/>
          <w:numId w:val="22"/>
        </w:numPr>
        <w:spacing w:after="240" w:line="240" w:lineRule="auto"/>
      </w:pPr>
      <w:r>
        <w:t>Equity consequence: lower-income households and lower-margin operators are likely to be more exposed to affordability and cost pressures.</w:t>
      </w:r>
    </w:p>
    <w:p w:rsidR="00FF2526">
      <w:pPr>
        <w:pStyle w:val="Heading3"/>
        <w:keepNext w:val="0"/>
        <w:keepLines w:val="0"/>
        <w:spacing w:before="280"/>
        <w:rPr>
          <w:b/>
          <w:bCs/>
          <w:color w:val="000000"/>
          <w:sz w:val="24"/>
          <w:szCs w:val="24"/>
        </w:rPr>
      </w:pPr>
      <w:bookmarkStart w:id="9" w:name="_tbn9x4kviq7u" w:colFirst="0" w:colLast="0"/>
      <w:bookmarkEnd w:id="9"/>
      <w:r>
        <w:rPr>
          <w:b/>
          <w:bCs/>
          <w:color w:val="000000"/>
          <w:sz w:val="24"/>
          <w:szCs w:val="24"/>
        </w:rPr>
        <w:t>5.5 Workforce, heritage and community value</w:t>
      </w:r>
    </w:p>
    <w:p w:rsidR="00FF2526">
      <w:pPr>
        <w:spacing w:before="240" w:after="240" w:line="240" w:lineRule="auto"/>
      </w:pPr>
      <w:r>
        <w:t>Tourism depends on people and place assets. The Government’s economy-wide immigration white paper links immigration, skills and visas to growing the domestic workforce and reducing reliance on overseas labour. For tourism, the policy risk is sequencing: labour restrictions and employment-cost changes may take effect faster than recruitment, training and transport-to-work solutions [12].</w:t>
      </w:r>
    </w:p>
    <w:p w:rsidR="00FF2526">
      <w:pPr>
        <w:spacing w:before="240" w:after="240" w:line="240" w:lineRule="auto"/>
      </w:pPr>
      <w:r>
        <w:t>At the same time, attractions and heritage remain central demand drivers. England attractions reported modest visit growth in 2024 but remained below 2019 levels, while heritage evidence shows the visitor economy value of historic places [13][14].</w:t>
      </w:r>
    </w:p>
    <w:p w:rsidR="00FF2526">
      <w:pPr>
        <w:numPr>
          <w:ilvl w:val="0"/>
          <w:numId w:val="21"/>
        </w:numPr>
        <w:spacing w:before="240" w:line="240" w:lineRule="auto"/>
      </w:pPr>
      <w:r>
        <w:t>Design parameter: align workforce transition, heritage stewardship and local product development.</w:t>
      </w:r>
    </w:p>
    <w:p w:rsidR="00FF2526">
      <w:pPr>
        <w:numPr>
          <w:ilvl w:val="0"/>
          <w:numId w:val="21"/>
        </w:numPr>
        <w:spacing w:line="240" w:lineRule="auto"/>
      </w:pPr>
      <w:r>
        <w:t>Conditions and failure modes: if staffing weakens, service quality and opening hours can deteriorate before demand visibly falls.</w:t>
      </w:r>
    </w:p>
    <w:p w:rsidR="00FF2526">
      <w:pPr>
        <w:numPr>
          <w:ilvl w:val="0"/>
          <w:numId w:val="21"/>
        </w:numPr>
        <w:spacing w:line="240" w:lineRule="auto"/>
      </w:pPr>
      <w:r>
        <w:t>Heritage and creative assets work best when linked to itineraries, evening economy, accessibility and local spend capture.</w:t>
      </w:r>
    </w:p>
    <w:p w:rsidR="00FF2526">
      <w:pPr>
        <w:numPr>
          <w:ilvl w:val="0"/>
          <w:numId w:val="21"/>
        </w:numPr>
        <w:spacing w:after="240" w:line="240" w:lineRule="auto"/>
      </w:pPr>
      <w:r>
        <w:t>Equity consequence: young workers, seasonal workers and destinations with thin labour markets may bear transition risks.</w:t>
      </w:r>
    </w:p>
    <w:p w:rsidR="00FF2526">
      <w:pPr>
        <w:pStyle w:val="Heading2"/>
        <w:keepNext w:val="0"/>
        <w:keepLines w:val="0"/>
        <w:spacing w:after="80"/>
        <w:rPr>
          <w:b/>
          <w:bCs/>
          <w:sz w:val="26"/>
          <w:szCs w:val="26"/>
        </w:rPr>
      </w:pPr>
      <w:bookmarkStart w:id="10" w:name="_478aiwhs633x" w:colFirst="0" w:colLast="0"/>
      <w:bookmarkEnd w:id="10"/>
      <w:r>
        <w:rPr>
          <w:b/>
          <w:bCs/>
          <w:sz w:val="26"/>
          <w:szCs w:val="26"/>
        </w:rPr>
        <w:t>6) Recommendations</w:t>
      </w:r>
    </w:p>
    <w:p w:rsidR="00FF2526">
      <w:pPr>
        <w:spacing w:before="240" w:after="240" w:line="240" w:lineRule="auto"/>
        <w:rPr>
          <w:b/>
          <w:bCs/>
        </w:rPr>
      </w:pPr>
      <w:r>
        <w:rPr>
          <w:b/>
          <w:bCs/>
        </w:rPr>
        <w:t>Committee levers</w:t>
      </w:r>
    </w:p>
    <w:p w:rsidR="00FF2526">
      <w:pPr>
        <w:numPr>
          <w:ilvl w:val="0"/>
          <w:numId w:val="19"/>
        </w:numPr>
        <w:spacing w:before="240" w:line="240" w:lineRule="auto"/>
      </w:pPr>
      <w:r>
        <w:t>Ask ministers to define recovery using volume, real spend, regional spread, workforce pressure and business viability, not nominal spend alone.</w:t>
      </w:r>
    </w:p>
    <w:p w:rsidR="00FF2526">
      <w:pPr>
        <w:numPr>
          <w:ilvl w:val="0"/>
          <w:numId w:val="19"/>
        </w:numPr>
        <w:spacing w:line="240" w:lineRule="auto"/>
      </w:pPr>
      <w:r>
        <w:t>Ask DCMS and VisitEngland to set out the end-state for England’s destination-management system: coverage, core functions, funding expectations and accountability.</w:t>
      </w:r>
    </w:p>
    <w:p w:rsidR="00FF2526">
      <w:pPr>
        <w:numPr>
          <w:ilvl w:val="0"/>
          <w:numId w:val="19"/>
        </w:numPr>
        <w:spacing w:after="240" w:line="240" w:lineRule="auto"/>
      </w:pPr>
      <w:r>
        <w:t>Ask the Government to publish minimum safeguards for any overnight visitor levy: consultation, exemptions, simple collection, local additionality, annual reporting and review.</w:t>
      </w:r>
    </w:p>
    <w:p w:rsidR="00FF2526">
      <w:pPr>
        <w:spacing w:before="240" w:after="240" w:line="240" w:lineRule="auto"/>
        <w:rPr>
          <w:b/>
          <w:bCs/>
        </w:rPr>
      </w:pPr>
      <w:r>
        <w:rPr>
          <w:b/>
          <w:bCs/>
        </w:rPr>
        <w:t>Delivery actions</w:t>
      </w:r>
    </w:p>
    <w:p w:rsidR="00FF2526">
      <w:pPr>
        <w:numPr>
          <w:ilvl w:val="0"/>
          <w:numId w:val="5"/>
        </w:numPr>
        <w:spacing w:before="240" w:line="240" w:lineRule="auto"/>
      </w:pPr>
      <w:r>
        <w:t>VisitBritain and VisitEngland should align campaigns with regional conversion plans: target market, itinerary, partner readiness, transport and digital access.</w:t>
      </w:r>
    </w:p>
    <w:p w:rsidR="00FF2526">
      <w:pPr>
        <w:numPr>
          <w:ilvl w:val="0"/>
          <w:numId w:val="5"/>
        </w:numPr>
        <w:spacing w:line="240" w:lineRule="auto"/>
      </w:pPr>
      <w:r>
        <w:t>DCMS, the Home Office and skills bodies should produce a tourism workforce transition note covering seasonal demand, first-job routes, training capacity and migration changes.</w:t>
      </w:r>
    </w:p>
    <w:p w:rsidR="00FF2526">
      <w:pPr>
        <w:numPr>
          <w:ilvl w:val="0"/>
          <w:numId w:val="5"/>
        </w:numPr>
        <w:spacing w:after="240" w:line="240" w:lineRule="auto"/>
      </w:pPr>
      <w:r>
        <w:t>Local and mayoral authorities should use levy proceeds, where introduced, or other investment proceeds for visible visitor and resident benefits, such as access, public realm, culture, signage and year-round product.</w:t>
      </w:r>
    </w:p>
    <w:p w:rsidR="00FF2526">
      <w:pPr>
        <w:spacing w:before="240" w:after="240" w:line="240" w:lineRule="auto"/>
        <w:rPr>
          <w:b/>
          <w:bCs/>
        </w:rPr>
      </w:pPr>
      <w:r>
        <w:rPr>
          <w:b/>
          <w:bCs/>
        </w:rPr>
        <w:t>Sequencing</w:t>
      </w:r>
    </w:p>
    <w:p w:rsidR="00FF2526">
      <w:pPr>
        <w:numPr>
          <w:ilvl w:val="0"/>
          <w:numId w:val="7"/>
        </w:numPr>
        <w:spacing w:before="240" w:line="240" w:lineRule="auto"/>
      </w:pPr>
      <w:r>
        <w:t>First define the baseline and destination-system roles.</w:t>
      </w:r>
    </w:p>
    <w:p w:rsidR="00FF2526">
      <w:pPr>
        <w:numPr>
          <w:ilvl w:val="0"/>
          <w:numId w:val="7"/>
        </w:numPr>
        <w:spacing w:line="240" w:lineRule="auto"/>
      </w:pPr>
      <w:r>
        <w:t>Then test levy design and administrative burden before implementation.</w:t>
      </w:r>
    </w:p>
    <w:p w:rsidR="00FF2526">
      <w:pPr>
        <w:numPr>
          <w:ilvl w:val="0"/>
          <w:numId w:val="7"/>
        </w:numPr>
        <w:spacing w:after="240" w:line="240" w:lineRule="auto"/>
      </w:pPr>
      <w:r>
        <w:t>Then scale demand stimulation where places can convert visits into local value.</w:t>
      </w:r>
    </w:p>
    <w:p w:rsidR="00FF2526">
      <w:pPr>
        <w:spacing w:before="240" w:after="240" w:line="240" w:lineRule="auto"/>
        <w:rPr>
          <w:b/>
          <w:bCs/>
        </w:rPr>
      </w:pPr>
      <w:r>
        <w:rPr>
          <w:b/>
          <w:bCs/>
        </w:rPr>
        <w:t>Trade-offs and safeguards</w:t>
      </w:r>
    </w:p>
    <w:p w:rsidR="00FF2526">
      <w:pPr>
        <w:numPr>
          <w:ilvl w:val="0"/>
          <w:numId w:val="8"/>
        </w:numPr>
        <w:spacing w:before="240" w:line="240" w:lineRule="auto"/>
      </w:pPr>
      <w:r>
        <w:t>Levy powers may provide local funding, but weak design risks new administrative costs and price pressure.</w:t>
      </w:r>
    </w:p>
    <w:p w:rsidR="00FF2526">
      <w:pPr>
        <w:numPr>
          <w:ilvl w:val="0"/>
          <w:numId w:val="8"/>
        </w:numPr>
        <w:spacing w:line="240" w:lineRule="auto"/>
      </w:pPr>
      <w:r>
        <w:t>Destination-system consolidation may improve clarity, but only if local voice and small-business access are protected.</w:t>
      </w:r>
    </w:p>
    <w:p w:rsidR="00FF2526">
      <w:pPr>
        <w:numPr>
          <w:ilvl w:val="0"/>
          <w:numId w:val="8"/>
        </w:numPr>
        <w:spacing w:after="240" w:line="240" w:lineRule="auto"/>
      </w:pPr>
      <w:r>
        <w:t>Regional dispersal is desirable, but it should not ignore residents’ tolerance, housing pressure or environmental limits.</w:t>
      </w:r>
    </w:p>
    <w:p w:rsidR="00FF2526">
      <w:pPr>
        <w:pStyle w:val="Heading2"/>
        <w:keepNext w:val="0"/>
        <w:keepLines w:val="0"/>
        <w:spacing w:after="80"/>
        <w:rPr>
          <w:b/>
          <w:bCs/>
          <w:sz w:val="26"/>
          <w:szCs w:val="26"/>
        </w:rPr>
      </w:pPr>
      <w:bookmarkStart w:id="11" w:name="_uh2el5glk5r2" w:colFirst="0" w:colLast="0"/>
      <w:bookmarkEnd w:id="11"/>
      <w:r>
        <w:rPr>
          <w:b/>
          <w:bCs/>
          <w:sz w:val="26"/>
          <w:szCs w:val="26"/>
        </w:rPr>
        <w:t>7) Learning and evidence strengthening (proportional)</w:t>
      </w:r>
    </w:p>
    <w:p w:rsidR="00FF2526">
      <w:pPr>
        <w:spacing w:before="240" w:after="240" w:line="240" w:lineRule="auto"/>
        <w:rPr>
          <w:b/>
          <w:bCs/>
        </w:rPr>
      </w:pPr>
      <w:r>
        <w:rPr>
          <w:b/>
          <w:bCs/>
        </w:rPr>
        <w:t>Suggested indicators</w:t>
      </w:r>
    </w:p>
    <w:p w:rsidR="00FF2526">
      <w:pPr>
        <w:numPr>
          <w:ilvl w:val="0"/>
          <w:numId w:val="13"/>
        </w:numPr>
        <w:spacing w:before="240" w:line="240" w:lineRule="auto"/>
      </w:pPr>
      <w:r>
        <w:t>Inbound visits, spend and nights, with regional spread and off-peak profile.</w:t>
      </w:r>
    </w:p>
    <w:p w:rsidR="00FF2526">
      <w:pPr>
        <w:numPr>
          <w:ilvl w:val="0"/>
          <w:numId w:val="13"/>
        </w:numPr>
        <w:spacing w:line="240" w:lineRule="auto"/>
      </w:pPr>
      <w:r>
        <w:t>Domestic overnight trips, day visits, real spend and off-peak occupancy by place type.</w:t>
      </w:r>
    </w:p>
    <w:p w:rsidR="00FF2526">
      <w:pPr>
        <w:numPr>
          <w:ilvl w:val="0"/>
          <w:numId w:val="13"/>
        </w:numPr>
        <w:spacing w:after="240" w:line="240" w:lineRule="auto"/>
      </w:pPr>
      <w:r>
        <w:t>Workforce and service-capacity indicators, such as hard-to-fill vacancies, opening hours or opening days where available.</w:t>
      </w:r>
    </w:p>
    <w:p w:rsidR="00FF2526">
      <w:pPr>
        <w:spacing w:before="240" w:after="240" w:line="240" w:lineRule="auto"/>
        <w:rPr>
          <w:b/>
          <w:bCs/>
        </w:rPr>
      </w:pPr>
      <w:r>
        <w:rPr>
          <w:b/>
          <w:bCs/>
        </w:rPr>
        <w:t>Targeted evidence strengthening</w:t>
      </w:r>
    </w:p>
    <w:p w:rsidR="00FF2526">
      <w:pPr>
        <w:numPr>
          <w:ilvl w:val="0"/>
          <w:numId w:val="6"/>
        </w:numPr>
        <w:spacing w:before="240" w:line="240" w:lineRule="auto"/>
      </w:pPr>
      <w:r>
        <w:t>Publish a peer and market-to-region note testing how much of the competitiveness gap is price or entry friction, and how much is destination readiness.</w:t>
      </w:r>
    </w:p>
    <w:p w:rsidR="00FF2526">
      <w:pPr>
        <w:numPr>
          <w:ilvl w:val="0"/>
          <w:numId w:val="6"/>
        </w:numPr>
        <w:spacing w:line="240" w:lineRule="auto"/>
      </w:pPr>
      <w:r>
        <w:t>Map Local Visitor Economy Partnership coverage, funding and core functions.</w:t>
      </w:r>
    </w:p>
    <w:p w:rsidR="00FF2526">
      <w:pPr>
        <w:numPr>
          <w:ilvl w:val="0"/>
          <w:numId w:val="6"/>
        </w:numPr>
        <w:spacing w:line="240" w:lineRule="auto"/>
      </w:pPr>
      <w:r>
        <w:t>Add coastal, rural and urban place-type analysis to domestic tourism reporting.</w:t>
      </w:r>
    </w:p>
    <w:p w:rsidR="00FF2526">
      <w:pPr>
        <w:numPr>
          <w:ilvl w:val="0"/>
          <w:numId w:val="6"/>
        </w:numPr>
        <w:spacing w:line="240" w:lineRule="auto"/>
      </w:pPr>
      <w:r>
        <w:t>Test expected levy administration cost and additionality safeguards by provider type.</w:t>
      </w:r>
    </w:p>
    <w:p w:rsidR="00FF2526">
      <w:pPr>
        <w:numPr>
          <w:ilvl w:val="0"/>
          <w:numId w:val="6"/>
        </w:numPr>
        <w:spacing w:after="240" w:line="240" w:lineRule="auto"/>
      </w:pPr>
      <w:r>
        <w:t>Produce a tourism-occupation note on immigration eligibility, local recruitment and training pathways.</w:t>
      </w:r>
    </w:p>
    <w:p w:rsidR="00FF2526">
      <w:pPr>
        <w:pStyle w:val="Heading2"/>
        <w:keepNext w:val="0"/>
        <w:keepLines w:val="0"/>
        <w:spacing w:after="80"/>
        <w:rPr>
          <w:b/>
          <w:bCs/>
          <w:sz w:val="26"/>
          <w:szCs w:val="26"/>
        </w:rPr>
      </w:pPr>
      <w:bookmarkStart w:id="12" w:name="_gd978kn4i9tu" w:colFirst="0" w:colLast="0"/>
      <w:bookmarkEnd w:id="12"/>
      <w:r>
        <w:rPr>
          <w:b/>
          <w:bCs/>
          <w:sz w:val="26"/>
          <w:szCs w:val="26"/>
        </w:rPr>
        <w:t>8) Policy logic model + design parameters recap + dependencies + ethics</w:t>
      </w:r>
    </w:p>
    <w:p w:rsidR="00FF2526">
      <w:pPr>
        <w:spacing w:before="240" w:after="240" w:line="240" w:lineRule="auto"/>
        <w:rPr>
          <w:b/>
          <w:bCs/>
        </w:rPr>
      </w:pPr>
      <w:r>
        <w:rPr>
          <w:b/>
          <w:bCs/>
        </w:rPr>
        <w:t>Policy logic</w:t>
      </w:r>
    </w:p>
    <w:p w:rsidR="00FF2526">
      <w:pPr>
        <w:numPr>
          <w:ilvl w:val="0"/>
          <w:numId w:val="10"/>
        </w:numPr>
        <w:spacing w:before="240" w:line="240" w:lineRule="auto"/>
      </w:pPr>
      <w:r>
        <w:t>Clear national and local roles reduce fragmentation.</w:t>
      </w:r>
    </w:p>
    <w:p w:rsidR="00FF2526">
      <w:pPr>
        <w:numPr>
          <w:ilvl w:val="0"/>
          <w:numId w:val="10"/>
        </w:numPr>
        <w:spacing w:line="240" w:lineRule="auto"/>
      </w:pPr>
      <w:r>
        <w:t>Better market targeting improves demand quality, not only volume.</w:t>
      </w:r>
    </w:p>
    <w:p w:rsidR="00FF2526">
      <w:pPr>
        <w:numPr>
          <w:ilvl w:val="0"/>
          <w:numId w:val="10"/>
        </w:numPr>
        <w:spacing w:line="240" w:lineRule="auto"/>
      </w:pPr>
      <w:r>
        <w:t>Destination capacity converts demand into local spend.</w:t>
      </w:r>
    </w:p>
    <w:p w:rsidR="00FF2526">
      <w:pPr>
        <w:numPr>
          <w:ilvl w:val="0"/>
          <w:numId w:val="10"/>
        </w:numPr>
        <w:spacing w:line="240" w:lineRule="auto"/>
      </w:pPr>
      <w:r>
        <w:t>Transport, digital access and cultural infrastructure widen dispersal.</w:t>
      </w:r>
    </w:p>
    <w:p w:rsidR="00FF2526">
      <w:pPr>
        <w:numPr>
          <w:ilvl w:val="0"/>
          <w:numId w:val="10"/>
        </w:numPr>
        <w:spacing w:line="240" w:lineRule="auto"/>
      </w:pPr>
      <w:r>
        <w:t>Heritage and creative assets strengthen distinctiveness when linked to stewardship.</w:t>
      </w:r>
    </w:p>
    <w:p w:rsidR="00FF2526">
      <w:pPr>
        <w:numPr>
          <w:ilvl w:val="0"/>
          <w:numId w:val="10"/>
        </w:numPr>
        <w:spacing w:line="240" w:lineRule="auto"/>
      </w:pPr>
      <w:r>
        <w:t>Workforce stability protects service quality and resilience.</w:t>
      </w:r>
    </w:p>
    <w:p w:rsidR="00FF2526">
      <w:pPr>
        <w:numPr>
          <w:ilvl w:val="0"/>
          <w:numId w:val="10"/>
        </w:numPr>
        <w:spacing w:line="240" w:lineRule="auto"/>
      </w:pPr>
      <w:r>
        <w:t>Levy income can help if additional, visible and proportionate.</w:t>
      </w:r>
    </w:p>
    <w:p w:rsidR="00FF2526">
      <w:pPr>
        <w:numPr>
          <w:ilvl w:val="0"/>
          <w:numId w:val="10"/>
        </w:numPr>
        <w:spacing w:after="240" w:line="240" w:lineRule="auto"/>
      </w:pPr>
      <w:r>
        <w:t>Shared monitoring allows course correction.</w:t>
      </w:r>
    </w:p>
    <w:p w:rsidR="00FF2526">
      <w:pPr>
        <w:spacing w:before="240" w:after="240" w:line="240" w:lineRule="auto"/>
        <w:rPr>
          <w:b/>
          <w:bCs/>
        </w:rPr>
      </w:pPr>
      <w:r>
        <w:rPr>
          <w:b/>
          <w:bCs/>
        </w:rPr>
        <w:t>Design parameters</w:t>
      </w:r>
    </w:p>
    <w:p w:rsidR="00FF2526">
      <w:pPr>
        <w:numPr>
          <w:ilvl w:val="0"/>
          <w:numId w:val="2"/>
        </w:numPr>
        <w:spacing w:before="240" w:line="240" w:lineRule="auto"/>
      </w:pPr>
      <w:r>
        <w:t>Destination geography and duties.</w:t>
      </w:r>
    </w:p>
    <w:p w:rsidR="00FF2526">
      <w:pPr>
        <w:numPr>
          <w:ilvl w:val="0"/>
          <w:numId w:val="2"/>
        </w:numPr>
        <w:spacing w:line="240" w:lineRule="auto"/>
      </w:pPr>
      <w:r>
        <w:t>Promotion metrics that track conversion and spread.</w:t>
      </w:r>
    </w:p>
    <w:p w:rsidR="00FF2526">
      <w:pPr>
        <w:numPr>
          <w:ilvl w:val="0"/>
          <w:numId w:val="2"/>
        </w:numPr>
        <w:spacing w:line="240" w:lineRule="auto"/>
      </w:pPr>
      <w:r>
        <w:t>Place-readiness bundle: transport, digital, culture, accessibility and business support.</w:t>
      </w:r>
    </w:p>
    <w:p w:rsidR="00FF2526">
      <w:pPr>
        <w:numPr>
          <w:ilvl w:val="0"/>
          <w:numId w:val="2"/>
        </w:numPr>
        <w:spacing w:line="240" w:lineRule="auto"/>
      </w:pPr>
      <w:r>
        <w:t>Visitor levy basis, exemptions, collection and reporting.</w:t>
      </w:r>
    </w:p>
    <w:p w:rsidR="00FF2526">
      <w:pPr>
        <w:numPr>
          <w:ilvl w:val="0"/>
          <w:numId w:val="2"/>
        </w:numPr>
        <w:spacing w:after="240" w:line="240" w:lineRule="auto"/>
      </w:pPr>
      <w:r>
        <w:t>Workforce transition period and training route.</w:t>
      </w:r>
    </w:p>
    <w:p w:rsidR="00FF2526">
      <w:pPr>
        <w:spacing w:before="240" w:after="240" w:line="240" w:lineRule="auto"/>
        <w:rPr>
          <w:b/>
          <w:bCs/>
        </w:rPr>
      </w:pPr>
      <w:r>
        <w:rPr>
          <w:b/>
          <w:bCs/>
        </w:rPr>
        <w:t>Dependencies and ethics</w:t>
      </w:r>
    </w:p>
    <w:p w:rsidR="00FF2526">
      <w:pPr>
        <w:numPr>
          <w:ilvl w:val="0"/>
          <w:numId w:val="4"/>
        </w:numPr>
        <w:spacing w:before="240" w:line="240" w:lineRule="auto"/>
      </w:pPr>
      <w:r>
        <w:t>Do not place new burdens on small operators without simple administration.</w:t>
      </w:r>
    </w:p>
    <w:p w:rsidR="00FF2526">
      <w:pPr>
        <w:numPr>
          <w:ilvl w:val="0"/>
          <w:numId w:val="4"/>
        </w:numPr>
        <w:spacing w:line="240" w:lineRule="auto"/>
      </w:pPr>
      <w:r>
        <w:t>Do not use sector testimony as prevalence evidence.</w:t>
      </w:r>
    </w:p>
    <w:p w:rsidR="00FF2526">
      <w:pPr>
        <w:numPr>
          <w:ilvl w:val="0"/>
          <w:numId w:val="4"/>
        </w:numPr>
        <w:spacing w:line="240" w:lineRule="auto"/>
      </w:pPr>
      <w:r>
        <w:t>Avoid identifying individual businesses or workers.</w:t>
      </w:r>
    </w:p>
    <w:p w:rsidR="00FF2526">
      <w:pPr>
        <w:numPr>
          <w:ilvl w:val="0"/>
          <w:numId w:val="4"/>
        </w:numPr>
        <w:spacing w:after="240" w:line="240" w:lineRule="auto"/>
      </w:pPr>
      <w:r>
        <w:t>Monitor resident benefit and environmental pressure as well as visitor numbers.</w:t>
      </w:r>
    </w:p>
    <w:p w:rsidR="00FF2526">
      <w:pPr>
        <w:pStyle w:val="Heading2"/>
        <w:keepNext w:val="0"/>
        <w:keepLines w:val="0"/>
        <w:spacing w:after="80"/>
        <w:rPr>
          <w:b/>
          <w:bCs/>
          <w:sz w:val="26"/>
          <w:szCs w:val="26"/>
        </w:rPr>
      </w:pPr>
      <w:bookmarkStart w:id="13" w:name="_bxwazodzslin" w:colFirst="0" w:colLast="0"/>
      <w:bookmarkEnd w:id="13"/>
      <w:r>
        <w:rPr>
          <w:b/>
          <w:bCs/>
          <w:sz w:val="26"/>
          <w:szCs w:val="26"/>
        </w:rPr>
        <w:t>9) Hearing questions</w:t>
      </w:r>
    </w:p>
    <w:p w:rsidR="00FF2526">
      <w:pPr>
        <w:spacing w:before="240" w:after="240" w:line="240" w:lineRule="auto"/>
        <w:rPr>
          <w:b/>
          <w:bCs/>
        </w:rPr>
      </w:pPr>
      <w:r>
        <w:rPr>
          <w:b/>
          <w:bCs/>
        </w:rPr>
        <w:t>For ministers</w:t>
      </w:r>
    </w:p>
    <w:p w:rsidR="00FF2526">
      <w:pPr>
        <w:numPr>
          <w:ilvl w:val="0"/>
          <w:numId w:val="9"/>
        </w:numPr>
        <w:spacing w:before="240" w:line="240" w:lineRule="auto"/>
      </w:pPr>
      <w:r>
        <w:t>Which recovery definition is government using: visits, real spend, margins, opening hours or regional spread?</w:t>
      </w:r>
    </w:p>
    <w:p w:rsidR="00FF2526">
      <w:pPr>
        <w:numPr>
          <w:ilvl w:val="0"/>
          <w:numId w:val="9"/>
        </w:numPr>
        <w:spacing w:line="240" w:lineRule="auto"/>
      </w:pPr>
      <w:r>
        <w:t>What safeguards ensure levy additionality and proportionate administration?</w:t>
      </w:r>
    </w:p>
    <w:p w:rsidR="00FF2526">
      <w:pPr>
        <w:numPr>
          <w:ilvl w:val="0"/>
          <w:numId w:val="9"/>
        </w:numPr>
        <w:spacing w:after="240" w:line="240" w:lineRule="auto"/>
      </w:pPr>
      <w:r>
        <w:t>What workforce transition plan exists if policy changes bite before training routes mature?</w:t>
      </w:r>
    </w:p>
    <w:p w:rsidR="00FF2526">
      <w:pPr>
        <w:spacing w:before="240" w:after="240" w:line="240" w:lineRule="auto"/>
        <w:rPr>
          <w:b/>
          <w:bCs/>
        </w:rPr>
      </w:pPr>
      <w:r>
        <w:rPr>
          <w:b/>
          <w:bCs/>
        </w:rPr>
        <w:t>For agencies and destinations</w:t>
      </w:r>
    </w:p>
    <w:p w:rsidR="00FF2526">
      <w:pPr>
        <w:numPr>
          <w:ilvl w:val="0"/>
          <w:numId w:val="17"/>
        </w:numPr>
        <w:spacing w:before="240" w:line="240" w:lineRule="auto"/>
      </w:pPr>
      <w:r>
        <w:t>How do campaigns convert awareness into longer stays and wider regional spend?</w:t>
      </w:r>
    </w:p>
    <w:p w:rsidR="00FF2526">
      <w:pPr>
        <w:numPr>
          <w:ilvl w:val="0"/>
          <w:numId w:val="17"/>
        </w:numPr>
        <w:spacing w:line="240" w:lineRule="auto"/>
      </w:pPr>
      <w:r>
        <w:t>What gaps remain in England’s destination-management system?</w:t>
      </w:r>
    </w:p>
    <w:p w:rsidR="00FF2526">
      <w:pPr>
        <w:numPr>
          <w:ilvl w:val="0"/>
          <w:numId w:val="17"/>
        </w:numPr>
        <w:spacing w:after="240" w:line="240" w:lineRule="auto"/>
      </w:pPr>
      <w:r>
        <w:t>What support do weaker-capacity places need before more demand is stimulated?</w:t>
      </w:r>
    </w:p>
    <w:p w:rsidR="00FF2526">
      <w:pPr>
        <w:spacing w:before="240" w:after="240" w:line="240" w:lineRule="auto"/>
        <w:rPr>
          <w:b/>
          <w:bCs/>
        </w:rPr>
      </w:pPr>
      <w:r>
        <w:rPr>
          <w:b/>
          <w:bCs/>
        </w:rPr>
        <w:t>For businesses and councils</w:t>
      </w:r>
    </w:p>
    <w:p w:rsidR="00FF2526">
      <w:pPr>
        <w:numPr>
          <w:ilvl w:val="0"/>
          <w:numId w:val="1"/>
        </w:numPr>
        <w:spacing w:before="240" w:line="240" w:lineRule="auto"/>
      </w:pPr>
      <w:r>
        <w:t>Which duties most burden small accommodation providers?</w:t>
      </w:r>
    </w:p>
    <w:p w:rsidR="00FF2526">
      <w:pPr>
        <w:numPr>
          <w:ilvl w:val="0"/>
          <w:numId w:val="1"/>
        </w:numPr>
        <w:spacing w:after="240" w:line="240" w:lineRule="auto"/>
      </w:pPr>
      <w:r>
        <w:t>Which off-peak interventions can stimulate demand without displacing existing spend?</w:t>
      </w:r>
    </w:p>
    <w:p w:rsidR="00FF2526">
      <w:pPr>
        <w:spacing w:before="240" w:after="240" w:line="240" w:lineRule="auto"/>
        <w:rPr>
          <w:b/>
          <w:bCs/>
        </w:rPr>
      </w:pPr>
      <w:r>
        <w:rPr>
          <w:b/>
          <w:bCs/>
        </w:rPr>
        <w:t>Artefact request</w:t>
      </w:r>
    </w:p>
    <w:p w:rsidR="00FF2526">
      <w:pPr>
        <w:numPr>
          <w:ilvl w:val="0"/>
          <w:numId w:val="11"/>
        </w:numPr>
        <w:spacing w:before="240" w:after="240" w:line="240" w:lineRule="auto"/>
      </w:pPr>
      <w:r>
        <w:t>Could the Committee request from government a scorecard on spread, demand, workforce and levy burden?</w:t>
      </w:r>
    </w:p>
    <w:p w:rsidR="00FF2526">
      <w:pPr>
        <w:pStyle w:val="Heading2"/>
        <w:keepNext w:val="0"/>
        <w:keepLines w:val="0"/>
        <w:spacing w:after="80"/>
        <w:rPr>
          <w:b/>
          <w:bCs/>
          <w:sz w:val="26"/>
          <w:szCs w:val="26"/>
        </w:rPr>
      </w:pPr>
      <w:bookmarkStart w:id="14" w:name="_y6mcifjeh6p" w:colFirst="0" w:colLast="0"/>
      <w:bookmarkEnd w:id="14"/>
      <w:r>
        <w:rPr>
          <w:b/>
          <w:bCs/>
          <w:sz w:val="26"/>
          <w:szCs w:val="26"/>
        </w:rPr>
        <w:t>10) References + Annex A</w:t>
      </w:r>
    </w:p>
    <w:p w:rsidR="00FF2526">
      <w:pPr>
        <w:spacing w:before="240" w:after="240" w:line="240" w:lineRule="auto"/>
        <w:rPr>
          <w:b/>
          <w:bCs/>
        </w:rPr>
      </w:pPr>
      <w:r>
        <w:rPr>
          <w:b/>
          <w:bCs/>
        </w:rPr>
        <w:t>References</w:t>
      </w:r>
    </w:p>
    <w:p w:rsidR="00FF2526">
      <w:pPr>
        <w:spacing w:before="240" w:after="240" w:line="240" w:lineRule="auto"/>
        <w:rPr>
          <w:color w:val="1155CC"/>
          <w:u w:val="single"/>
        </w:rPr>
      </w:pPr>
      <w:r>
        <w:t xml:space="preserve">[1] Office for National Statistics (2025) Travel trends: 2024. </w:t>
      </w:r>
      <w:r>
        <w:fldChar w:fldCharType="begin"/>
      </w:r>
      <w:r>
        <w:instrText xml:space="preserve"> HYPERLINK "https://www.ons.gov.uk/peoplepopulationandcommunity/leisureandtourism/articles/traveltrends/2024" </w:instrText>
      </w:r>
      <w:r>
        <w:fldChar w:fldCharType="separate"/>
      </w:r>
      <w:r>
        <w:rPr>
          <w:color w:val="1155CC"/>
          <w:u w:val="single"/>
        </w:rPr>
        <w:t>https://www.ons.gov.uk/peoplepopulationandcommunity/leisureandtourism/articles/traveltrends/2024</w:t>
      </w:r>
      <w:r>
        <w:fldChar w:fldCharType="end"/>
      </w:r>
      <w:r>
        <w:t xml:space="preserve"> </w:t>
      </w:r>
    </w:p>
    <w:p w:rsidR="00FF2526">
      <w:pPr>
        <w:spacing w:before="240" w:after="240" w:line="240" w:lineRule="auto"/>
        <w:rPr>
          <w:color w:val="1155CC"/>
          <w:u w:val="single"/>
        </w:rPr>
      </w:pPr>
      <w:r>
        <w:t xml:space="preserve">[2] VisitBritain (2026) 2026 inbound tourism forecast. </w:t>
      </w:r>
      <w:r>
        <w:fldChar w:fldCharType="begin"/>
      </w:r>
      <w:r>
        <w:instrText xml:space="preserve"> HYPERLINK "https://www.visitbritain.org/research-insights/inbound-tourism-forecast" </w:instrText>
      </w:r>
      <w:r>
        <w:fldChar w:fldCharType="separate"/>
      </w:r>
      <w:r>
        <w:rPr>
          <w:color w:val="1155CC"/>
          <w:u w:val="single"/>
        </w:rPr>
        <w:t>https://www.visitbritain.org/research-insights/inbound-tourism-forecast</w:t>
      </w:r>
      <w:r>
        <w:fldChar w:fldCharType="end"/>
      </w:r>
      <w:r>
        <w:t xml:space="preserve"> </w:t>
      </w:r>
    </w:p>
    <w:p w:rsidR="00FF2526">
      <w:pPr>
        <w:spacing w:before="240" w:after="240" w:line="240" w:lineRule="auto"/>
        <w:rPr>
          <w:color w:val="1155CC"/>
          <w:u w:val="single"/>
        </w:rPr>
      </w:pPr>
      <w:r>
        <w:t xml:space="preserve">[3] Eurostat (2026) EU tourism nights at record 3.08 billion in 2025. </w:t>
      </w:r>
      <w:r>
        <w:fldChar w:fldCharType="begin"/>
      </w:r>
      <w:r>
        <w:instrText xml:space="preserve"> HYPERLINK "https://ec.europa.eu/eurostat/web/products-eurostat-news/w/ddn-20260116-1" </w:instrText>
      </w:r>
      <w:r>
        <w:fldChar w:fldCharType="separate"/>
      </w:r>
      <w:r>
        <w:rPr>
          <w:color w:val="1155CC"/>
          <w:u w:val="single"/>
        </w:rPr>
        <w:t>https://ec.europa.eu/eurostat/web/products-eurostat-news/w/ddn-20260116-1</w:t>
      </w:r>
      <w:r>
        <w:fldChar w:fldCharType="end"/>
      </w:r>
      <w:r>
        <w:t xml:space="preserve"> </w:t>
      </w:r>
    </w:p>
    <w:p w:rsidR="00FF2526">
      <w:pPr>
        <w:spacing w:before="240" w:after="240" w:line="240" w:lineRule="auto"/>
        <w:rPr>
          <w:color w:val="1155CC"/>
          <w:u w:val="single"/>
        </w:rPr>
      </w:pPr>
      <w:r>
        <w:t xml:space="preserve">[4] VisitBritain/VisitEngland (n.d.) Local Visitor Economy Partnership Programme. </w:t>
      </w:r>
      <w:r>
        <w:fldChar w:fldCharType="begin"/>
      </w:r>
      <w:r>
        <w:instrText xml:space="preserve"> HYPERLINK "https://www.visitbritain.org/resources-destination-partners/local-visitor-economy-partnership-lvep-programme" </w:instrText>
      </w:r>
      <w:r>
        <w:fldChar w:fldCharType="separate"/>
      </w:r>
      <w:r>
        <w:rPr>
          <w:color w:val="1155CC"/>
          <w:u w:val="single"/>
        </w:rPr>
        <w:t>https://www.visitbritain.org/resources-destination-partners/local-visitor-economy-partnership-lvep-programme</w:t>
      </w:r>
      <w:r>
        <w:fldChar w:fldCharType="end"/>
      </w:r>
      <w:r>
        <w:t xml:space="preserve"> </w:t>
      </w:r>
    </w:p>
    <w:p w:rsidR="00FF2526">
      <w:pPr>
        <w:spacing w:before="240" w:after="240" w:line="240" w:lineRule="auto"/>
        <w:rPr>
          <w:color w:val="1155CC"/>
          <w:u w:val="single"/>
        </w:rPr>
      </w:pPr>
      <w:r>
        <w:t xml:space="preserve">[5] Ofcom (2025) Connected Nations 2025. </w:t>
      </w:r>
      <w:r>
        <w:fldChar w:fldCharType="begin"/>
      </w:r>
      <w:r>
        <w:instrText xml:space="preserve"> HYPERLINK "https://www.ofcom.org.uk/phones-and-broadband/coverage-and-speeds/connected-nations-20252" </w:instrText>
      </w:r>
      <w:r>
        <w:fldChar w:fldCharType="separate"/>
      </w:r>
      <w:r>
        <w:rPr>
          <w:color w:val="1155CC"/>
          <w:u w:val="single"/>
        </w:rPr>
        <w:t>https://www.ofcom.org.uk/phones-and-broadband/coverage-and-speeds/connected-nations-20252</w:t>
      </w:r>
      <w:r>
        <w:fldChar w:fldCharType="end"/>
      </w:r>
      <w:r>
        <w:t xml:space="preserve"> </w:t>
      </w:r>
    </w:p>
    <w:p w:rsidR="00FF2526">
      <w:pPr>
        <w:spacing w:before="240" w:after="240" w:line="240" w:lineRule="auto"/>
        <w:rPr>
          <w:color w:val="1155CC"/>
          <w:u w:val="single"/>
        </w:rPr>
      </w:pPr>
      <w:r>
        <w:t xml:space="preserve">[6] VisitBritain/VisitEngland (2025) Great Britain domestic overnight trips: latest results. </w:t>
      </w:r>
      <w:r>
        <w:fldChar w:fldCharType="begin"/>
      </w:r>
      <w:r>
        <w:instrText xml:space="preserve"> HYPERLINK "https://www.visitbritain.org/research-insights/great-britain-domestic-overnight-trips-latest-results" </w:instrText>
      </w:r>
      <w:r>
        <w:fldChar w:fldCharType="separate"/>
      </w:r>
      <w:r>
        <w:rPr>
          <w:color w:val="1155CC"/>
          <w:u w:val="single"/>
        </w:rPr>
        <w:t>https://www.visitbritain.org/research-insights/great-britain-domestic-overnight-trips-latest-results</w:t>
      </w:r>
      <w:r>
        <w:fldChar w:fldCharType="end"/>
      </w:r>
      <w:r>
        <w:t xml:space="preserve"> </w:t>
      </w:r>
    </w:p>
    <w:p w:rsidR="00FF2526">
      <w:pPr>
        <w:spacing w:before="240" w:after="240" w:line="240" w:lineRule="auto"/>
        <w:rPr>
          <w:color w:val="1155CC"/>
          <w:u w:val="single"/>
        </w:rPr>
      </w:pPr>
      <w:r>
        <w:t xml:space="preserve">[7] VisitBritain/VisitEngland (2025) Great Britain domestic day visits: latest results. </w:t>
      </w:r>
      <w:r>
        <w:fldChar w:fldCharType="begin"/>
      </w:r>
      <w:r>
        <w:instrText xml:space="preserve"> HYPERLINK "https://www.visitbritain.org/research-insights/great-britain-domestic-day-visits-latest-results" </w:instrText>
      </w:r>
      <w:r>
        <w:fldChar w:fldCharType="separate"/>
      </w:r>
      <w:r>
        <w:rPr>
          <w:color w:val="1155CC"/>
          <w:u w:val="single"/>
        </w:rPr>
        <w:t>https://www.visitbritain.org/research-insights/great-britain-domestic-day-visits-latest-results</w:t>
      </w:r>
      <w:r>
        <w:fldChar w:fldCharType="end"/>
      </w:r>
      <w:r>
        <w:t xml:space="preserve"> </w:t>
      </w:r>
    </w:p>
    <w:p w:rsidR="00FF2526">
      <w:pPr>
        <w:spacing w:before="240" w:after="240" w:line="240" w:lineRule="auto"/>
        <w:rPr>
          <w:color w:val="1155CC"/>
          <w:u w:val="single"/>
        </w:rPr>
      </w:pPr>
      <w:r>
        <w:t xml:space="preserve">[8] VisitBritain (2026) Domestic Sentiment Tracker: April 2026. </w:t>
      </w:r>
      <w:r>
        <w:fldChar w:fldCharType="begin"/>
      </w:r>
      <w:r>
        <w:instrText xml:space="preserve"> HYPERLINK "https://www.visitbritain.org/research-insights/domestic-sentiment-tracker" </w:instrText>
      </w:r>
      <w:r>
        <w:fldChar w:fldCharType="separate"/>
      </w:r>
      <w:r>
        <w:rPr>
          <w:color w:val="1155CC"/>
          <w:u w:val="single"/>
        </w:rPr>
        <w:t>https://www.visitbritain.org/research-insights/domestic-sentiment-tracker</w:t>
      </w:r>
      <w:r>
        <w:fldChar w:fldCharType="end"/>
      </w:r>
      <w:r>
        <w:t xml:space="preserve"> </w:t>
      </w:r>
    </w:p>
    <w:p w:rsidR="00FF2526">
      <w:pPr>
        <w:spacing w:before="240" w:after="240" w:line="240" w:lineRule="auto"/>
        <w:rPr>
          <w:color w:val="1155CC"/>
          <w:u w:val="single"/>
        </w:rPr>
      </w:pPr>
      <w:r>
        <w:t xml:space="preserve">[9] UKHospitality (2025) One-third of hospitality businesses operating at a loss. </w:t>
      </w:r>
      <w:r>
        <w:fldChar w:fldCharType="begin"/>
      </w:r>
      <w:r>
        <w:instrText xml:space="preserve"> HYPERLINK "https://www.ukhospitality.org.uk/one-third-of-hospitality-businesses-operating-at-a-loss/" </w:instrText>
      </w:r>
      <w:r>
        <w:fldChar w:fldCharType="separate"/>
      </w:r>
      <w:r>
        <w:rPr>
          <w:color w:val="1155CC"/>
          <w:u w:val="single"/>
        </w:rPr>
        <w:t>https://www.ukhospitality.org.uk/one-third-of-hospitality-businesses-operating-at-a-loss/</w:t>
      </w:r>
      <w:r>
        <w:fldChar w:fldCharType="end"/>
      </w:r>
      <w:r>
        <w:t xml:space="preserve"> </w:t>
      </w:r>
    </w:p>
    <w:p w:rsidR="00FF2526">
      <w:pPr>
        <w:spacing w:before="240" w:after="240" w:line="240" w:lineRule="auto"/>
        <w:rPr>
          <w:color w:val="1155CC"/>
          <w:u w:val="single"/>
        </w:rPr>
      </w:pPr>
      <w:r>
        <w:t xml:space="preserve">[10] Ministry of Housing, Communities and Local Government and HM Treasury (2025) Visitor levy in England. </w:t>
      </w:r>
      <w:r>
        <w:fldChar w:fldCharType="begin"/>
      </w:r>
      <w:r>
        <w:instrText xml:space="preserve"> HYPERLINK "https://www.gov.uk/government/consultations/overnight-visitor-levy-in-england" </w:instrText>
      </w:r>
      <w:r>
        <w:fldChar w:fldCharType="separate"/>
      </w:r>
      <w:r>
        <w:rPr>
          <w:color w:val="1155CC"/>
          <w:u w:val="single"/>
        </w:rPr>
        <w:t>https://www.gov.uk/government/consultations/overnight-visitor-levy-in-england</w:t>
      </w:r>
      <w:r>
        <w:fldChar w:fldCharType="end"/>
      </w:r>
      <w:r>
        <w:t xml:space="preserve"> </w:t>
      </w:r>
    </w:p>
    <w:p w:rsidR="00FF2526">
      <w:pPr>
        <w:spacing w:before="240" w:after="240" w:line="240" w:lineRule="auto"/>
        <w:rPr>
          <w:color w:val="1155CC"/>
          <w:u w:val="single"/>
        </w:rPr>
      </w:pPr>
      <w:r>
        <w:t xml:space="preserve">[11] Welsh Government (2025) Visitor levy to support tourism becomes law. </w:t>
      </w:r>
      <w:r>
        <w:fldChar w:fldCharType="begin"/>
      </w:r>
      <w:r>
        <w:instrText xml:space="preserve"> HYPERLINK "https://www.gov.wales/visitor-levy-support-tourism-becomes-law" </w:instrText>
      </w:r>
      <w:r>
        <w:fldChar w:fldCharType="separate"/>
      </w:r>
      <w:r>
        <w:rPr>
          <w:color w:val="1155CC"/>
          <w:u w:val="single"/>
        </w:rPr>
        <w:t>https://www.gov.wales/visitor-levy-support-tourism-becomes-law</w:t>
      </w:r>
      <w:r>
        <w:fldChar w:fldCharType="end"/>
      </w:r>
      <w:r>
        <w:t xml:space="preserve"> </w:t>
      </w:r>
    </w:p>
    <w:p w:rsidR="00FF2526">
      <w:pPr>
        <w:spacing w:before="240" w:after="240" w:line="240" w:lineRule="auto"/>
        <w:rPr>
          <w:color w:val="1155CC"/>
          <w:u w:val="single"/>
        </w:rPr>
      </w:pPr>
      <w:r>
        <w:t xml:space="preserve">[12] Home Office (2025) Restoring control over the immigration system: white paper. </w:t>
      </w:r>
      <w:r>
        <w:fldChar w:fldCharType="begin"/>
      </w:r>
      <w:r>
        <w:instrText xml:space="preserve"> HYPERLINK "https://www.gov.uk/government/publications/restoring-control-over-the-immigration-system-white-paper" </w:instrText>
      </w:r>
      <w:r>
        <w:fldChar w:fldCharType="separate"/>
      </w:r>
      <w:r>
        <w:rPr>
          <w:color w:val="1155CC"/>
          <w:u w:val="single"/>
        </w:rPr>
        <w:t>https://www.gov.uk/government/publications/restoring-control-over-the-immigration-system-white-paper</w:t>
      </w:r>
      <w:r>
        <w:fldChar w:fldCharType="end"/>
      </w:r>
      <w:r>
        <w:t xml:space="preserve"> </w:t>
      </w:r>
    </w:p>
    <w:p w:rsidR="00FF2526">
      <w:pPr>
        <w:spacing w:before="240" w:after="240" w:line="240" w:lineRule="auto"/>
        <w:rPr>
          <w:color w:val="1155CC"/>
          <w:u w:val="single"/>
        </w:rPr>
      </w:pPr>
      <w:r>
        <w:t xml:space="preserve">[13] VisitBritain/VisitEngland (2025) England Visitor Attractions: latest. </w:t>
      </w:r>
      <w:r>
        <w:fldChar w:fldCharType="begin"/>
      </w:r>
      <w:r>
        <w:instrText xml:space="preserve"> HYPERLINK "https://www.visitbritain.org/research-insights/england-visitor-attractions-latest" </w:instrText>
      </w:r>
      <w:r>
        <w:fldChar w:fldCharType="separate"/>
      </w:r>
      <w:r>
        <w:rPr>
          <w:color w:val="1155CC"/>
          <w:u w:val="single"/>
        </w:rPr>
        <w:t>https://www.visitbritain.org/research-insights/england-visitor-attractions-latest</w:t>
      </w:r>
      <w:r>
        <w:fldChar w:fldCharType="end"/>
      </w:r>
      <w:r>
        <w:t xml:space="preserve"> </w:t>
      </w:r>
    </w:p>
    <w:p w:rsidR="00FF2526">
      <w:pPr>
        <w:spacing w:before="240" w:after="240" w:line="240" w:lineRule="auto"/>
        <w:rPr>
          <w:color w:val="1155CC"/>
          <w:u w:val="single"/>
        </w:rPr>
      </w:pPr>
      <w:r>
        <w:t xml:space="preserve">[14] Historic England (2024) The Contribution of the Heritage Sector to the Visitor Economy. </w:t>
      </w:r>
      <w:r>
        <w:fldChar w:fldCharType="begin"/>
      </w:r>
      <w:r>
        <w:instrText xml:space="preserve"> HYPERLINK "https://historicengland.org.uk/research/heritage-counts/heritage-and-economy/visitor-economy/" </w:instrText>
      </w:r>
      <w:r>
        <w:fldChar w:fldCharType="separate"/>
      </w:r>
      <w:r>
        <w:rPr>
          <w:color w:val="1155CC"/>
          <w:u w:val="single"/>
        </w:rPr>
        <w:t>https://historicengland.org.uk/research/heritage-counts/heritage-and-economy/visitor-economy/</w:t>
      </w:r>
      <w:r>
        <w:fldChar w:fldCharType="end"/>
      </w:r>
      <w:r>
        <w:t xml:space="preserve"> </w:t>
      </w:r>
    </w:p>
    <w:p w:rsidR="00FF2526">
      <w:pPr>
        <w:spacing w:before="240" w:after="240" w:line="240" w:lineRule="auto"/>
        <w:rPr>
          <w:b/>
          <w:bCs/>
        </w:rPr>
      </w:pPr>
      <w:r>
        <w:rPr>
          <w:b/>
          <w:bCs/>
        </w:rPr>
        <w:t>Annex A: evidence trace table</w:t>
      </w:r>
    </w:p>
    <w:tbl>
      <w:tblPr>
        <w:tblStyle w:val="Table1"/>
        <w:tblW w:w="9025" w:type="dxa"/>
        <w:tblInd w:w="0" w:type="dxa"/>
        <w:tblBorders>
          <w:top w:val="nil"/>
          <w:left w:val="nil"/>
          <w:bottom w:val="nil"/>
          <w:right w:val="nil"/>
          <w:insideH w:val="nil"/>
          <w:insideV w:val="nil"/>
        </w:tblBorders>
        <w:tblLayout w:type="fixed"/>
        <w:tblLook w:val="0600"/>
      </w:tblPr>
      <w:tblGrid>
        <w:gridCol w:w="2837"/>
        <w:gridCol w:w="1911"/>
        <w:gridCol w:w="2173"/>
        <w:gridCol w:w="2104"/>
      </w:tblGrid>
      <w:tr>
        <w:tblPrEx>
          <w:tblW w:w="9025" w:type="dxa"/>
          <w:tblInd w:w="0" w:type="dxa"/>
          <w:tblBorders>
            <w:top w:val="nil"/>
            <w:left w:val="nil"/>
            <w:bottom w:val="nil"/>
            <w:right w:val="nil"/>
            <w:insideH w:val="nil"/>
            <w:insideV w:val="nil"/>
          </w:tblBorders>
          <w:tblLayout w:type="fixed"/>
          <w:tblLook w:val="0600"/>
        </w:tblPrEx>
        <w:trPr>
          <w:trHeight w:val="1055"/>
        </w:trPr>
        <w:tc>
          <w:tcPr>
            <w:tcW w:w="2837" w:type="dxa"/>
            <w:tcBorders>
              <w:top w:val="nil"/>
              <w:left w:val="nil"/>
              <w:bottom w:val="nil"/>
              <w:right w:val="nil"/>
            </w:tcBorders>
            <w:tcMar>
              <w:top w:w="100" w:type="dxa"/>
              <w:left w:w="100" w:type="dxa"/>
              <w:bottom w:w="100" w:type="dxa"/>
              <w:right w:w="100" w:type="dxa"/>
            </w:tcMar>
          </w:tcPr>
          <w:p w:rsidR="00FF2526">
            <w:pPr>
              <w:jc w:val="center"/>
            </w:pPr>
            <w:r>
              <w:rPr>
                <w:b/>
                <w:bCs/>
              </w:rPr>
              <w:t>Claim</w:t>
            </w:r>
          </w:p>
        </w:tc>
        <w:tc>
          <w:tcPr>
            <w:tcW w:w="1911" w:type="dxa"/>
            <w:tcBorders>
              <w:top w:val="nil"/>
              <w:left w:val="nil"/>
              <w:bottom w:val="nil"/>
              <w:right w:val="nil"/>
            </w:tcBorders>
            <w:tcMar>
              <w:top w:w="100" w:type="dxa"/>
              <w:left w:w="100" w:type="dxa"/>
              <w:bottom w:w="100" w:type="dxa"/>
              <w:right w:w="100" w:type="dxa"/>
            </w:tcMar>
          </w:tcPr>
          <w:p w:rsidR="00FF2526">
            <w:pPr>
              <w:jc w:val="center"/>
            </w:pPr>
            <w:r>
              <w:rPr>
                <w:b/>
                <w:bCs/>
              </w:rPr>
              <w:t>Anchors and evidence type</w:t>
            </w:r>
          </w:p>
        </w:tc>
        <w:tc>
          <w:tcPr>
            <w:tcW w:w="2173" w:type="dxa"/>
            <w:tcBorders>
              <w:top w:val="nil"/>
              <w:left w:val="nil"/>
              <w:bottom w:val="nil"/>
              <w:right w:val="nil"/>
            </w:tcBorders>
            <w:tcMar>
              <w:top w:w="100" w:type="dxa"/>
              <w:left w:w="100" w:type="dxa"/>
              <w:bottom w:w="100" w:type="dxa"/>
              <w:right w:w="100" w:type="dxa"/>
            </w:tcMar>
          </w:tcPr>
          <w:p w:rsidR="00FF2526">
            <w:pPr>
              <w:jc w:val="center"/>
            </w:pPr>
            <w:r>
              <w:rPr>
                <w:b/>
                <w:bCs/>
              </w:rPr>
              <w:t>Limits and conditions</w:t>
            </w:r>
          </w:p>
        </w:tc>
        <w:tc>
          <w:tcPr>
            <w:tcW w:w="2104" w:type="dxa"/>
            <w:tcBorders>
              <w:top w:val="nil"/>
              <w:left w:val="nil"/>
              <w:bottom w:val="nil"/>
              <w:right w:val="nil"/>
            </w:tcBorders>
            <w:tcMar>
              <w:top w:w="100" w:type="dxa"/>
              <w:left w:w="100" w:type="dxa"/>
              <w:bottom w:w="100" w:type="dxa"/>
              <w:right w:w="100" w:type="dxa"/>
            </w:tcMar>
          </w:tcPr>
          <w:p w:rsidR="00FF2526">
            <w:pPr>
              <w:jc w:val="center"/>
            </w:pPr>
            <w:r>
              <w:rPr>
                <w:b/>
                <w:bCs/>
              </w:rPr>
              <w:t>Dependency or strengthening evidence</w:t>
            </w:r>
          </w:p>
        </w:tc>
      </w:tr>
      <w:tr>
        <w:tblPrEx>
          <w:tblW w:w="9025" w:type="dxa"/>
          <w:tblInd w:w="0" w:type="dxa"/>
          <w:tblLayout w:type="fixed"/>
          <w:tblLook w:val="0600"/>
        </w:tblPrEx>
        <w:trPr>
          <w:trHeight w:val="1610"/>
        </w:trPr>
        <w:tc>
          <w:tcPr>
            <w:tcW w:w="2837" w:type="dxa"/>
            <w:tcBorders>
              <w:top w:val="nil"/>
              <w:left w:val="nil"/>
              <w:bottom w:val="nil"/>
              <w:right w:val="nil"/>
            </w:tcBorders>
            <w:tcMar>
              <w:top w:w="100" w:type="dxa"/>
              <w:left w:w="100" w:type="dxa"/>
              <w:bottom w:w="100" w:type="dxa"/>
              <w:right w:w="100" w:type="dxa"/>
            </w:tcMar>
          </w:tcPr>
          <w:p w:rsidR="00FF2526">
            <w:r>
              <w:t>UK inbound performance should be assessed through visits, spend, nights and spread, not one headline measure.</w:t>
            </w:r>
          </w:p>
        </w:tc>
        <w:tc>
          <w:tcPr>
            <w:tcW w:w="1911" w:type="dxa"/>
            <w:tcBorders>
              <w:top w:val="nil"/>
              <w:left w:val="nil"/>
              <w:bottom w:val="nil"/>
              <w:right w:val="nil"/>
            </w:tcBorders>
            <w:tcMar>
              <w:top w:w="100" w:type="dxa"/>
              <w:left w:w="100" w:type="dxa"/>
              <w:bottom w:w="100" w:type="dxa"/>
              <w:right w:w="100" w:type="dxa"/>
            </w:tcMar>
          </w:tcPr>
          <w:p w:rsidR="00FF2526">
            <w:r>
              <w:t>[1][2][3], official statistics and forecast</w:t>
            </w:r>
          </w:p>
        </w:tc>
        <w:tc>
          <w:tcPr>
            <w:tcW w:w="2173" w:type="dxa"/>
            <w:tcBorders>
              <w:top w:val="nil"/>
              <w:left w:val="nil"/>
              <w:bottom w:val="nil"/>
              <w:right w:val="nil"/>
            </w:tcBorders>
            <w:tcMar>
              <w:top w:w="100" w:type="dxa"/>
              <w:left w:w="100" w:type="dxa"/>
              <w:bottom w:w="100" w:type="dxa"/>
              <w:right w:w="100" w:type="dxa"/>
            </w:tcMar>
          </w:tcPr>
          <w:p w:rsidR="00FF2526">
            <w:r>
              <w:t>UK and EU measures are not directly equivalent.</w:t>
            </w:r>
          </w:p>
        </w:tc>
        <w:tc>
          <w:tcPr>
            <w:tcW w:w="2104" w:type="dxa"/>
            <w:tcBorders>
              <w:top w:val="nil"/>
              <w:left w:val="nil"/>
              <w:bottom w:val="nil"/>
              <w:right w:val="nil"/>
            </w:tcBorders>
            <w:tcMar>
              <w:top w:w="100" w:type="dxa"/>
              <w:left w:w="100" w:type="dxa"/>
              <w:bottom w:w="100" w:type="dxa"/>
              <w:right w:w="100" w:type="dxa"/>
            </w:tcMar>
          </w:tcPr>
          <w:p w:rsidR="00FF2526">
            <w:r>
              <w:t>Market-to-region conversion table.</w:t>
            </w:r>
          </w:p>
        </w:tc>
      </w:tr>
      <w:tr>
        <w:tblPrEx>
          <w:tblW w:w="9025" w:type="dxa"/>
          <w:tblInd w:w="0" w:type="dxa"/>
          <w:tblLayout w:type="fixed"/>
          <w:tblLook w:val="0600"/>
        </w:tblPrEx>
        <w:trPr>
          <w:trHeight w:val="1325"/>
        </w:trPr>
        <w:tc>
          <w:tcPr>
            <w:tcW w:w="2837" w:type="dxa"/>
            <w:tcBorders>
              <w:top w:val="nil"/>
              <w:left w:val="nil"/>
              <w:bottom w:val="nil"/>
              <w:right w:val="nil"/>
            </w:tcBorders>
            <w:tcMar>
              <w:top w:w="100" w:type="dxa"/>
              <w:left w:w="100" w:type="dxa"/>
              <w:bottom w:w="100" w:type="dxa"/>
              <w:right w:w="100" w:type="dxa"/>
            </w:tcMar>
          </w:tcPr>
          <w:p w:rsidR="00FF2526">
            <w:r>
              <w:t>Destination capacity is part of competitiveness.</w:t>
            </w:r>
          </w:p>
        </w:tc>
        <w:tc>
          <w:tcPr>
            <w:tcW w:w="1911" w:type="dxa"/>
            <w:tcBorders>
              <w:top w:val="nil"/>
              <w:left w:val="nil"/>
              <w:bottom w:val="nil"/>
              <w:right w:val="nil"/>
            </w:tcBorders>
            <w:tcMar>
              <w:top w:w="100" w:type="dxa"/>
              <w:left w:w="100" w:type="dxa"/>
              <w:bottom w:w="100" w:type="dxa"/>
              <w:right w:w="100" w:type="dxa"/>
            </w:tcMar>
          </w:tcPr>
          <w:p w:rsidR="00FF2526">
            <w:r>
              <w:t>[4][5], governance and infrastructure evidence</w:t>
            </w:r>
          </w:p>
        </w:tc>
        <w:tc>
          <w:tcPr>
            <w:tcW w:w="2173" w:type="dxa"/>
            <w:tcBorders>
              <w:top w:val="nil"/>
              <w:left w:val="nil"/>
              <w:bottom w:val="nil"/>
              <w:right w:val="nil"/>
            </w:tcBorders>
            <w:tcMar>
              <w:top w:w="100" w:type="dxa"/>
              <w:left w:w="100" w:type="dxa"/>
              <w:bottom w:w="100" w:type="dxa"/>
              <w:right w:w="100" w:type="dxa"/>
            </w:tcMar>
          </w:tcPr>
          <w:p w:rsidR="00FF2526">
            <w:r>
              <w:t>These sources show conditions, not direct causal effects.</w:t>
            </w:r>
          </w:p>
        </w:tc>
        <w:tc>
          <w:tcPr>
            <w:tcW w:w="2104" w:type="dxa"/>
            <w:tcBorders>
              <w:top w:val="nil"/>
              <w:left w:val="nil"/>
              <w:bottom w:val="nil"/>
              <w:right w:val="nil"/>
            </w:tcBorders>
            <w:tcMar>
              <w:top w:w="100" w:type="dxa"/>
              <w:left w:w="100" w:type="dxa"/>
              <w:bottom w:w="100" w:type="dxa"/>
              <w:right w:w="100" w:type="dxa"/>
            </w:tcMar>
          </w:tcPr>
          <w:p w:rsidR="00FF2526">
            <w:r>
              <w:t>Outcome reporting on destination-system coverage and maturity.</w:t>
            </w:r>
          </w:p>
        </w:tc>
      </w:tr>
      <w:tr>
        <w:tblPrEx>
          <w:tblW w:w="9025" w:type="dxa"/>
          <w:tblInd w:w="0" w:type="dxa"/>
          <w:tblLayout w:type="fixed"/>
          <w:tblLook w:val="0600"/>
        </w:tblPrEx>
        <w:trPr>
          <w:trHeight w:val="1325"/>
        </w:trPr>
        <w:tc>
          <w:tcPr>
            <w:tcW w:w="2837" w:type="dxa"/>
            <w:tcBorders>
              <w:top w:val="nil"/>
              <w:left w:val="nil"/>
              <w:bottom w:val="nil"/>
              <w:right w:val="nil"/>
            </w:tcBorders>
            <w:tcMar>
              <w:top w:w="100" w:type="dxa"/>
              <w:left w:w="100" w:type="dxa"/>
              <w:bottom w:w="100" w:type="dxa"/>
              <w:right w:w="100" w:type="dxa"/>
            </w:tcMar>
          </w:tcPr>
          <w:p w:rsidR="00FF2526">
            <w:r>
              <w:t>Domestic recovery is mixed when volume, spend and operating pressure are considered together.</w:t>
            </w:r>
          </w:p>
        </w:tc>
        <w:tc>
          <w:tcPr>
            <w:tcW w:w="1911" w:type="dxa"/>
            <w:tcBorders>
              <w:top w:val="nil"/>
              <w:left w:val="nil"/>
              <w:bottom w:val="nil"/>
              <w:right w:val="nil"/>
            </w:tcBorders>
            <w:tcMar>
              <w:top w:w="100" w:type="dxa"/>
              <w:left w:w="100" w:type="dxa"/>
              <w:bottom w:w="100" w:type="dxa"/>
              <w:right w:w="100" w:type="dxa"/>
            </w:tcMar>
          </w:tcPr>
          <w:p w:rsidR="00FF2526">
            <w:r>
              <w:t>[6][7][8][9], official tourism data, tracker and testimony</w:t>
            </w:r>
          </w:p>
        </w:tc>
        <w:tc>
          <w:tcPr>
            <w:tcW w:w="2173" w:type="dxa"/>
            <w:tcBorders>
              <w:top w:val="nil"/>
              <w:left w:val="nil"/>
              <w:bottom w:val="nil"/>
              <w:right w:val="nil"/>
            </w:tcBorders>
            <w:tcMar>
              <w:top w:w="100" w:type="dxa"/>
              <w:left w:w="100" w:type="dxa"/>
              <w:bottom w:w="100" w:type="dxa"/>
              <w:right w:w="100" w:type="dxa"/>
            </w:tcMar>
          </w:tcPr>
          <w:p w:rsidR="00FF2526">
            <w:r>
              <w:t>Sector evidence is interest-bearing and not prevalence evidence.</w:t>
            </w:r>
          </w:p>
        </w:tc>
        <w:tc>
          <w:tcPr>
            <w:tcW w:w="2104" w:type="dxa"/>
            <w:tcBorders>
              <w:top w:val="nil"/>
              <w:left w:val="nil"/>
              <w:bottom w:val="nil"/>
              <w:right w:val="nil"/>
            </w:tcBorders>
            <w:tcMar>
              <w:top w:w="100" w:type="dxa"/>
              <w:left w:w="100" w:type="dxa"/>
              <w:bottom w:w="100" w:type="dxa"/>
              <w:right w:w="100" w:type="dxa"/>
            </w:tcMar>
          </w:tcPr>
          <w:p w:rsidR="00FF2526">
            <w:r>
              <w:t>Real-terms spend, opening hours and margins by place type.</w:t>
            </w:r>
          </w:p>
        </w:tc>
      </w:tr>
      <w:tr>
        <w:tblPrEx>
          <w:tblW w:w="9025" w:type="dxa"/>
          <w:tblInd w:w="0" w:type="dxa"/>
          <w:tblLayout w:type="fixed"/>
          <w:tblLook w:val="0600"/>
        </w:tblPrEx>
        <w:trPr>
          <w:trHeight w:val="1610"/>
        </w:trPr>
        <w:tc>
          <w:tcPr>
            <w:tcW w:w="2837" w:type="dxa"/>
            <w:tcBorders>
              <w:top w:val="nil"/>
              <w:left w:val="nil"/>
              <w:bottom w:val="nil"/>
              <w:right w:val="nil"/>
            </w:tcBorders>
            <w:tcMar>
              <w:top w:w="100" w:type="dxa"/>
              <w:left w:w="100" w:type="dxa"/>
              <w:bottom w:w="100" w:type="dxa"/>
              <w:right w:w="100" w:type="dxa"/>
            </w:tcMar>
          </w:tcPr>
          <w:p w:rsidR="00FF2526">
            <w:r>
              <w:t>Visitor levy effects depend on design and additionality.</w:t>
            </w:r>
          </w:p>
        </w:tc>
        <w:tc>
          <w:tcPr>
            <w:tcW w:w="1911" w:type="dxa"/>
            <w:tcBorders>
              <w:top w:val="nil"/>
              <w:left w:val="nil"/>
              <w:bottom w:val="nil"/>
              <w:right w:val="nil"/>
            </w:tcBorders>
            <w:tcMar>
              <w:top w:w="100" w:type="dxa"/>
              <w:left w:w="100" w:type="dxa"/>
              <w:bottom w:w="100" w:type="dxa"/>
              <w:right w:w="100" w:type="dxa"/>
            </w:tcMar>
          </w:tcPr>
          <w:p w:rsidR="00FF2526">
            <w:r>
              <w:t>[10][11], policy design sources</w:t>
            </w:r>
          </w:p>
        </w:tc>
        <w:tc>
          <w:tcPr>
            <w:tcW w:w="2173" w:type="dxa"/>
            <w:tcBorders>
              <w:top w:val="nil"/>
              <w:left w:val="nil"/>
              <w:bottom w:val="nil"/>
              <w:right w:val="nil"/>
            </w:tcBorders>
            <w:tcMar>
              <w:top w:w="100" w:type="dxa"/>
              <w:left w:w="100" w:type="dxa"/>
              <w:bottom w:w="100" w:type="dxa"/>
              <w:right w:w="100" w:type="dxa"/>
            </w:tcMar>
          </w:tcPr>
          <w:p w:rsidR="00FF2526">
            <w:r>
              <w:t>England’s model is consultative; Wales is a devolved comparator, not direct proof.</w:t>
            </w:r>
          </w:p>
        </w:tc>
        <w:tc>
          <w:tcPr>
            <w:tcW w:w="2104" w:type="dxa"/>
            <w:tcBorders>
              <w:top w:val="nil"/>
              <w:left w:val="nil"/>
              <w:bottom w:val="nil"/>
              <w:right w:val="nil"/>
            </w:tcBorders>
            <w:tcMar>
              <w:top w:w="100" w:type="dxa"/>
              <w:left w:w="100" w:type="dxa"/>
              <w:bottom w:w="100" w:type="dxa"/>
              <w:right w:w="100" w:type="dxa"/>
            </w:tcMar>
          </w:tcPr>
          <w:p w:rsidR="00FF2526">
            <w:r>
              <w:t>Admin-cost and additionality assessment by provider type.</w:t>
            </w:r>
          </w:p>
        </w:tc>
      </w:tr>
    </w:tbl>
    <w:p w:rsidR="00FF2526"/>
    <w:sectPr>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8C0FC53-314A-410C-A5DD-8E246A2B2009}"/>
  </w:font>
  <w:font w:name="Cambria">
    <w:panose1 w:val="02040503050406030204"/>
    <w:charset w:val="00"/>
    <w:family w:val="roman"/>
    <w:pitch w:val="variable"/>
    <w:sig w:usb0="E00006FF" w:usb1="420024FF" w:usb2="02000000" w:usb3="00000000" w:csb0="0000019F" w:csb1="00000000"/>
    <w:embedRegular r:id="rId2" w:fontKey="{30E05FBB-A4F8-4EB6-B52A-2420D70570D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0"/>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0000000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000000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000000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000000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000000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000000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0000000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0000009"/>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nsid w:val="0000000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0000000B"/>
    <w:multiLevelType w:val="hybridMultilevel"/>
    <w:tmpl w:val="00000000"/>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nsid w:val="0000000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0000000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0000000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0000000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0000001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00000011"/>
    <w:multiLevelType w:val="hybridMultilevel"/>
    <w:tmpl w:val="0000000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nsid w:val="0000001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0000001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0000001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0000001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0000001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7B5"/>
  </w:style>
  <w:style w:type="paragraph" w:styleId="Heading1">
    <w:name w:val="heading 1"/>
    <w:basedOn w:val="Normal1"/>
    <w:next w:val="Normal1"/>
    <w:pPr>
      <w:keepNext/>
      <w:keepLines/>
      <w:spacing w:before="400" w:after="120" w:line="240" w:lineRule="auto"/>
      <w:outlineLvl w:val="0"/>
    </w:pPr>
    <w:rPr>
      <w:sz w:val="40"/>
      <w:szCs w:val="40"/>
    </w:rPr>
  </w:style>
  <w:style w:type="paragraph" w:styleId="Heading2">
    <w:name w:val="heading 2"/>
    <w:basedOn w:val="Normal1"/>
    <w:next w:val="Normal1"/>
    <w:pPr>
      <w:keepNext/>
      <w:keepLines/>
      <w:spacing w:before="360" w:after="120" w:line="240" w:lineRule="auto"/>
      <w:outlineLvl w:val="1"/>
    </w:pPr>
    <w:rPr>
      <w:sz w:val="32"/>
      <w:szCs w:val="32"/>
    </w:rPr>
  </w:style>
  <w:style w:type="paragraph" w:styleId="Heading3">
    <w:name w:val="heading 3"/>
    <w:basedOn w:val="Normal1"/>
    <w:next w:val="Normal1"/>
    <w:pPr>
      <w:keepNext/>
      <w:keepLines/>
      <w:spacing w:before="320" w:after="80" w:line="240" w:lineRule="auto"/>
      <w:outlineLvl w:val="2"/>
    </w:pPr>
    <w:rPr>
      <w:color w:val="434343"/>
      <w:sz w:val="28"/>
      <w:szCs w:val="28"/>
    </w:rPr>
  </w:style>
  <w:style w:type="paragraph" w:styleId="Heading4">
    <w:name w:val="heading 4"/>
    <w:basedOn w:val="Normal1"/>
    <w:next w:val="Normal1"/>
    <w:pPr>
      <w:keepNext/>
      <w:keepLines/>
      <w:spacing w:before="280" w:after="80" w:line="240" w:lineRule="auto"/>
      <w:outlineLvl w:val="3"/>
    </w:pPr>
    <w:rPr>
      <w:color w:val="666666"/>
      <w:sz w:val="24"/>
      <w:szCs w:val="24"/>
    </w:rPr>
  </w:style>
  <w:style w:type="paragraph" w:styleId="Heading5">
    <w:name w:val="heading 5"/>
    <w:basedOn w:val="Normal1"/>
    <w:next w:val="Normal1"/>
    <w:pPr>
      <w:keepNext/>
      <w:keepLines/>
      <w:spacing w:before="240" w:after="80" w:line="240" w:lineRule="auto"/>
      <w:outlineLvl w:val="4"/>
    </w:pPr>
    <w:rPr>
      <w:color w:val="666666"/>
    </w:rPr>
  </w:style>
  <w:style w:type="paragraph" w:styleId="Heading6">
    <w:name w:val="heading 6"/>
    <w:basedOn w:val="Normal1"/>
    <w:next w:val="Normal1"/>
    <w:pPr>
      <w:keepNext/>
      <w:keepLines/>
      <w:spacing w:before="240" w:after="80" w:line="240" w:lineRule="auto"/>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style>
  <w:style w:type="paragraph" w:styleId="Title">
    <w:name w:val="Title"/>
    <w:basedOn w:val="Normal1"/>
    <w:next w:val="Normal1"/>
    <w:pPr>
      <w:keepNext/>
      <w:keepLines/>
      <w:spacing w:after="60" w:line="240" w:lineRule="auto"/>
    </w:pPr>
    <w:rPr>
      <w:sz w:val="52"/>
      <w:szCs w:val="52"/>
    </w:rPr>
  </w:style>
  <w:style w:type="paragraph" w:styleId="Subtitle">
    <w:name w:val="Subtitle"/>
    <w:basedOn w:val="Normal1"/>
    <w:next w:val="Normal1"/>
    <w:pPr>
      <w:keepNext/>
      <w:keepLines/>
      <w:spacing w:after="320" w:line="240" w:lineRule="auto"/>
    </w:pPr>
    <w:rPr>
      <w:color w:val="666666"/>
      <w:sz w:val="30"/>
      <w:szCs w:val="30"/>
    </w:rPr>
  </w:style>
  <w:style w:type="table" w:customStyle="1" w:styleId="Table1">
    <w:name w:val="Table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TOU0006</dc:title>
  <cp:revision>0</cp:revision>
</cp:coreProperties>
</file>