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000000" w:rsidRPr="00000000" w:rsidP="00000000">
      <w:pPr>
        <w:pStyle w:val="Heading2"/>
        <w:keepNext w:val="0"/>
        <w:keepLines w:val="0"/>
        <w:spacing w:after="80" w:line="240" w:lineRule="auto"/>
        <w:rPr>
          <w:sz w:val="24"/>
          <w:szCs w:val="24"/>
        </w:rPr>
      </w:pPr>
      <w:bookmarkStart w:id="0" w:name="_v60k93wt30x3" w:colFirst="0" w:colLast="0"/>
      <w:bookmarkEnd w:id="0"/>
      <w:r w:rsidRPr="00000000">
        <w:rPr>
          <w:b/>
          <w:bCs/>
          <w:sz w:val="26"/>
          <w:szCs w:val="26"/>
          <w:rtl w:val="0"/>
        </w:rPr>
        <w:t>1) One-page briefing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Submitter:</w:t>
      </w:r>
      <w:r w:rsidRPr="00000000">
        <w:rPr>
          <w:rtl w:val="0"/>
        </w:rPr>
        <w:t xml:space="preserve"> Hleb Buziuk, independent public policy and governance researcher, personal capacity.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Three key messages</w:t>
      </w:r>
    </w:p>
    <w:p w:rsidR="00000000" w:rsidRPr="00000000" w:rsidP="00000000">
      <w:pPr>
        <w:numPr>
          <w:ilvl w:val="0"/>
          <w:numId w:val="9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The UK’s recovery should be judged by real value, stay length and regional spread, not only by visitor numbers. In 2024, inbound visitors made 42.6 million visits, spent £32.5 billion and stayed 293 million nights. ONS labels these figures official statistics in development. [2][3]</w:t>
      </w:r>
    </w:p>
    <w:p w:rsidR="00000000" w:rsidRPr="00000000" w:rsidP="00000000">
      <w:pPr>
        <w:numPr>
          <w:ilvl w:val="0"/>
          <w:numId w:val="9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England’s destination governance is more coherent than in 2021, but public outcome accountability has not caught up with the new LVEP, DDP and tourism-data architecture. [4][5]</w:t>
      </w:r>
    </w:p>
    <w:p w:rsidR="00000000" w:rsidRPr="00000000" w:rsidP="00000000">
      <w:pPr>
        <w:numPr>
          <w:ilvl w:val="0"/>
          <w:numId w:val="9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Tourism is already material to regional growth: VisitBritain’s commissioned modelling reports a £147 billion GDP impact in 2024, at least 4% of GDP in every UK region and nation, while Historic England reports £44.9 billion of heritage-sector GVA in 2022. [8][9]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Key findings</w:t>
      </w:r>
    </w:p>
    <w:p w:rsidR="00000000" w:rsidRPr="00000000" w:rsidP="00000000">
      <w:pPr>
        <w:numPr>
          <w:ilvl w:val="0"/>
          <w:numId w:val="4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Inbound recovery is stronger in nominal yield than in real value. The 2024 figures imply about £763 per inbound visit and £111 per inbound night, while VisitBritain’s modelled comparison says real-terms spend remained 8% below 2019. [2][3]</w:t>
      </w:r>
    </w:p>
    <w:p w:rsidR="00000000" w:rsidRPr="00000000" w:rsidP="00000000">
      <w:pPr>
        <w:numPr>
          <w:ilvl w:val="0"/>
          <w:numId w:val="4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We infer a domestic price-volume warning sign. In England, day-visit spend rose 6% while volume fell 12%, and overnight spend rose 5% while trip volume fell 10%. The summary pages do not publish respondent denominators. [6][7]</w:t>
      </w:r>
    </w:p>
    <w:p w:rsidR="00000000" w:rsidRPr="00000000" w:rsidP="00000000">
      <w:pPr>
        <w:numPr>
          <w:ilvl w:val="0"/>
          <w:numId w:val="4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We infer that destination reform has improved process assurance faster than outcome evidence. Government accepted in 2022 that the DMO landscape was fragmented and evidence on impact was weak; by 2025, VisitEngland reported GIAA-endorsed LVEP accreditation and granular local data, but not a public outcomes scorecard. [4][5]</w:t>
      </w:r>
    </w:p>
    <w:p w:rsidR="00000000" w:rsidRPr="00000000" w:rsidP="00000000">
      <w:pPr>
        <w:numPr>
          <w:ilvl w:val="0"/>
          <w:numId w:val="4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We infer that regional growth should be tested against access as well as attractions. Tourism contributes at least 4% of GDP in every UK region and nation, heritage has a large economic footprint, but bus journeys per head outside London remain 37, below the 2009 peak of 55. [8][9][11]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Recommendations</w:t>
      </w:r>
    </w:p>
    <w:p w:rsidR="00000000" w:rsidRPr="00000000" w:rsidP="00000000">
      <w:pPr>
        <w:numPr>
          <w:ilvl w:val="0"/>
          <w:numId w:val="8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DCMS, ONS and VisitBritain: publish a yearly Visitor Economy Scorecard within 12 months. Check: public table for visits, nights, nominal spend, real spend, stay length, labour, access and investment.</w:t>
      </w:r>
    </w:p>
    <w:p w:rsidR="00000000" w:rsidRPr="00000000" w:rsidP="00000000">
      <w:pPr>
        <w:numPr>
          <w:ilvl w:val="0"/>
          <w:numId w:val="8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DCMS and VisitEngland: publish an LVEP and DDP outcomes scorecard before wider roll-out. Check: funding, private leverage, visits, nights, spend and evaluation status by place.</w:t>
      </w:r>
    </w:p>
    <w:p w:rsidR="00000000" w:rsidRPr="00000000" w:rsidP="00000000">
      <w:pPr>
        <w:numPr>
          <w:ilvl w:val="0"/>
          <w:numId w:val="8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MHCLG and HMT: if visitor levy powers proceed, require ring-fencing, additionality and a three-year review. Check: levy prospectus, audited receipts and published spend.</w:t>
      </w:r>
    </w:p>
    <w:p w:rsidR="00000000" w:rsidRPr="00000000" w:rsidP="00000000">
      <w:pPr>
        <w:numPr>
          <w:ilvl w:val="0"/>
          <w:numId w:val="8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Home Office, DWP and DCMS: publish an annual tourism workforce statement. Check: vacancies, jobs, pay, retention, immigration routes and skills actions.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What is new vs official sources</w:t>
      </w:r>
    </w:p>
    <w:p w:rsidR="00000000" w:rsidRPr="00000000" w:rsidP="00000000">
      <w:pPr>
        <w:numPr>
          <w:ilvl w:val="0"/>
          <w:numId w:val="23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This submission converts headline tourism figures into yield and affordability tests.</w:t>
      </w:r>
    </w:p>
    <w:p w:rsidR="00000000" w:rsidRPr="00000000" w:rsidP="00000000">
      <w:pPr>
        <w:numPr>
          <w:ilvl w:val="0"/>
          <w:numId w:val="23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It treats data maturity and public accountability as a governance issue.</w:t>
      </w:r>
    </w:p>
    <w:p w:rsidR="00000000" w:rsidRPr="00000000" w:rsidP="00000000">
      <w:pPr>
        <w:numPr>
          <w:ilvl w:val="0"/>
          <w:numId w:val="23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It links culture, transport, workforce and levy design to regional tourism outcomes.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Methods and limitations:</w:t>
      </w:r>
      <w:r w:rsidRPr="00000000">
        <w:rPr>
          <w:rtl w:val="0"/>
        </w:rPr>
        <w:t xml:space="preserve"> origin-first, quantitative where possible; see section 3. Annex A, section 7 and section 9 provide ledger, data requests and hearing questions.</w:t>
      </w:r>
    </w:p>
    <w:p w:rsidR="00000000" w:rsidRPr="00000000" w:rsidP="00000000">
      <w:pPr>
        <w:pStyle w:val="Heading2"/>
        <w:keepNext w:val="0"/>
        <w:keepLines w:val="0"/>
        <w:spacing w:after="80" w:line="240" w:lineRule="auto"/>
        <w:rPr>
          <w:b/>
          <w:bCs/>
          <w:sz w:val="26"/>
          <w:szCs w:val="26"/>
        </w:rPr>
      </w:pPr>
      <w:bookmarkStart w:id="1" w:name="_re9s0w1hp8nm" w:colFirst="0" w:colLast="0"/>
      <w:bookmarkEnd w:id="1"/>
      <w:r w:rsidRPr="00000000">
        <w:rPr>
          <w:b/>
          <w:bCs/>
          <w:sz w:val="26"/>
          <w:szCs w:val="26"/>
          <w:rtl w:val="0"/>
        </w:rPr>
        <w:t>2) About the submitter</w:t>
      </w:r>
    </w:p>
    <w:p w:rsidR="00000000" w:rsidRPr="00000000" w:rsidP="00000000">
      <w:pPr>
        <w:spacing w:before="240" w:after="240" w:line="240" w:lineRule="auto"/>
      </w:pPr>
      <w:r w:rsidRPr="00000000">
        <w:rPr>
          <w:rtl w:val="0"/>
        </w:rPr>
        <w:t>Hleb Buziuk is an independent public policy and governance researcher. This submission is made in a personal capacity. It focuses on evidence use, implementation gaps and accountability tests that the Committee can verify through departments, public bodies and official datasets.</w:t>
      </w:r>
    </w:p>
    <w:p w:rsidR="00000000" w:rsidRPr="00000000" w:rsidP="00000000">
      <w:pPr>
        <w:pStyle w:val="Heading2"/>
        <w:keepNext w:val="0"/>
        <w:keepLines w:val="0"/>
        <w:spacing w:after="80" w:line="240" w:lineRule="auto"/>
        <w:rPr>
          <w:b/>
          <w:bCs/>
          <w:sz w:val="26"/>
          <w:szCs w:val="26"/>
        </w:rPr>
      </w:pPr>
      <w:bookmarkStart w:id="2" w:name="_mfthzzjjlaal" w:colFirst="0" w:colLast="0"/>
      <w:bookmarkEnd w:id="2"/>
      <w:r w:rsidRPr="00000000">
        <w:rPr>
          <w:b/>
          <w:bCs/>
          <w:sz w:val="26"/>
          <w:szCs w:val="26"/>
          <w:rtl w:val="0"/>
        </w:rPr>
        <w:t>3) Methods, sources and limitations</w:t>
      </w:r>
    </w:p>
    <w:p w:rsidR="00000000" w:rsidRPr="00000000" w:rsidP="00000000">
      <w:pPr>
        <w:spacing w:before="240" w:after="240" w:line="240" w:lineRule="auto"/>
      </w:pPr>
      <w:r w:rsidRPr="00000000">
        <w:rPr>
          <w:rtl w:val="0"/>
        </w:rPr>
        <w:t>This submission uses an origin-first source ladder: official statistics, departmental publications, annual reports, statutory consultations, public body research and formal advisory reviews. Committee reports and sector commentary are treated as secondary where origin sources exist.</w:t>
      </w:r>
    </w:p>
    <w:p w:rsidR="00000000" w:rsidRPr="00000000" w:rsidP="00000000">
      <w:pPr>
        <w:spacing w:before="240" w:after="240" w:line="240" w:lineRule="auto"/>
      </w:pPr>
      <w:r w:rsidRPr="00000000">
        <w:rPr>
          <w:rtl w:val="0"/>
        </w:rPr>
        <w:t>No headline claim is secondary-only, though some rely on near-origin or same-ecosystem public body reporting rather than independent evaluation, as noted in Annex A. The main limitation is data comparability: ONS labels 2024 overseas travel and tourism estimates as official statistics in development and cautions against direct comparison with earlier estimates while methods are being developed. [2]</w:t>
      </w:r>
    </w:p>
    <w:p w:rsidR="00000000" w:rsidRPr="00000000" w:rsidP="00000000">
      <w:pPr>
        <w:spacing w:before="240" w:after="240" w:line="240" w:lineRule="auto"/>
      </w:pPr>
      <w:r w:rsidRPr="00000000">
        <w:rPr>
          <w:rtl w:val="0"/>
        </w:rPr>
        <w:t>Synthesis insights use two visible anchors in the references and Annex A. Claims about impact without direct anchors are framed as proposed tests, not proven effects.</w:t>
      </w:r>
    </w:p>
    <w:p w:rsidR="00000000" w:rsidRPr="00000000" w:rsidP="00000000">
      <w:pPr>
        <w:pStyle w:val="Heading2"/>
        <w:keepNext w:val="0"/>
        <w:keepLines w:val="0"/>
        <w:spacing w:after="80" w:line="240" w:lineRule="auto"/>
        <w:rPr>
          <w:b/>
          <w:bCs/>
          <w:sz w:val="26"/>
          <w:szCs w:val="26"/>
        </w:rPr>
      </w:pPr>
      <w:bookmarkStart w:id="3" w:name="_lzgpkg8ql2xk" w:colFirst="0" w:colLast="0"/>
      <w:bookmarkEnd w:id="3"/>
      <w:r w:rsidRPr="00000000">
        <w:rPr>
          <w:b/>
          <w:bCs/>
          <w:sz w:val="26"/>
          <w:szCs w:val="26"/>
          <w:rtl w:val="0"/>
        </w:rPr>
        <w:t>4) Context and background</w:t>
      </w:r>
    </w:p>
    <w:p w:rsidR="00000000" w:rsidRPr="00000000" w:rsidP="00000000">
      <w:pPr>
        <w:spacing w:before="240" w:after="240" w:line="240" w:lineRule="auto"/>
      </w:pPr>
      <w:r w:rsidRPr="00000000">
        <w:rPr>
          <w:rtl w:val="0"/>
        </w:rPr>
        <w:t>The Committee’s call covers policy effectiveness, structures, investment, recovery, domestic demand, regional growth, heritage and workforce issues, and permits selected coverage.</w:t>
      </w:r>
    </w:p>
    <w:p w:rsidR="00000000" w:rsidRPr="00000000" w:rsidP="00000000">
      <w:pPr>
        <w:spacing w:before="240" w:after="240" w:line="240" w:lineRule="auto"/>
      </w:pPr>
      <w:r w:rsidRPr="00000000">
        <w:rPr>
          <w:rtl w:val="0"/>
        </w:rPr>
        <w:t>This submission concentrates on five tests: recovery quality, domestic affordability, governance accountability, regional access and workforce resilience.</w:t>
      </w:r>
    </w:p>
    <w:p w:rsidR="00000000" w:rsidRPr="00000000" w:rsidP="00000000">
      <w:pPr>
        <w:pStyle w:val="Heading2"/>
        <w:keepNext w:val="0"/>
        <w:keepLines w:val="0"/>
        <w:spacing w:after="80" w:line="240" w:lineRule="auto"/>
        <w:rPr>
          <w:b/>
          <w:bCs/>
          <w:sz w:val="26"/>
          <w:szCs w:val="26"/>
        </w:rPr>
      </w:pPr>
      <w:bookmarkStart w:id="4" w:name="_c6np1inuov62" w:colFirst="0" w:colLast="0"/>
      <w:bookmarkEnd w:id="4"/>
      <w:r w:rsidRPr="00000000">
        <w:rPr>
          <w:b/>
          <w:bCs/>
          <w:sz w:val="26"/>
          <w:szCs w:val="26"/>
          <w:rtl w:val="0"/>
        </w:rPr>
        <w:t>5) Evidence mapped to ToR themes</w:t>
      </w:r>
    </w:p>
    <w:p w:rsidR="00000000" w:rsidRPr="00000000" w:rsidP="00000000">
      <w:pPr>
        <w:pStyle w:val="Heading3"/>
        <w:keepNext w:val="0"/>
        <w:keepLines w:val="0"/>
        <w:spacing w:before="280" w:line="240" w:lineRule="auto"/>
        <w:rPr>
          <w:b/>
          <w:bCs/>
          <w:color w:val="000000"/>
          <w:sz w:val="24"/>
          <w:szCs w:val="24"/>
        </w:rPr>
      </w:pPr>
      <w:bookmarkStart w:id="5" w:name="_1ga8huyziff6" w:colFirst="0" w:colLast="0"/>
      <w:bookmarkEnd w:id="5"/>
      <w:r w:rsidRPr="00000000">
        <w:rPr>
          <w:b/>
          <w:bCs/>
          <w:color w:val="000000"/>
          <w:sz w:val="24"/>
          <w:szCs w:val="24"/>
          <w:rtl w:val="0"/>
        </w:rPr>
        <w:t>5.1 International competitiveness and recovery quality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Headline.</w:t>
      </w:r>
      <w:r w:rsidRPr="00000000">
        <w:rPr>
          <w:rtl w:val="0"/>
        </w:rPr>
        <w:t xml:space="preserve"> The UK’s inbound performance is best read as mixed recovery. In 2024, ONS estimated 42.6 million inbound visits, £32.5 billion spend and 293 million nights. That gives derived yields of about £763 per visit and £111 per night. VisitBritain’s modelled comparison says visits were about 1% below 2019, nominal spend was 14% above 2019, but real-terms spend was 8% below 2019. [2][3]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Observations</w:t>
      </w:r>
    </w:p>
    <w:p w:rsidR="00000000" w:rsidRPr="00000000" w:rsidP="00000000">
      <w:pPr>
        <w:numPr>
          <w:ilvl w:val="0"/>
          <w:numId w:val="19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Nominal spend alone can overstate recovery.</w:t>
      </w:r>
    </w:p>
    <w:p w:rsidR="00000000" w:rsidRPr="00000000" w:rsidP="00000000">
      <w:pPr>
        <w:numPr>
          <w:ilvl w:val="0"/>
          <w:numId w:val="19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Stay length and spend per night are as important as arrivals.</w:t>
      </w:r>
    </w:p>
    <w:p w:rsidR="00000000" w:rsidRPr="00000000" w:rsidP="00000000">
      <w:pPr>
        <w:numPr>
          <w:ilvl w:val="0"/>
          <w:numId w:val="19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This submission does not attempt a full European league table because the data sources are not fully like-for-like. [2]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Added value:</w:t>
      </w:r>
      <w:r w:rsidRPr="00000000">
        <w:rPr>
          <w:rtl w:val="0"/>
        </w:rPr>
        <w:t xml:space="preserve"> this turns a broad “recovery” question into a real-yield and stay-length test.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Three points</w:t>
      </w:r>
    </w:p>
    <w:p w:rsidR="00000000" w:rsidRPr="00000000" w:rsidP="00000000">
      <w:pPr>
        <w:numPr>
          <w:ilvl w:val="0"/>
          <w:numId w:val="24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“The UK should not mistake nominal receipts for full recovery.”</w:t>
      </w:r>
    </w:p>
    <w:p w:rsidR="00000000" w:rsidRPr="00000000" w:rsidP="00000000">
      <w:pPr>
        <w:numPr>
          <w:ilvl w:val="0"/>
          <w:numId w:val="24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“A stronger destination profile should show up in longer stays, real spend and spread.”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Trade-off.</w:t>
      </w:r>
      <w:r w:rsidRPr="00000000">
        <w:rPr>
          <w:rtl w:val="0"/>
        </w:rPr>
        <w:t xml:space="preserve"> Marketing can increase demand, but if value is eroded by price, access or visa friction, visitor numbers may not translate into real resilience.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Options</w:t>
      </w:r>
    </w:p>
    <w:p w:rsidR="00000000" w:rsidRPr="00000000" w:rsidP="00000000">
      <w:pPr>
        <w:numPr>
          <w:ilvl w:val="0"/>
          <w:numId w:val="15"/>
        </w:numPr>
        <w:spacing w:before="240" w:after="0" w:afterAutospacing="0" w:line="240" w:lineRule="auto"/>
        <w:ind w:left="720" w:hanging="360"/>
      </w:pPr>
      <w:r w:rsidRPr="00000000">
        <w:rPr>
          <w:b/>
          <w:bCs/>
          <w:rtl w:val="0"/>
        </w:rPr>
        <w:t>A:</w:t>
      </w:r>
      <w:r w:rsidRPr="00000000">
        <w:rPr>
          <w:rtl w:val="0"/>
        </w:rPr>
        <w:t xml:space="preserve"> publish the existing visits and spend series.</w:t>
      </w:r>
    </w:p>
    <w:p w:rsidR="00000000" w:rsidRPr="00000000" w:rsidP="00000000">
      <w:pPr>
        <w:numPr>
          <w:ilvl w:val="0"/>
          <w:numId w:val="15"/>
        </w:numPr>
        <w:spacing w:before="0" w:beforeAutospacing="0" w:after="0" w:afterAutospacing="0" w:line="240" w:lineRule="auto"/>
        <w:ind w:left="720" w:hanging="360"/>
      </w:pPr>
      <w:r w:rsidRPr="00000000">
        <w:rPr>
          <w:b/>
          <w:bCs/>
          <w:rtl w:val="0"/>
        </w:rPr>
        <w:t>B:</w:t>
      </w:r>
      <w:r w:rsidRPr="00000000">
        <w:rPr>
          <w:rtl w:val="0"/>
        </w:rPr>
        <w:t xml:space="preserve"> publish a real-yield dashboard with visits, nights, spend, real spend and purpose.</w:t>
      </w:r>
    </w:p>
    <w:p w:rsidR="00000000" w:rsidRPr="00000000" w:rsidP="00000000">
      <w:pPr>
        <w:numPr>
          <w:ilvl w:val="0"/>
          <w:numId w:val="15"/>
        </w:numPr>
        <w:spacing w:before="0" w:beforeAutospacing="0" w:after="240" w:line="240" w:lineRule="auto"/>
        <w:ind w:left="720" w:hanging="360"/>
      </w:pPr>
      <w:r w:rsidRPr="00000000">
        <w:rPr>
          <w:b/>
          <w:bCs/>
          <w:rtl w:val="0"/>
        </w:rPr>
        <w:t>Preferred:</w:t>
      </w:r>
      <w:r w:rsidRPr="00000000">
        <w:rPr>
          <w:rtl w:val="0"/>
        </w:rPr>
        <w:t xml:space="preserve"> B, because it makes competitiveness measurable.</w:t>
      </w:r>
    </w:p>
    <w:p w:rsidR="00000000" w:rsidRPr="00000000" w:rsidP="00000000">
      <w:pPr>
        <w:spacing w:before="240" w:after="240" w:line="240" w:lineRule="auto"/>
      </w:pPr>
      <w:r w:rsidRPr="00000000">
        <w:rPr>
          <w:rtl w:val="0"/>
        </w:rPr>
        <w:t>The Committee may therefore wish to request a matched comparator table on visits, nights, stay length and real spend for major European destinations.</w:t>
      </w:r>
    </w:p>
    <w:p w:rsidR="00000000" w:rsidRPr="00000000" w:rsidP="00000000">
      <w:pPr>
        <w:pStyle w:val="Heading3"/>
        <w:keepNext w:val="0"/>
        <w:keepLines w:val="0"/>
        <w:spacing w:before="280" w:line="240" w:lineRule="auto"/>
        <w:rPr>
          <w:b/>
          <w:bCs/>
          <w:color w:val="000000"/>
          <w:sz w:val="24"/>
          <w:szCs w:val="24"/>
        </w:rPr>
      </w:pPr>
      <w:bookmarkStart w:id="6" w:name="_s6wc0vp5z43z" w:colFirst="0" w:colLast="0"/>
      <w:bookmarkEnd w:id="6"/>
      <w:r w:rsidRPr="00000000">
        <w:rPr>
          <w:b/>
          <w:bCs/>
          <w:color w:val="000000"/>
          <w:sz w:val="24"/>
          <w:szCs w:val="24"/>
          <w:rtl w:val="0"/>
        </w:rPr>
        <w:t>5.2 Structures, LVEPs, DDPs and investment accountability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Headline.</w:t>
      </w:r>
      <w:r w:rsidRPr="00000000">
        <w:rPr>
          <w:rtl w:val="0"/>
        </w:rPr>
        <w:t xml:space="preserve"> Government accepted in 2022 that England’s DMO landscape was fragmented and that robust quantifiable evidence on DMO impact was lacking. [5] By 2025, VisitBritain/VisitEngland reported that a GIAA review found a robust, consistent and effective LVEP accreditation process, plus local authority and LVEP-level data sources including GBTS, IPS, short-term lets and card spending data. [4]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Observations</w:t>
      </w:r>
    </w:p>
    <w:p w:rsidR="00000000" w:rsidRPr="00000000" w:rsidP="00000000">
      <w:pPr>
        <w:numPr>
          <w:ilvl w:val="0"/>
          <w:numId w:val="6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The architecture is more coherent than before.</w:t>
      </w:r>
    </w:p>
    <w:p w:rsidR="00000000" w:rsidRPr="00000000" w:rsidP="00000000">
      <w:pPr>
        <w:numPr>
          <w:ilvl w:val="0"/>
          <w:numId w:val="6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The evidence base has improved.</w:t>
      </w:r>
    </w:p>
    <w:p w:rsidR="00000000" w:rsidRPr="00000000" w:rsidP="00000000">
      <w:pPr>
        <w:numPr>
          <w:ilvl w:val="0"/>
          <w:numId w:val="6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Public outcome reporting remains weaker than process assurance.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Added value:</w:t>
      </w:r>
      <w:r w:rsidRPr="00000000">
        <w:rPr>
          <w:rtl w:val="0"/>
        </w:rPr>
        <w:t xml:space="preserve"> the remaining gap is not only “more data”; it is a public accountability test.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Three points</w:t>
      </w:r>
    </w:p>
    <w:p w:rsidR="00000000" w:rsidRPr="00000000" w:rsidP="00000000">
      <w:pPr>
        <w:numPr>
          <w:ilvl w:val="0"/>
          <w:numId w:val="21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“Accreditation is useful, but it is not the same as outcome evidence.”</w:t>
      </w:r>
    </w:p>
    <w:p w:rsidR="00000000" w:rsidRPr="00000000" w:rsidP="00000000">
      <w:pPr>
        <w:numPr>
          <w:ilvl w:val="0"/>
          <w:numId w:val="21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“LVEP and DDP funding should be tied to a comparable public scorecard.”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Trade-off.</w:t>
      </w:r>
      <w:r w:rsidRPr="00000000">
        <w:rPr>
          <w:rtl w:val="0"/>
        </w:rPr>
        <w:t xml:space="preserve"> Early league tables can create false precision. The safer route is a common data dictionary and a small mandatory metric set.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Options</w:t>
      </w:r>
    </w:p>
    <w:p w:rsidR="00000000" w:rsidRPr="00000000" w:rsidP="00000000">
      <w:pPr>
        <w:numPr>
          <w:ilvl w:val="0"/>
          <w:numId w:val="1"/>
        </w:numPr>
        <w:spacing w:before="240" w:after="0" w:afterAutospacing="0" w:line="240" w:lineRule="auto"/>
        <w:ind w:left="720" w:hanging="360"/>
      </w:pPr>
      <w:r w:rsidRPr="00000000">
        <w:rPr>
          <w:b/>
          <w:bCs/>
          <w:rtl w:val="0"/>
        </w:rPr>
        <w:t>A:</w:t>
      </w:r>
      <w:r w:rsidRPr="00000000">
        <w:rPr>
          <w:rtl w:val="0"/>
        </w:rPr>
        <w:t xml:space="preserve"> continue internal monitoring.</w:t>
      </w:r>
    </w:p>
    <w:p w:rsidR="00000000" w:rsidRPr="00000000" w:rsidP="00000000">
      <w:pPr>
        <w:numPr>
          <w:ilvl w:val="0"/>
          <w:numId w:val="1"/>
        </w:numPr>
        <w:spacing w:before="0" w:beforeAutospacing="0" w:after="0" w:afterAutospacing="0" w:line="240" w:lineRule="auto"/>
        <w:ind w:left="720" w:hanging="360"/>
      </w:pPr>
      <w:r w:rsidRPr="00000000">
        <w:rPr>
          <w:b/>
          <w:bCs/>
          <w:rtl w:val="0"/>
        </w:rPr>
        <w:t>B:</w:t>
      </w:r>
      <w:r w:rsidRPr="00000000">
        <w:rPr>
          <w:rtl w:val="0"/>
        </w:rPr>
        <w:t xml:space="preserve"> publish an annual LVEP and DDP scorecard.</w:t>
      </w:r>
    </w:p>
    <w:p w:rsidR="00000000" w:rsidRPr="00000000" w:rsidP="00000000">
      <w:pPr>
        <w:numPr>
          <w:ilvl w:val="0"/>
          <w:numId w:val="1"/>
        </w:numPr>
        <w:spacing w:before="0" w:beforeAutospacing="0" w:after="240" w:line="240" w:lineRule="auto"/>
        <w:ind w:left="720" w:hanging="360"/>
      </w:pPr>
      <w:r w:rsidRPr="00000000">
        <w:rPr>
          <w:b/>
          <w:bCs/>
          <w:rtl w:val="0"/>
        </w:rPr>
        <w:t>Preferred:</w:t>
      </w:r>
      <w:r w:rsidRPr="00000000">
        <w:rPr>
          <w:rtl w:val="0"/>
        </w:rPr>
        <w:t xml:space="preserve"> B, because Parliament can then test value for money.</w:t>
      </w:r>
    </w:p>
    <w:p w:rsidR="00000000" w:rsidRPr="00000000" w:rsidP="00000000">
      <w:pPr>
        <w:pStyle w:val="Heading3"/>
        <w:keepNext w:val="0"/>
        <w:keepLines w:val="0"/>
        <w:spacing w:before="280" w:line="240" w:lineRule="auto"/>
        <w:rPr>
          <w:b/>
          <w:bCs/>
          <w:color w:val="000000"/>
          <w:sz w:val="24"/>
          <w:szCs w:val="24"/>
        </w:rPr>
      </w:pPr>
      <w:bookmarkStart w:id="7" w:name="_937aawa3yn1g" w:colFirst="0" w:colLast="0"/>
      <w:bookmarkEnd w:id="7"/>
      <w:r w:rsidRPr="00000000">
        <w:rPr>
          <w:b/>
          <w:bCs/>
          <w:color w:val="000000"/>
          <w:sz w:val="24"/>
          <w:szCs w:val="24"/>
          <w:rtl w:val="0"/>
        </w:rPr>
        <w:t>5.3 Domestic tourism, affordability and business viability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Headline.</w:t>
      </w:r>
      <w:r w:rsidRPr="00000000">
        <w:rPr>
          <w:rtl w:val="0"/>
        </w:rPr>
        <w:t xml:space="preserve"> England’s domestic tourism pattern suggests value is rising faster than volume. Day-visit volume fell 12% in 2024 while spend rose 6%. Overnight trip volume fell 10% while spend rose 5%. These headline pages do not publish respondent denominators in the summary. [6][7]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Observations</w:t>
      </w:r>
    </w:p>
    <w:p w:rsidR="00000000" w:rsidRPr="00000000" w:rsidP="00000000">
      <w:pPr>
        <w:numPr>
          <w:ilvl w:val="0"/>
          <w:numId w:val="16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The implied spend-per-trip increase is about 20.5% for day visits and 16.7% for overnight trips.</w:t>
      </w:r>
    </w:p>
    <w:p w:rsidR="00000000" w:rsidRPr="00000000" w:rsidP="00000000">
      <w:pPr>
        <w:numPr>
          <w:ilvl w:val="0"/>
          <w:numId w:val="16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This may reflect prices, mix changes, shorter booking patterns or higher-value activities.</w:t>
      </w:r>
    </w:p>
    <w:p w:rsidR="00000000" w:rsidRPr="00000000" w:rsidP="00000000">
      <w:pPr>
        <w:numPr>
          <w:ilvl w:val="0"/>
          <w:numId w:val="16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It is not enough to stimulate demand; policy should also track who is priced out.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Added value:</w:t>
      </w:r>
      <w:r w:rsidRPr="00000000">
        <w:rPr>
          <w:rtl w:val="0"/>
        </w:rPr>
        <w:t xml:space="preserve"> this reframes domestic recovery as a price-volume question, not a simple demand question.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Three points</w:t>
      </w:r>
    </w:p>
    <w:p w:rsidR="00000000" w:rsidRPr="00000000" w:rsidP="00000000">
      <w:pPr>
        <w:numPr>
          <w:ilvl w:val="0"/>
          <w:numId w:val="14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“Higher spend can mask fewer trips.”</w:t>
      </w:r>
    </w:p>
    <w:p w:rsidR="00000000" w:rsidRPr="00000000" w:rsidP="00000000">
      <w:pPr>
        <w:numPr>
          <w:ilvl w:val="0"/>
          <w:numId w:val="14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“Domestic recovery should be tested by volume, affordability and seasonality.”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Trade-off.</w:t>
      </w:r>
      <w:r w:rsidRPr="00000000">
        <w:rPr>
          <w:rtl w:val="0"/>
        </w:rPr>
        <w:t xml:space="preserve"> Higher spend can help operators cover costs, but it can also reduce access for lower-income households and weaken shoulder-season demand.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Options</w:t>
      </w:r>
    </w:p>
    <w:p w:rsidR="00000000" w:rsidRPr="00000000" w:rsidP="00000000">
      <w:pPr>
        <w:numPr>
          <w:ilvl w:val="0"/>
          <w:numId w:val="18"/>
        </w:numPr>
        <w:spacing w:before="240" w:after="0" w:afterAutospacing="0" w:line="240" w:lineRule="auto"/>
        <w:ind w:left="720" w:hanging="360"/>
      </w:pPr>
      <w:r w:rsidRPr="00000000">
        <w:rPr>
          <w:b/>
          <w:bCs/>
          <w:rtl w:val="0"/>
        </w:rPr>
        <w:t>A:</w:t>
      </w:r>
      <w:r w:rsidRPr="00000000">
        <w:rPr>
          <w:rtl w:val="0"/>
        </w:rPr>
        <w:t xml:space="preserve"> general promotional campaigns.</w:t>
      </w:r>
    </w:p>
    <w:p w:rsidR="00000000" w:rsidRPr="00000000" w:rsidP="00000000">
      <w:pPr>
        <w:numPr>
          <w:ilvl w:val="0"/>
          <w:numId w:val="18"/>
        </w:numPr>
        <w:spacing w:before="0" w:beforeAutospacing="0" w:after="0" w:afterAutospacing="0" w:line="240" w:lineRule="auto"/>
        <w:ind w:left="720" w:hanging="360"/>
      </w:pPr>
      <w:r w:rsidRPr="00000000">
        <w:rPr>
          <w:b/>
          <w:bCs/>
          <w:rtl w:val="0"/>
        </w:rPr>
        <w:t>B:</w:t>
      </w:r>
      <w:r w:rsidRPr="00000000">
        <w:rPr>
          <w:rtl w:val="0"/>
        </w:rPr>
        <w:t xml:space="preserve"> targeted year-round demand support linked to affordability and destination type.</w:t>
      </w:r>
    </w:p>
    <w:p w:rsidR="00000000" w:rsidRPr="00000000" w:rsidP="00000000">
      <w:pPr>
        <w:numPr>
          <w:ilvl w:val="0"/>
          <w:numId w:val="18"/>
        </w:numPr>
        <w:spacing w:before="0" w:beforeAutospacing="0" w:after="240" w:line="240" w:lineRule="auto"/>
        <w:ind w:left="720" w:hanging="360"/>
      </w:pPr>
      <w:r w:rsidRPr="00000000">
        <w:rPr>
          <w:b/>
          <w:bCs/>
          <w:rtl w:val="0"/>
        </w:rPr>
        <w:t>Preferred:</w:t>
      </w:r>
      <w:r w:rsidRPr="00000000">
        <w:rPr>
          <w:rtl w:val="0"/>
        </w:rPr>
        <w:t xml:space="preserve"> B, because it tests both operator viability and consumer access.</w:t>
      </w:r>
    </w:p>
    <w:p w:rsidR="00000000" w:rsidRPr="00000000" w:rsidP="00000000">
      <w:pPr>
        <w:pStyle w:val="Heading3"/>
        <w:keepNext w:val="0"/>
        <w:keepLines w:val="0"/>
        <w:spacing w:before="280" w:line="240" w:lineRule="auto"/>
        <w:rPr>
          <w:b/>
          <w:bCs/>
          <w:color w:val="000000"/>
          <w:sz w:val="24"/>
          <w:szCs w:val="24"/>
        </w:rPr>
      </w:pPr>
      <w:bookmarkStart w:id="8" w:name="_5mtnzsfcsdhu" w:colFirst="0" w:colLast="0"/>
      <w:bookmarkEnd w:id="8"/>
      <w:r w:rsidRPr="00000000">
        <w:rPr>
          <w:b/>
          <w:bCs/>
          <w:color w:val="000000"/>
          <w:sz w:val="24"/>
          <w:szCs w:val="24"/>
          <w:rtl w:val="0"/>
        </w:rPr>
        <w:t>5.4 Regional growth, transport, heritage and creative assets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Headline.</w:t>
      </w:r>
      <w:r w:rsidRPr="00000000">
        <w:rPr>
          <w:rtl w:val="0"/>
        </w:rPr>
        <w:t xml:space="preserve"> VisitBritain’s commissioned modelling estimates a £147 billion GDP impact in 2024, at least 4% of GDP in every UK region and nation, about 2.4 million jobs supported by that commissioned modelling and £52 billion in tax revenue. [8] Historic England reports that the heritage sector supported £44.9 billion in GVA in 2022, including £15.3 billion direct GVA. [9]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Observations</w:t>
      </w:r>
    </w:p>
    <w:p w:rsidR="00000000" w:rsidRPr="00000000" w:rsidP="00000000">
      <w:pPr>
        <w:numPr>
          <w:ilvl w:val="0"/>
          <w:numId w:val="26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The heritage GVA ratio is about 2.93 times direct GVA.</w:t>
      </w:r>
    </w:p>
    <w:p w:rsidR="00000000" w:rsidRPr="00000000" w:rsidP="00000000">
      <w:pPr>
        <w:numPr>
          <w:ilvl w:val="0"/>
          <w:numId w:val="26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Overseas visits to historic attractions rose 76% in 2023, on Historic England’s published summary; denominator not stated in the summary. [10]</w:t>
      </w:r>
    </w:p>
    <w:p w:rsidR="00000000" w:rsidRPr="00000000" w:rsidP="00000000">
      <w:pPr>
        <w:numPr>
          <w:ilvl w:val="0"/>
          <w:numId w:val="26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Bus journeys per head outside London were 37 in the year ending March 2025, compared with a peak of 55 in 2009. [11]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Added value:</w:t>
      </w:r>
      <w:r w:rsidRPr="00000000">
        <w:rPr>
          <w:rtl w:val="0"/>
        </w:rPr>
        <w:t xml:space="preserve"> this treats heritage and culture as growth infrastructure, but proposes a test of whether access allows that value to spread.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Three points</w:t>
      </w:r>
    </w:p>
    <w:p w:rsidR="00000000" w:rsidRPr="00000000" w:rsidP="00000000">
      <w:pPr>
        <w:numPr>
          <w:ilvl w:val="0"/>
          <w:numId w:val="29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“Assets are necessary but not sufficient.”</w:t>
      </w:r>
    </w:p>
    <w:p w:rsidR="00000000" w:rsidRPr="00000000" w:rsidP="00000000">
      <w:pPr>
        <w:numPr>
          <w:ilvl w:val="0"/>
          <w:numId w:val="29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“Regional tourism policy needs transport, culture and investment in one plan.”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Trade-off.</w:t>
      </w:r>
      <w:r w:rsidRPr="00000000">
        <w:rPr>
          <w:rtl w:val="0"/>
        </w:rPr>
        <w:t xml:space="preserve"> Heritage investment may strengthen high-demand places unless transport, digital access and bookable product development are aligned.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Options</w:t>
      </w:r>
    </w:p>
    <w:p w:rsidR="00000000" w:rsidRPr="00000000" w:rsidP="00000000">
      <w:pPr>
        <w:numPr>
          <w:ilvl w:val="0"/>
          <w:numId w:val="11"/>
        </w:numPr>
        <w:spacing w:before="240" w:after="0" w:afterAutospacing="0" w:line="240" w:lineRule="auto"/>
        <w:ind w:left="720" w:hanging="360"/>
      </w:pPr>
      <w:r w:rsidRPr="00000000">
        <w:rPr>
          <w:b/>
          <w:bCs/>
          <w:rtl w:val="0"/>
        </w:rPr>
        <w:t>A:</w:t>
      </w:r>
      <w:r w:rsidRPr="00000000">
        <w:rPr>
          <w:rtl w:val="0"/>
        </w:rPr>
        <w:t xml:space="preserve"> fund cultural and heritage promotion separately.</w:t>
      </w:r>
    </w:p>
    <w:p w:rsidR="00000000" w:rsidRPr="00000000" w:rsidP="00000000">
      <w:pPr>
        <w:numPr>
          <w:ilvl w:val="0"/>
          <w:numId w:val="11"/>
        </w:numPr>
        <w:spacing w:before="0" w:beforeAutospacing="0" w:after="0" w:afterAutospacing="0" w:line="240" w:lineRule="auto"/>
        <w:ind w:left="720" w:hanging="360"/>
      </w:pPr>
      <w:r w:rsidRPr="00000000">
        <w:rPr>
          <w:b/>
          <w:bCs/>
          <w:rtl w:val="0"/>
        </w:rPr>
        <w:t>B:</w:t>
      </w:r>
      <w:r w:rsidRPr="00000000">
        <w:rPr>
          <w:rtl w:val="0"/>
        </w:rPr>
        <w:t xml:space="preserve"> appraise heritage and cultural schemes against visits, nights, jobs and transport access.</w:t>
      </w:r>
    </w:p>
    <w:p w:rsidR="00000000" w:rsidRPr="00000000" w:rsidP="00000000">
      <w:pPr>
        <w:numPr>
          <w:ilvl w:val="0"/>
          <w:numId w:val="11"/>
        </w:numPr>
        <w:spacing w:before="0" w:beforeAutospacing="0" w:after="240" w:line="240" w:lineRule="auto"/>
        <w:ind w:left="720" w:hanging="360"/>
      </w:pPr>
      <w:r w:rsidRPr="00000000">
        <w:rPr>
          <w:b/>
          <w:bCs/>
          <w:rtl w:val="0"/>
        </w:rPr>
        <w:t>Preferred:</w:t>
      </w:r>
      <w:r w:rsidRPr="00000000">
        <w:rPr>
          <w:rtl w:val="0"/>
        </w:rPr>
        <w:t xml:space="preserve"> B, because it links cultural assets to regional growth.</w:t>
      </w:r>
    </w:p>
    <w:p w:rsidR="00000000" w:rsidRPr="00000000" w:rsidP="00000000">
      <w:pPr>
        <w:pStyle w:val="Heading3"/>
        <w:keepNext w:val="0"/>
        <w:keepLines w:val="0"/>
        <w:spacing w:before="280" w:line="240" w:lineRule="auto"/>
        <w:rPr>
          <w:b/>
          <w:bCs/>
          <w:color w:val="000000"/>
          <w:sz w:val="24"/>
          <w:szCs w:val="24"/>
        </w:rPr>
      </w:pPr>
      <w:bookmarkStart w:id="9" w:name="_wtxog6md6a5b" w:colFirst="0" w:colLast="0"/>
      <w:bookmarkEnd w:id="9"/>
      <w:r w:rsidRPr="00000000">
        <w:rPr>
          <w:b/>
          <w:bCs/>
          <w:color w:val="000000"/>
          <w:sz w:val="24"/>
          <w:szCs w:val="24"/>
          <w:rtl w:val="0"/>
        </w:rPr>
        <w:t>5.5 Visitor levy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Headline.</w:t>
      </w:r>
      <w:r w:rsidRPr="00000000">
        <w:rPr>
          <w:rtl w:val="0"/>
        </w:rPr>
        <w:t xml:space="preserve"> The Government consultation proposes to give Mayoral Strategic Authorities in England power to create local overnight visitor levies and seeks views on revenue use, accommodation scope, rates, liability and administration. [12]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Observations</w:t>
      </w:r>
    </w:p>
    <w:p w:rsidR="00000000" w:rsidRPr="00000000" w:rsidP="00000000">
      <w:pPr>
        <w:numPr>
          <w:ilvl w:val="0"/>
          <w:numId w:val="2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Evidence gap: the consultation sets out design choices, but this submission has not cited England-wide impact evidence on demand, operator cost or substitution effects; see section 7 for the data request.</w:t>
      </w:r>
    </w:p>
    <w:p w:rsidR="00000000" w:rsidRPr="00000000" w:rsidP="00000000">
      <w:pPr>
        <w:numPr>
          <w:ilvl w:val="0"/>
          <w:numId w:val="2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We infer that a levy can raise local revenue for destination stewardship and promotion, but may affect price competitiveness if poorly designed.</w:t>
      </w:r>
    </w:p>
    <w:p w:rsidR="00000000" w:rsidRPr="00000000" w:rsidP="00000000">
      <w:pPr>
        <w:numPr>
          <w:ilvl w:val="0"/>
          <w:numId w:val="2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We infer that the key test is additionality: whether levy receipts add to tourism investment rather than replace existing budgets.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Added value:</w:t>
      </w:r>
      <w:r w:rsidRPr="00000000">
        <w:rPr>
          <w:rtl w:val="0"/>
        </w:rPr>
        <w:t xml:space="preserve"> this submission proposes that any levy be audited by design conditions, not judged only for or against.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Three points</w:t>
      </w:r>
    </w:p>
    <w:p w:rsidR="00000000" w:rsidRPr="00000000" w:rsidP="00000000">
      <w:pPr>
        <w:numPr>
          <w:ilvl w:val="0"/>
          <w:numId w:val="5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“A levy should buy visible visitor-economy improvement.”</w:t>
      </w:r>
    </w:p>
    <w:p w:rsidR="00000000" w:rsidRPr="00000000" w:rsidP="00000000">
      <w:pPr>
        <w:numPr>
          <w:ilvl w:val="0"/>
          <w:numId w:val="5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“Ring-fencing and review are the safeguards.”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Trade-off.</w:t>
      </w:r>
      <w:r w:rsidRPr="00000000">
        <w:rPr>
          <w:rtl w:val="0"/>
        </w:rPr>
        <w:t xml:space="preserve"> Local flexibility supports devolution, but inconsistent design may increase complexity for operators.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Options</w:t>
      </w:r>
    </w:p>
    <w:p w:rsidR="00000000" w:rsidRPr="00000000" w:rsidP="00000000">
      <w:pPr>
        <w:numPr>
          <w:ilvl w:val="0"/>
          <w:numId w:val="10"/>
        </w:numPr>
        <w:spacing w:before="240" w:after="0" w:afterAutospacing="0" w:line="240" w:lineRule="auto"/>
        <w:ind w:left="720" w:hanging="360"/>
      </w:pPr>
      <w:r w:rsidRPr="00000000">
        <w:rPr>
          <w:b/>
          <w:bCs/>
          <w:rtl w:val="0"/>
        </w:rPr>
        <w:t>A:</w:t>
      </w:r>
      <w:r w:rsidRPr="00000000">
        <w:rPr>
          <w:rtl w:val="0"/>
        </w:rPr>
        <w:t xml:space="preserve"> broad local power.</w:t>
      </w:r>
    </w:p>
    <w:p w:rsidR="00000000" w:rsidRPr="00000000" w:rsidP="00000000">
      <w:pPr>
        <w:numPr>
          <w:ilvl w:val="0"/>
          <w:numId w:val="10"/>
        </w:numPr>
        <w:spacing w:before="0" w:beforeAutospacing="0" w:after="0" w:afterAutospacing="0" w:line="240" w:lineRule="auto"/>
        <w:ind w:left="720" w:hanging="360"/>
      </w:pPr>
      <w:r w:rsidRPr="00000000">
        <w:rPr>
          <w:b/>
          <w:bCs/>
          <w:rtl w:val="0"/>
        </w:rPr>
        <w:t>B:</w:t>
      </w:r>
      <w:r w:rsidRPr="00000000">
        <w:rPr>
          <w:rtl w:val="0"/>
        </w:rPr>
        <w:t xml:space="preserve"> local power with ring-fencing, additionality and review.</w:t>
      </w:r>
    </w:p>
    <w:p w:rsidR="00000000" w:rsidRPr="00000000" w:rsidP="00000000">
      <w:pPr>
        <w:numPr>
          <w:ilvl w:val="0"/>
          <w:numId w:val="10"/>
        </w:numPr>
        <w:spacing w:before="0" w:beforeAutospacing="0" w:after="240" w:line="240" w:lineRule="auto"/>
        <w:ind w:left="720" w:hanging="360"/>
      </w:pPr>
      <w:r w:rsidRPr="00000000">
        <w:rPr>
          <w:b/>
          <w:bCs/>
          <w:rtl w:val="0"/>
        </w:rPr>
        <w:t>Preferred:</w:t>
      </w:r>
      <w:r w:rsidRPr="00000000">
        <w:rPr>
          <w:rtl w:val="0"/>
        </w:rPr>
        <w:t xml:space="preserve"> B, or delay if those safeguards are absent.</w:t>
      </w:r>
    </w:p>
    <w:p w:rsidR="00000000" w:rsidRPr="00000000" w:rsidP="00000000">
      <w:pPr>
        <w:pStyle w:val="Heading3"/>
        <w:keepNext w:val="0"/>
        <w:keepLines w:val="0"/>
        <w:spacing w:before="280" w:line="240" w:lineRule="auto"/>
        <w:rPr>
          <w:b/>
          <w:bCs/>
          <w:color w:val="000000"/>
          <w:sz w:val="24"/>
          <w:szCs w:val="24"/>
        </w:rPr>
      </w:pPr>
      <w:bookmarkStart w:id="10" w:name="_yd8sl1j0z7lm" w:colFirst="0" w:colLast="0"/>
      <w:bookmarkEnd w:id="10"/>
      <w:r w:rsidRPr="00000000">
        <w:rPr>
          <w:b/>
          <w:bCs/>
          <w:color w:val="000000"/>
          <w:sz w:val="24"/>
          <w:szCs w:val="24"/>
          <w:rtl w:val="0"/>
        </w:rPr>
        <w:t>5.6 Workforce and immigration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Headline.</w:t>
      </w:r>
      <w:r w:rsidRPr="00000000">
        <w:rPr>
          <w:rtl w:val="0"/>
        </w:rPr>
        <w:t xml:space="preserve"> ONS estimated 2.618 million workforce jobs in accommodation and food service activities in December 2025, with sampling variability of ±61,000. [13] ONS also reported that accommodation and food service vacancies fell by 3,000 on the quarter in December 2025 to February 2026. [13] MAC has asked government to clarify the purpose and benefits of the Immigration Salary List. [14]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Observations</w:t>
      </w:r>
    </w:p>
    <w:p w:rsidR="00000000" w:rsidRPr="00000000" w:rsidP="00000000">
      <w:pPr>
        <w:numPr>
          <w:ilvl w:val="0"/>
          <w:numId w:val="12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Falling vacancies do not automatically mean staffing pressure has ended.</w:t>
      </w:r>
    </w:p>
    <w:p w:rsidR="00000000" w:rsidRPr="00000000" w:rsidP="00000000">
      <w:pPr>
        <w:numPr>
          <w:ilvl w:val="0"/>
          <w:numId w:val="12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Pay, retention, hours, seasonal demand and immigration routes need to be viewed together.</w:t>
      </w:r>
    </w:p>
    <w:p w:rsidR="00000000" w:rsidRPr="00000000" w:rsidP="00000000">
      <w:pPr>
        <w:numPr>
          <w:ilvl w:val="0"/>
          <w:numId w:val="12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Current evidence is better for jobs and vacancies than for skills gaps by destination type.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Added value:</w:t>
      </w:r>
      <w:r w:rsidRPr="00000000">
        <w:rPr>
          <w:rtl w:val="0"/>
        </w:rPr>
        <w:t xml:space="preserve"> workforce policy should be measured as a resilience issue, not just a recruitment issue.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Three points</w:t>
      </w:r>
    </w:p>
    <w:p w:rsidR="00000000" w:rsidRPr="00000000" w:rsidP="00000000">
      <w:pPr>
        <w:numPr>
          <w:ilvl w:val="0"/>
          <w:numId w:val="13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“Vacancy counts alone are not a workforce strategy.”</w:t>
      </w:r>
    </w:p>
    <w:p w:rsidR="00000000" w:rsidRPr="00000000" w:rsidP="00000000">
      <w:pPr>
        <w:numPr>
          <w:ilvl w:val="0"/>
          <w:numId w:val="13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“Seasonal and place-based shortages need local evidence.”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Trade-off.</w:t>
      </w:r>
      <w:r w:rsidRPr="00000000">
        <w:rPr>
          <w:rtl w:val="0"/>
        </w:rPr>
        <w:t xml:space="preserve"> Migration routes can relieve shortages, but they should not substitute for retention, progression and productivity investment.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Options</w:t>
      </w:r>
    </w:p>
    <w:p w:rsidR="00000000" w:rsidRPr="00000000" w:rsidP="00000000">
      <w:pPr>
        <w:numPr>
          <w:ilvl w:val="0"/>
          <w:numId w:val="27"/>
        </w:numPr>
        <w:spacing w:before="240" w:after="0" w:afterAutospacing="0" w:line="240" w:lineRule="auto"/>
        <w:ind w:left="720" w:hanging="360"/>
      </w:pPr>
      <w:r w:rsidRPr="00000000">
        <w:rPr>
          <w:b/>
          <w:bCs/>
          <w:rtl w:val="0"/>
        </w:rPr>
        <w:t>A:</w:t>
      </w:r>
      <w:r w:rsidRPr="00000000">
        <w:rPr>
          <w:rtl w:val="0"/>
        </w:rPr>
        <w:t xml:space="preserve"> skills-only action plan.</w:t>
      </w:r>
    </w:p>
    <w:p w:rsidR="00000000" w:rsidRPr="00000000" w:rsidP="00000000">
      <w:pPr>
        <w:numPr>
          <w:ilvl w:val="0"/>
          <w:numId w:val="27"/>
        </w:numPr>
        <w:spacing w:before="0" w:beforeAutospacing="0" w:after="0" w:afterAutospacing="0" w:line="240" w:lineRule="auto"/>
        <w:ind w:left="720" w:hanging="360"/>
      </w:pPr>
      <w:r w:rsidRPr="00000000">
        <w:rPr>
          <w:b/>
          <w:bCs/>
          <w:rtl w:val="0"/>
        </w:rPr>
        <w:t>B:</w:t>
      </w:r>
      <w:r w:rsidRPr="00000000">
        <w:rPr>
          <w:rtl w:val="0"/>
        </w:rPr>
        <w:t xml:space="preserve"> annual cross-government tourism workforce statement.</w:t>
      </w:r>
    </w:p>
    <w:p w:rsidR="00000000" w:rsidRPr="00000000" w:rsidP="00000000">
      <w:pPr>
        <w:numPr>
          <w:ilvl w:val="0"/>
          <w:numId w:val="27"/>
        </w:numPr>
        <w:spacing w:before="0" w:beforeAutospacing="0" w:after="240" w:line="240" w:lineRule="auto"/>
        <w:ind w:left="720" w:hanging="360"/>
      </w:pPr>
      <w:r w:rsidRPr="00000000">
        <w:rPr>
          <w:b/>
          <w:bCs/>
          <w:rtl w:val="0"/>
        </w:rPr>
        <w:t>Preferred:</w:t>
      </w:r>
      <w:r w:rsidRPr="00000000">
        <w:rPr>
          <w:rtl w:val="0"/>
        </w:rPr>
        <w:t xml:space="preserve"> B, because Home Office, DWP and DCMS levers interact.</w:t>
      </w:r>
    </w:p>
    <w:p w:rsidR="00000000" w:rsidRPr="00000000" w:rsidP="00000000">
      <w:pPr>
        <w:pStyle w:val="Heading2"/>
        <w:keepNext w:val="0"/>
        <w:keepLines w:val="0"/>
        <w:spacing w:after="80" w:line="240" w:lineRule="auto"/>
        <w:rPr>
          <w:b/>
          <w:bCs/>
          <w:sz w:val="26"/>
          <w:szCs w:val="26"/>
        </w:rPr>
      </w:pPr>
      <w:bookmarkStart w:id="11" w:name="_49yoesubnfpk" w:colFirst="0" w:colLast="0"/>
      <w:bookmarkEnd w:id="11"/>
      <w:r w:rsidRPr="00000000">
        <w:rPr>
          <w:b/>
          <w:bCs/>
          <w:sz w:val="26"/>
          <w:szCs w:val="26"/>
          <w:rtl w:val="0"/>
        </w:rPr>
        <w:t>6) Recommendations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Quick wins</w:t>
      </w:r>
    </w:p>
    <w:tbl>
      <w:tblPr>
        <w:tblStyle w:val="Table1"/>
        <w:tblW w:w="9025" w:type="dxa"/>
        <w:jc w:val="lef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33"/>
        <w:gridCol w:w="1876"/>
        <w:gridCol w:w="1916"/>
        <w:gridCol w:w="1930"/>
        <w:gridCol w:w="2770"/>
      </w:tblGrid>
      <w:tr>
        <w:tblPrEx>
          <w:tblW w:w="9025" w:type="dxa"/>
          <w:jc w:val="left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600"/>
        </w:tblPrEx>
        <w:trPr>
          <w:trHeight w:val="500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No.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Who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What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When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How to check</w:t>
            </w:r>
          </w:p>
        </w:tc>
      </w:tr>
      <w:tr>
        <w:tblPrEx>
          <w:tblW w:w="9025" w:type="dxa"/>
          <w:jc w:val="left"/>
          <w:tblLayout w:type="fixed"/>
          <w:tblLook w:val="0600"/>
        </w:tblPrEx>
        <w:trPr>
          <w:trHeight w:val="785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1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DCMS, ONS, VisitBritain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Visitor Economy Scorecard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Within 12 months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Public dashboard with data dictionary</w:t>
            </w:r>
          </w:p>
        </w:tc>
      </w:tr>
      <w:tr>
        <w:tblPrEx>
          <w:tblW w:w="9025" w:type="dxa"/>
          <w:jc w:val="left"/>
          <w:tblLayout w:type="fixed"/>
          <w:tblLook w:val="0600"/>
        </w:tblPrEx>
        <w:trPr>
          <w:trHeight w:val="785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2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DCMS, VisitEngland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LVEP/DDP scorecard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Before wider roll-out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Funding, leverage, visits, nights, spend, evaluation</w:t>
            </w:r>
          </w:p>
        </w:tc>
      </w:tr>
      <w:tr>
        <w:tblPrEx>
          <w:tblW w:w="9025" w:type="dxa"/>
          <w:jc w:val="left"/>
          <w:tblLayout w:type="fixed"/>
          <w:tblLook w:val="0600"/>
        </w:tblPrEx>
        <w:trPr>
          <w:trHeight w:val="785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3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MHCLG, HMT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Levy additionality rule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Before legislation or guidance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Published levy prospectus and audited spend</w:t>
            </w:r>
          </w:p>
        </w:tc>
      </w:tr>
    </w:tbl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Structural</w:t>
      </w:r>
    </w:p>
    <w:tbl>
      <w:tblPr>
        <w:tblStyle w:val="Table2"/>
        <w:tblW w:w="9025" w:type="dxa"/>
        <w:jc w:val="lef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33"/>
        <w:gridCol w:w="1984"/>
        <w:gridCol w:w="2784"/>
        <w:gridCol w:w="1293"/>
        <w:gridCol w:w="2432"/>
      </w:tblGrid>
      <w:tr>
        <w:tblPrEx>
          <w:tblW w:w="9025" w:type="dxa"/>
          <w:jc w:val="left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600"/>
        </w:tblPrEx>
        <w:trPr>
          <w:trHeight w:val="500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No.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Who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What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When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How to check</w:t>
            </w:r>
          </w:p>
        </w:tc>
      </w:tr>
      <w:tr>
        <w:tblPrEx>
          <w:tblW w:w="9025" w:type="dxa"/>
          <w:jc w:val="left"/>
          <w:tblLayout w:type="fixed"/>
          <w:tblLook w:val="0600"/>
        </w:tblPrEx>
        <w:trPr>
          <w:trHeight w:val="1055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4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DCMS, MHCLG, VisitEngland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Tourism Growth Compacts for mayoral/LVEP areas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Next funding round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Named owner, outcomes and annual report</w:t>
            </w:r>
          </w:p>
        </w:tc>
      </w:tr>
      <w:tr>
        <w:tblPrEx>
          <w:tblW w:w="9025" w:type="dxa"/>
          <w:jc w:val="left"/>
          <w:tblLayout w:type="fixed"/>
          <w:tblLook w:val="0600"/>
        </w:tblPrEx>
        <w:trPr>
          <w:trHeight w:val="1055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5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Home Office, DWP, DCMS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Tourism workforce statement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Annual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Jobs, vacancies, pay, retention and skills metrics</w:t>
            </w:r>
          </w:p>
        </w:tc>
      </w:tr>
    </w:tbl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Committee levers:</w:t>
      </w:r>
      <w:r w:rsidRPr="00000000">
        <w:rPr>
          <w:rtl w:val="0"/>
        </w:rPr>
        <w:t xml:space="preserve"> request data tables, require DDP evaluation, ask for a levy template, and invite ONS/VisitBritain to explain comparability.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Delivery actions:</w:t>
      </w:r>
      <w:r w:rsidRPr="00000000">
        <w:rPr>
          <w:rtl w:val="0"/>
        </w:rPr>
        <w:t xml:space="preserve"> departments and public bodies implement the dashboards, compacts, levy rules and workforce statement.</w:t>
      </w:r>
    </w:p>
    <w:p w:rsidR="00000000" w:rsidRPr="00000000" w:rsidP="00000000">
      <w:pPr>
        <w:pStyle w:val="Heading2"/>
        <w:keepNext w:val="0"/>
        <w:keepLines w:val="0"/>
        <w:spacing w:after="80" w:line="240" w:lineRule="auto"/>
        <w:rPr>
          <w:b/>
          <w:bCs/>
          <w:sz w:val="26"/>
          <w:szCs w:val="26"/>
        </w:rPr>
      </w:pPr>
      <w:bookmarkStart w:id="12" w:name="_4alfl1tfplnm" w:colFirst="0" w:colLast="0"/>
      <w:bookmarkEnd w:id="12"/>
      <w:r w:rsidRPr="00000000">
        <w:rPr>
          <w:b/>
          <w:bCs/>
          <w:sz w:val="26"/>
          <w:szCs w:val="26"/>
          <w:rtl w:val="0"/>
        </w:rPr>
        <w:t>7) Quant-lite results and Minimum Data Request Pack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Derived metric 1: inbound yield.</w:t>
      </w:r>
      <w:r w:rsidRPr="00000000">
        <w:rPr>
          <w:rtl w:val="0"/>
        </w:rPr>
        <w:t xml:space="preserve"> Definition: spend per visit and spend per night. Inputs: £32.5bn spend, 42.6m visits, 293m nights. Formula: spend divided by visits or nights. Result: about £763 per visit and £111 per night. Volatility: 2024 data are official statistics in development. [2][3]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Derived metric 2: domestic spend-per-trip pressure.</w:t>
      </w:r>
      <w:r w:rsidRPr="00000000">
        <w:rPr>
          <w:rtl w:val="0"/>
        </w:rPr>
        <w:t xml:space="preserve"> Definition: implied change in average spend per trip. Formula: </w:t>
      </w:r>
      <w:r w:rsidRPr="00000000">
        <w:rPr>
          <w:rFonts w:ascii="Roboto Mono" w:eastAsia="Roboto Mono" w:hAnsi="Roboto Mono" w:cs="Roboto Mono"/>
          <w:color w:val="188038"/>
          <w:rtl w:val="0"/>
        </w:rPr>
        <w:t>(1 + spend change) ÷ (1 + volume change) - 1</w:t>
      </w:r>
      <w:r w:rsidRPr="00000000">
        <w:rPr>
          <w:rtl w:val="0"/>
        </w:rPr>
        <w:t>. Result: 20.5% day visits and 16.7% overnight trips. Denominator note: respondent denominators are not published on the headline pages. [6][7]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Derived metric 3: heritage GVA ratio.</w:t>
      </w:r>
      <w:r w:rsidRPr="00000000">
        <w:rPr>
          <w:rtl w:val="0"/>
        </w:rPr>
        <w:t xml:space="preserve"> Definition: total supported heritage GVA divided by direct GVA. Formula: £44.9bn ÷ £15.3bn. Result: 2.93x. Volatility: modelled 2022 evidence, not a tourism-only effect. [9]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Minimum Data Request Pack</w:t>
      </w:r>
    </w:p>
    <w:tbl>
      <w:tblPr>
        <w:tblStyle w:val="Table3"/>
        <w:tblW w:w="9025" w:type="dxa"/>
        <w:jc w:val="lef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455"/>
        <w:gridCol w:w="1957"/>
        <w:gridCol w:w="2065"/>
        <w:gridCol w:w="1713"/>
        <w:gridCol w:w="1835"/>
      </w:tblGrid>
      <w:tr>
        <w:tblPrEx>
          <w:tblW w:w="9025" w:type="dxa"/>
          <w:jc w:val="left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600"/>
        </w:tblPrEx>
        <w:trPr>
          <w:trHeight w:val="500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Field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Definition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Owner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Cadence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Test enabled</w:t>
            </w:r>
          </w:p>
        </w:tc>
      </w:tr>
      <w:tr>
        <w:tblPrEx>
          <w:tblW w:w="9025" w:type="dxa"/>
          <w:jc w:val="left"/>
          <w:tblLayout w:type="fixed"/>
          <w:tblLook w:val="0600"/>
        </w:tblPrEx>
        <w:trPr>
          <w:trHeight w:val="1055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Real inbound spend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Nominal spend deflated, method stated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ONS/VisitBritain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Annual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Real recovery</w:t>
            </w:r>
          </w:p>
        </w:tc>
      </w:tr>
      <w:tr>
        <w:tblPrEx>
          <w:tblW w:w="9025" w:type="dxa"/>
          <w:jc w:val="left"/>
          <w:tblLayout w:type="fixed"/>
          <w:tblLook w:val="0600"/>
        </w:tblPrEx>
        <w:trPr>
          <w:trHeight w:val="785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Spend per night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Spend divided by visitor nights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ONS/VisitBritain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Annual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Yield and stay length</w:t>
            </w:r>
          </w:p>
        </w:tc>
      </w:tr>
      <w:tr>
        <w:tblPrEx>
          <w:tblW w:w="9025" w:type="dxa"/>
          <w:jc w:val="left"/>
          <w:tblLayout w:type="fixed"/>
          <w:tblLook w:val="0600"/>
        </w:tblPrEx>
        <w:trPr>
          <w:trHeight w:val="1880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Domestic trip profile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Trips and spend per trip by income band, purpose and destination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VisitEngland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Desired cadence: quarterly where feasible; otherwise annual with quarterly indicators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Affordability</w:t>
            </w:r>
          </w:p>
        </w:tc>
      </w:tr>
      <w:tr>
        <w:tblPrEx>
          <w:tblW w:w="9025" w:type="dxa"/>
          <w:jc w:val="left"/>
          <w:tblLayout w:type="fixed"/>
          <w:tblLook w:val="0600"/>
        </w:tblPrEx>
        <w:trPr>
          <w:trHeight w:val="1610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LVEP outcomes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Funding, leverage, visits, nights and spend per £1 public funding where feasible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DCMS/VisitEngland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Annual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Value for money</w:t>
            </w:r>
          </w:p>
        </w:tc>
      </w:tr>
      <w:tr>
        <w:tblPrEx>
          <w:tblW w:w="9025" w:type="dxa"/>
          <w:jc w:val="left"/>
          <w:tblLayout w:type="fixed"/>
          <w:tblLook w:val="0600"/>
        </w:tblPrEx>
        <w:trPr>
          <w:trHeight w:val="2150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Levy additionality and impact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Levy-funded spend not otherwise funded, plus demand, operator-cost and substitution indicators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MHCLG/HMT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Annual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Net local benefit and competitiveness risk</w:t>
            </w:r>
          </w:p>
        </w:tc>
      </w:tr>
      <w:tr>
        <w:tblPrEx>
          <w:tblW w:w="9025" w:type="dxa"/>
          <w:jc w:val="left"/>
          <w:tblLayout w:type="fixed"/>
          <w:tblLook w:val="0600"/>
        </w:tblPrEx>
        <w:trPr>
          <w:trHeight w:val="1055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Workforce resilience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Jobs, vacancies, retention, pay, seasonality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DCMS/DWP/Home Office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Annual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Labour-market fit</w:t>
            </w:r>
          </w:p>
        </w:tc>
      </w:tr>
    </w:tbl>
    <w:p w:rsidR="00000000" w:rsidRPr="00000000" w:rsidP="00000000">
      <w:pPr>
        <w:pStyle w:val="Heading2"/>
        <w:keepNext w:val="0"/>
        <w:keepLines w:val="0"/>
        <w:spacing w:after="80" w:line="240" w:lineRule="auto"/>
        <w:rPr>
          <w:b/>
          <w:bCs/>
          <w:sz w:val="26"/>
          <w:szCs w:val="26"/>
        </w:rPr>
      </w:pPr>
      <w:bookmarkStart w:id="13" w:name="_yz2d8mnmxbw2" w:colFirst="0" w:colLast="0"/>
      <w:bookmarkEnd w:id="13"/>
      <w:r w:rsidRPr="00000000">
        <w:rPr>
          <w:b/>
          <w:bCs/>
          <w:sz w:val="26"/>
          <w:szCs w:val="26"/>
          <w:rtl w:val="0"/>
        </w:rPr>
        <w:t>8) Impact, performance and VFM artefact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Tourism Growth Compact template</w:t>
      </w:r>
    </w:p>
    <w:p w:rsidR="00000000" w:rsidRPr="00000000" w:rsidP="00000000">
      <w:pPr>
        <w:numPr>
          <w:ilvl w:val="0"/>
          <w:numId w:val="20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Place and accountable lead</w:t>
      </w:r>
    </w:p>
    <w:p w:rsidR="00000000" w:rsidRPr="00000000" w:rsidP="00000000">
      <w:pPr>
        <w:numPr>
          <w:ilvl w:val="0"/>
          <w:numId w:val="20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Baseline: visits, nights, spend, real spend, jobs, transport access</w:t>
      </w:r>
    </w:p>
    <w:p w:rsidR="00000000" w:rsidRPr="00000000" w:rsidP="00000000">
      <w:pPr>
        <w:numPr>
          <w:ilvl w:val="0"/>
          <w:numId w:val="20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Intervention: marketing, infrastructure, heritage, skills or levy-funded activity</w:t>
      </w:r>
    </w:p>
    <w:p w:rsidR="00000000" w:rsidRPr="00000000" w:rsidP="00000000">
      <w:pPr>
        <w:numPr>
          <w:ilvl w:val="0"/>
          <w:numId w:val="20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Funding: public grant, private leverage, levy receipts</w:t>
      </w:r>
    </w:p>
    <w:p w:rsidR="00000000" w:rsidRPr="00000000" w:rsidP="00000000">
      <w:pPr>
        <w:numPr>
          <w:ilvl w:val="0"/>
          <w:numId w:val="20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Outcome test: what changes, by when, and against what counterfactual</w:t>
      </w:r>
    </w:p>
    <w:p w:rsidR="00000000" w:rsidRPr="00000000" w:rsidP="00000000">
      <w:pPr>
        <w:numPr>
          <w:ilvl w:val="0"/>
          <w:numId w:val="20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Assurance: evaluator, publication date and revision policy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Candidate metrics</w:t>
      </w:r>
    </w:p>
    <w:p w:rsidR="00000000" w:rsidRPr="00000000" w:rsidP="00000000">
      <w:pPr>
        <w:numPr>
          <w:ilvl w:val="0"/>
          <w:numId w:val="7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Inbound spend per visit and per night</w:t>
      </w:r>
    </w:p>
    <w:p w:rsidR="00000000" w:rsidRPr="00000000" w:rsidP="00000000">
      <w:pPr>
        <w:numPr>
          <w:ilvl w:val="0"/>
          <w:numId w:val="7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Domestic trip volume and average spend</w:t>
      </w:r>
    </w:p>
    <w:p w:rsidR="00000000" w:rsidRPr="00000000" w:rsidP="00000000">
      <w:pPr>
        <w:numPr>
          <w:ilvl w:val="0"/>
          <w:numId w:val="7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Real spend by visitor purpose</w:t>
      </w:r>
    </w:p>
    <w:p w:rsidR="00000000" w:rsidRPr="00000000" w:rsidP="00000000">
      <w:pPr>
        <w:numPr>
          <w:ilvl w:val="0"/>
          <w:numId w:val="7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Private leverage per £1 public funding</w:t>
      </w:r>
    </w:p>
    <w:p w:rsidR="00000000" w:rsidRPr="00000000" w:rsidP="00000000">
      <w:pPr>
        <w:numPr>
          <w:ilvl w:val="0"/>
          <w:numId w:val="7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Visitor nights outside London</w:t>
      </w:r>
    </w:p>
    <w:p w:rsidR="00000000" w:rsidRPr="00000000" w:rsidP="00000000">
      <w:pPr>
        <w:numPr>
          <w:ilvl w:val="0"/>
          <w:numId w:val="7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Heritage or cultural scheme visitor uplift</w:t>
      </w:r>
    </w:p>
    <w:p w:rsidR="00000000" w:rsidRPr="00000000" w:rsidP="00000000">
      <w:pPr>
        <w:numPr>
          <w:ilvl w:val="0"/>
          <w:numId w:val="7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Tourism vacancies and retention by season</w:t>
      </w:r>
    </w:p>
    <w:p w:rsidR="00000000" w:rsidRPr="00000000" w:rsidP="00000000">
      <w:pPr>
        <w:pStyle w:val="Heading2"/>
        <w:keepNext w:val="0"/>
        <w:keepLines w:val="0"/>
        <w:spacing w:after="80" w:line="240" w:lineRule="auto"/>
        <w:rPr>
          <w:b/>
          <w:bCs/>
          <w:sz w:val="26"/>
          <w:szCs w:val="26"/>
        </w:rPr>
      </w:pPr>
      <w:bookmarkStart w:id="14" w:name="_a27rora9osu7" w:colFirst="0" w:colLast="0"/>
      <w:bookmarkEnd w:id="14"/>
      <w:r w:rsidRPr="00000000">
        <w:rPr>
          <w:b/>
          <w:bCs/>
          <w:sz w:val="26"/>
          <w:szCs w:val="26"/>
          <w:rtl w:val="0"/>
        </w:rPr>
        <w:t>9) Committee may wish to ask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DCMS and VisitBritain/VisitEngland</w:t>
      </w:r>
    </w:p>
    <w:p w:rsidR="00000000" w:rsidRPr="00000000" w:rsidP="00000000">
      <w:pPr>
        <w:numPr>
          <w:ilvl w:val="0"/>
          <w:numId w:val="25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Why is there not yet a standard public LVEP and DDP outcomes scorecard?</w:t>
      </w:r>
    </w:p>
    <w:p w:rsidR="00000000" w:rsidRPr="00000000" w:rsidP="00000000">
      <w:pPr>
        <w:numPr>
          <w:ilvl w:val="0"/>
          <w:numId w:val="25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Can you publish real spend, nominal spend, visits, nights and spend per night together?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ONS</w:t>
      </w:r>
    </w:p>
    <w:p w:rsidR="00000000" w:rsidRPr="00000000" w:rsidP="00000000">
      <w:pPr>
        <w:numPr>
          <w:ilvl w:val="0"/>
          <w:numId w:val="3"/>
        </w:numPr>
        <w:spacing w:before="240" w:after="240" w:line="240" w:lineRule="auto"/>
        <w:ind w:left="720" w:hanging="360"/>
      </w:pPr>
      <w:r w:rsidRPr="00000000">
        <w:rPr>
          <w:rtl w:val="0"/>
        </w:rPr>
        <w:t>What 2024 tourism estimates are most revision-sensitive?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MHCLG and HMT</w:t>
      </w:r>
    </w:p>
    <w:p w:rsidR="00000000" w:rsidRPr="00000000" w:rsidP="00000000">
      <w:pPr>
        <w:numPr>
          <w:ilvl w:val="0"/>
          <w:numId w:val="22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How will a visitor levy prove additionality?</w:t>
      </w:r>
    </w:p>
    <w:p w:rsidR="00000000" w:rsidRPr="00000000" w:rsidP="00000000">
      <w:pPr>
        <w:numPr>
          <w:ilvl w:val="0"/>
          <w:numId w:val="22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What data will test demand, operator-cost and substitution effects, and what spending will be prohibited as budget substitution?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Home Office, DWP and DCMS</w:t>
      </w:r>
    </w:p>
    <w:p w:rsidR="00000000" w:rsidRPr="00000000" w:rsidP="00000000">
      <w:pPr>
        <w:numPr>
          <w:ilvl w:val="0"/>
          <w:numId w:val="28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Which tourism occupations face seasonal or place-based shortages?</w:t>
      </w:r>
    </w:p>
    <w:p w:rsidR="00000000" w:rsidRPr="00000000" w:rsidP="00000000">
      <w:pPr>
        <w:numPr>
          <w:ilvl w:val="0"/>
          <w:numId w:val="28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How are immigration, retention and domestic skills measures being evaluated together?</w:t>
      </w:r>
    </w:p>
    <w:p w:rsidR="00000000" w:rsidRPr="00000000" w:rsidP="00000000">
      <w:pPr>
        <w:pStyle w:val="Heading2"/>
        <w:keepNext w:val="0"/>
        <w:keepLines w:val="0"/>
        <w:spacing w:after="80" w:line="240" w:lineRule="auto"/>
        <w:rPr>
          <w:b/>
          <w:bCs/>
          <w:sz w:val="26"/>
          <w:szCs w:val="26"/>
        </w:rPr>
      </w:pPr>
      <w:bookmarkStart w:id="15" w:name="_g2fwrq3wosji" w:colFirst="0" w:colLast="0"/>
      <w:bookmarkEnd w:id="15"/>
      <w:r w:rsidRPr="00000000">
        <w:rPr>
          <w:b/>
          <w:bCs/>
          <w:sz w:val="26"/>
          <w:szCs w:val="26"/>
          <w:rtl w:val="0"/>
        </w:rPr>
        <w:t>10) Risks and further work, references and Annex A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Risks and further work</w:t>
      </w:r>
    </w:p>
    <w:p w:rsidR="00000000" w:rsidRPr="00000000" w:rsidP="00000000">
      <w:pPr>
        <w:numPr>
          <w:ilvl w:val="0"/>
          <w:numId w:val="17"/>
        </w:numPr>
        <w:spacing w:before="240" w:after="0" w:afterAutospacing="0" w:line="240" w:lineRule="auto"/>
        <w:ind w:left="720" w:hanging="360"/>
      </w:pPr>
      <w:r w:rsidRPr="00000000">
        <w:rPr>
          <w:rtl w:val="0"/>
        </w:rPr>
        <w:t>2024 overseas travel estimates may be revised.</w:t>
      </w:r>
    </w:p>
    <w:p w:rsidR="00000000" w:rsidRPr="00000000" w:rsidP="00000000">
      <w:pPr>
        <w:numPr>
          <w:ilvl w:val="0"/>
          <w:numId w:val="17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Nominal spend may be mistaken for real recovery.</w:t>
      </w:r>
    </w:p>
    <w:p w:rsidR="00000000" w:rsidRPr="00000000" w:rsidP="00000000">
      <w:pPr>
        <w:numPr>
          <w:ilvl w:val="0"/>
          <w:numId w:val="17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Domestic spend averages may reflect mix changes.</w:t>
      </w:r>
    </w:p>
    <w:p w:rsidR="00000000" w:rsidRPr="00000000" w:rsidP="00000000">
      <w:pPr>
        <w:numPr>
          <w:ilvl w:val="0"/>
          <w:numId w:val="17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Same-issuer programme evidence may overstate impact.</w:t>
      </w:r>
    </w:p>
    <w:p w:rsidR="00000000" w:rsidRPr="00000000" w:rsidP="00000000">
      <w:pPr>
        <w:numPr>
          <w:ilvl w:val="0"/>
          <w:numId w:val="17"/>
        </w:numPr>
        <w:spacing w:before="0" w:beforeAutospacing="0" w:after="0" w:afterAutospacing="0" w:line="240" w:lineRule="auto"/>
        <w:ind w:left="720" w:hanging="360"/>
      </w:pPr>
      <w:r w:rsidRPr="00000000">
        <w:rPr>
          <w:rtl w:val="0"/>
        </w:rPr>
        <w:t>Levy revenue may substitute for existing budgets.</w:t>
      </w:r>
    </w:p>
    <w:p w:rsidR="00000000" w:rsidRPr="00000000" w:rsidP="00000000">
      <w:pPr>
        <w:numPr>
          <w:ilvl w:val="0"/>
          <w:numId w:val="17"/>
        </w:numPr>
        <w:spacing w:before="0" w:beforeAutospacing="0" w:after="240" w:line="240" w:lineRule="auto"/>
        <w:ind w:left="720" w:hanging="360"/>
      </w:pPr>
      <w:r w:rsidRPr="00000000">
        <w:rPr>
          <w:rtl w:val="0"/>
        </w:rPr>
        <w:t>Regional tourism gains may concentrate without access investment.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References</w:t>
      </w:r>
    </w:p>
    <w:p w:rsidR="00000000" w:rsidRPr="00000000" w:rsidP="00000000">
      <w:pPr>
        <w:spacing w:before="240" w:after="240" w:line="240" w:lineRule="auto"/>
      </w:pPr>
      <w:r w:rsidRPr="00000000">
        <w:rPr>
          <w:rtl w:val="0"/>
        </w:rPr>
        <w:t>[1] UK Parliament, Culture, Media and Sport Committee,</w:t>
      </w:r>
      <w:r>
        <w:fldChar w:fldCharType="begin"/>
      </w:r>
      <w:r>
        <w:instrText xml:space="preserve"> HYPERLINK "https://committees.parliament.uk/call-for-evidence/3897/" </w:instrText>
      </w:r>
      <w:r>
        <w:fldChar w:fldCharType="separate"/>
      </w:r>
      <w:r w:rsidRPr="00000000">
        <w:rPr>
          <w:rtl w:val="0"/>
        </w:rPr>
        <w:t xml:space="preserve"> </w:t>
      </w:r>
      <w:r>
        <w:fldChar w:fldCharType="end"/>
      </w:r>
      <w:r>
        <w:fldChar w:fldCharType="begin"/>
      </w:r>
      <w:r>
        <w:instrText xml:space="preserve"> HYPERLINK "https://committees.parliament.uk/call-for-evidence/3897/" </w:instrText>
      </w:r>
      <w:r>
        <w:fldChar w:fldCharType="separate"/>
      </w:r>
      <w:r w:rsidRPr="00000000">
        <w:rPr>
          <w:i/>
          <w:iCs/>
          <w:color w:val="1155CC"/>
          <w:u w:val="single"/>
          <w:rtl w:val="0"/>
        </w:rPr>
        <w:t>Tourism written evidence: Call for Evidence</w:t>
      </w:r>
      <w:r>
        <w:fldChar w:fldCharType="end"/>
      </w:r>
      <w:r w:rsidRPr="00000000">
        <w:rPr>
          <w:rtl w:val="0"/>
        </w:rPr>
        <w:t>, 2026.</w:t>
        <w:br/>
        <w:t>[2] Office for National Statistics,</w:t>
      </w:r>
      <w:r>
        <w:fldChar w:fldCharType="begin"/>
      </w:r>
      <w:r>
        <w:instrText xml:space="preserve"> HYPERLINK "https://www.ons.gov.uk/peoplepopulationandcommunity/leisureandtourism/articles/traveltrends/2024/pdf" </w:instrText>
      </w:r>
      <w:r>
        <w:fldChar w:fldCharType="separate"/>
      </w:r>
      <w:r w:rsidRPr="00000000">
        <w:rPr>
          <w:rtl w:val="0"/>
        </w:rPr>
        <w:t xml:space="preserve"> </w:t>
      </w:r>
      <w:r>
        <w:fldChar w:fldCharType="end"/>
      </w:r>
      <w:r>
        <w:fldChar w:fldCharType="begin"/>
      </w:r>
      <w:r>
        <w:instrText xml:space="preserve"> HYPERLINK "https://www.ons.gov.uk/peoplepopulationandcommunity/leisureandtourism/articles/traveltrends/2024/pdf" </w:instrText>
      </w:r>
      <w:r>
        <w:fldChar w:fldCharType="separate"/>
      </w:r>
      <w:r w:rsidRPr="00000000">
        <w:rPr>
          <w:i/>
          <w:iCs/>
          <w:color w:val="1155CC"/>
          <w:u w:val="single"/>
          <w:rtl w:val="0"/>
        </w:rPr>
        <w:t>Travel trends: 2024</w:t>
      </w:r>
      <w:r>
        <w:fldChar w:fldCharType="end"/>
      </w:r>
      <w:r w:rsidRPr="00000000">
        <w:rPr>
          <w:rtl w:val="0"/>
        </w:rPr>
        <w:t>, 26 August 2025.</w:t>
        <w:br/>
        <w:t>[3] VisitBritain,</w:t>
      </w:r>
      <w:r>
        <w:fldChar w:fldCharType="begin"/>
      </w:r>
      <w:r>
        <w:instrText xml:space="preserve"> HYPERLINK "https://www.visitbritain.org/research-insights/inbound-visits-and-spend-annual-uk" </w:instrText>
      </w:r>
      <w:r>
        <w:fldChar w:fldCharType="separate"/>
      </w:r>
      <w:r w:rsidRPr="00000000">
        <w:rPr>
          <w:rtl w:val="0"/>
        </w:rPr>
        <w:t xml:space="preserve"> </w:t>
      </w:r>
      <w:r>
        <w:fldChar w:fldCharType="end"/>
      </w:r>
      <w:r>
        <w:fldChar w:fldCharType="begin"/>
      </w:r>
      <w:r>
        <w:instrText xml:space="preserve"> HYPERLINK "https://www.visitbritain.org/research-insights/inbound-visits-and-spend-annual-uk" </w:instrText>
      </w:r>
      <w:r>
        <w:fldChar w:fldCharType="separate"/>
      </w:r>
      <w:r w:rsidRPr="00000000">
        <w:rPr>
          <w:i/>
          <w:iCs/>
          <w:color w:val="1155CC"/>
          <w:u w:val="single"/>
          <w:rtl w:val="0"/>
        </w:rPr>
        <w:t>Inbound visits and spend: annual, UK</w:t>
      </w:r>
      <w:r>
        <w:fldChar w:fldCharType="end"/>
      </w:r>
      <w:r w:rsidRPr="00000000">
        <w:rPr>
          <w:rtl w:val="0"/>
        </w:rPr>
        <w:t>, accessed 2026.</w:t>
        <w:br/>
        <w:t>[4] VisitBritain/VisitEngland,</w:t>
      </w:r>
      <w:r>
        <w:fldChar w:fldCharType="begin"/>
      </w:r>
      <w:r>
        <w:instrText xml:space="preserve"> HYPERLINK "https://assets.publishing.service.gov.uk/media/68ecc398f159f887526bbd16/E03353878_-_VisitBritain___VisitEngland_ARA_2024-25_Accessible.pdf" </w:instrText>
      </w:r>
      <w:r>
        <w:fldChar w:fldCharType="separate"/>
      </w:r>
      <w:r w:rsidRPr="00000000">
        <w:rPr>
          <w:rtl w:val="0"/>
        </w:rPr>
        <w:t xml:space="preserve"> </w:t>
      </w:r>
      <w:r>
        <w:fldChar w:fldCharType="end"/>
      </w:r>
      <w:r>
        <w:fldChar w:fldCharType="begin"/>
      </w:r>
      <w:r>
        <w:instrText xml:space="preserve"> HYPERLINK "https://assets.publishing.service.gov.uk/media/68ecc398f159f887526bbd16/E03353878_-_VisitBritain___VisitEngland_ARA_2024-25_Accessible.pdf" </w:instrText>
      </w:r>
      <w:r>
        <w:fldChar w:fldCharType="separate"/>
      </w:r>
      <w:r w:rsidRPr="00000000">
        <w:rPr>
          <w:i/>
          <w:iCs/>
          <w:color w:val="1155CC"/>
          <w:u w:val="single"/>
          <w:rtl w:val="0"/>
        </w:rPr>
        <w:t>Annual Report and Accounts 2024-25</w:t>
      </w:r>
      <w:r>
        <w:fldChar w:fldCharType="end"/>
      </w:r>
      <w:r w:rsidRPr="00000000">
        <w:rPr>
          <w:rtl w:val="0"/>
        </w:rPr>
        <w:t>.</w:t>
        <w:br/>
        <w:t>[5] HM Government,</w:t>
      </w:r>
      <w:r>
        <w:fldChar w:fldCharType="begin"/>
      </w:r>
      <w:r>
        <w:instrText xml:space="preserve"> HYPERLINK "https://www.gov.uk/government/publications/government-response-to-the-independent-review-of-destination-management-organisations-in-england/government-response-to-the-independent-review-of-destination-management-organisations-in-england" </w:instrText>
      </w:r>
      <w:r>
        <w:fldChar w:fldCharType="separate"/>
      </w:r>
      <w:r w:rsidRPr="00000000">
        <w:rPr>
          <w:color w:val="1155CC"/>
          <w:u w:val="single"/>
          <w:rtl w:val="0"/>
        </w:rPr>
        <w:t xml:space="preserve"> </w:t>
      </w:r>
      <w:r>
        <w:fldChar w:fldCharType="end"/>
      </w:r>
      <w:r>
        <w:fldChar w:fldCharType="begin"/>
      </w:r>
      <w:r>
        <w:instrText xml:space="preserve"> HYPERLINK "https://www.gov.uk/government/publications/government-response-to-the-independent-review-of-destination-management-organisations-in-england/government-response-to-the-independent-review-of-destination-management-organisations-in-england" </w:instrText>
      </w:r>
      <w:r>
        <w:fldChar w:fldCharType="separate"/>
      </w:r>
      <w:r w:rsidRPr="00000000">
        <w:rPr>
          <w:i/>
          <w:iCs/>
          <w:color w:val="1155CC"/>
          <w:u w:val="single"/>
          <w:rtl w:val="0"/>
        </w:rPr>
        <w:t>Government response to the independent review of DMOs in England</w:t>
      </w:r>
      <w:r>
        <w:fldChar w:fldCharType="end"/>
      </w:r>
      <w:r w:rsidRPr="00000000">
        <w:rPr>
          <w:rtl w:val="0"/>
        </w:rPr>
        <w:t>, 2022.</w:t>
        <w:br/>
        <w:t>[6] VisitBritain,</w:t>
      </w:r>
      <w:r>
        <w:fldChar w:fldCharType="begin"/>
      </w:r>
      <w:r>
        <w:instrText xml:space="preserve"> HYPERLINK "https://www.visitbritain.org/research-insights/great-britain-domestic-day-visits-latest-results" </w:instrText>
      </w:r>
      <w:r>
        <w:fldChar w:fldCharType="separate"/>
      </w:r>
      <w:r w:rsidRPr="00000000">
        <w:rPr>
          <w:rtl w:val="0"/>
        </w:rPr>
        <w:t xml:space="preserve"> </w:t>
      </w:r>
      <w:r>
        <w:fldChar w:fldCharType="end"/>
      </w:r>
      <w:r>
        <w:fldChar w:fldCharType="begin"/>
      </w:r>
      <w:r>
        <w:instrText xml:space="preserve"> HYPERLINK "https://www.visitbritain.org/research-insights/great-britain-domestic-day-visits-latest-results" </w:instrText>
      </w:r>
      <w:r>
        <w:fldChar w:fldCharType="separate"/>
      </w:r>
      <w:r w:rsidRPr="00000000">
        <w:rPr>
          <w:i/>
          <w:iCs/>
          <w:color w:val="1155CC"/>
          <w:u w:val="single"/>
          <w:rtl w:val="0"/>
        </w:rPr>
        <w:t>Great Britain domestic day visits: latest results</w:t>
      </w:r>
      <w:r>
        <w:fldChar w:fldCharType="end"/>
      </w:r>
      <w:r w:rsidRPr="00000000">
        <w:rPr>
          <w:rtl w:val="0"/>
        </w:rPr>
        <w:t>, 2025.</w:t>
        <w:br/>
        <w:t>[7] VisitBritain,</w:t>
      </w:r>
      <w:r>
        <w:fldChar w:fldCharType="begin"/>
      </w:r>
      <w:r>
        <w:instrText xml:space="preserve"> HYPERLINK "https://www.visitbritain.org/research-insights/great-britain-domestic-overnight-trips-latest-results" </w:instrText>
      </w:r>
      <w:r>
        <w:fldChar w:fldCharType="separate"/>
      </w:r>
      <w:r w:rsidRPr="00000000">
        <w:rPr>
          <w:rtl w:val="0"/>
        </w:rPr>
        <w:t xml:space="preserve"> </w:t>
      </w:r>
      <w:r>
        <w:fldChar w:fldCharType="end"/>
      </w:r>
      <w:r>
        <w:fldChar w:fldCharType="begin"/>
      </w:r>
      <w:r>
        <w:instrText xml:space="preserve"> HYPERLINK "https://www.visitbritain.org/research-insights/great-britain-domestic-overnight-trips-latest-results" </w:instrText>
      </w:r>
      <w:r>
        <w:fldChar w:fldCharType="separate"/>
      </w:r>
      <w:r w:rsidRPr="00000000">
        <w:rPr>
          <w:i/>
          <w:iCs/>
          <w:color w:val="1155CC"/>
          <w:u w:val="single"/>
          <w:rtl w:val="0"/>
        </w:rPr>
        <w:t>Great Britain domestic overnight trips: latest results</w:t>
      </w:r>
      <w:r>
        <w:fldChar w:fldCharType="end"/>
      </w:r>
      <w:r w:rsidRPr="00000000">
        <w:rPr>
          <w:rtl w:val="0"/>
        </w:rPr>
        <w:t>, 2025.</w:t>
        <w:br/>
        <w:t>[8] VisitBritain,</w:t>
      </w:r>
      <w:r>
        <w:fldChar w:fldCharType="begin"/>
      </w:r>
      <w:r>
        <w:instrText xml:space="preserve"> HYPERLINK "https://www.visitbritain.org/research-insights/economic-value-tourism" </w:instrText>
      </w:r>
      <w:r>
        <w:fldChar w:fldCharType="separate"/>
      </w:r>
      <w:r w:rsidRPr="00000000">
        <w:rPr>
          <w:rtl w:val="0"/>
        </w:rPr>
        <w:t xml:space="preserve"> </w:t>
      </w:r>
      <w:r>
        <w:fldChar w:fldCharType="end"/>
      </w:r>
      <w:r>
        <w:fldChar w:fldCharType="begin"/>
      </w:r>
      <w:r>
        <w:instrText xml:space="preserve"> HYPERLINK "https://www.visitbritain.org/research-insights/economic-value-tourism" </w:instrText>
      </w:r>
      <w:r>
        <w:fldChar w:fldCharType="separate"/>
      </w:r>
      <w:r w:rsidRPr="00000000">
        <w:rPr>
          <w:i/>
          <w:iCs/>
          <w:color w:val="1155CC"/>
          <w:u w:val="single"/>
          <w:rtl w:val="0"/>
        </w:rPr>
        <w:t>Economic Value of Tourism</w:t>
      </w:r>
      <w:r>
        <w:fldChar w:fldCharType="end"/>
      </w:r>
      <w:r w:rsidRPr="00000000">
        <w:rPr>
          <w:rtl w:val="0"/>
        </w:rPr>
        <w:t>, 20 January 2026.</w:t>
        <w:br/>
        <w:t>[9] Historic England,</w:t>
      </w:r>
      <w:r>
        <w:fldChar w:fldCharType="begin"/>
      </w:r>
      <w:r>
        <w:instrText xml:space="preserve"> HYPERLINK "https://historicengland.org.uk/research/heritage-counts/heritage-and-economy/economic-value/" </w:instrText>
      </w:r>
      <w:r>
        <w:fldChar w:fldCharType="separate"/>
      </w:r>
      <w:r w:rsidRPr="00000000">
        <w:rPr>
          <w:rtl w:val="0"/>
        </w:rPr>
        <w:t xml:space="preserve"> </w:t>
      </w:r>
      <w:r>
        <w:fldChar w:fldCharType="end"/>
      </w:r>
      <w:r>
        <w:fldChar w:fldCharType="begin"/>
      </w:r>
      <w:r>
        <w:instrText xml:space="preserve"> HYPERLINK "https://historicengland.org.uk/research/heritage-counts/heritage-and-economy/economic-value/" </w:instrText>
      </w:r>
      <w:r>
        <w:fldChar w:fldCharType="separate"/>
      </w:r>
      <w:r w:rsidRPr="00000000">
        <w:rPr>
          <w:i/>
          <w:iCs/>
          <w:color w:val="1155CC"/>
          <w:u w:val="single"/>
          <w:rtl w:val="0"/>
        </w:rPr>
        <w:t>The Economic Value of the Heritage Sector</w:t>
      </w:r>
      <w:r>
        <w:fldChar w:fldCharType="end"/>
      </w:r>
      <w:r w:rsidRPr="00000000">
        <w:rPr>
          <w:rtl w:val="0"/>
        </w:rPr>
        <w:t>, updated 1 November 2024.</w:t>
        <w:br/>
        <w:t>[10] Historic England,</w:t>
      </w:r>
      <w:r>
        <w:fldChar w:fldCharType="begin"/>
      </w:r>
      <w:r>
        <w:instrText xml:space="preserve"> HYPERLINK "https://historicengland.org.uk/research/heritage-counts/heritage-and-economy/visitor-economy/" </w:instrText>
      </w:r>
      <w:r>
        <w:fldChar w:fldCharType="separate"/>
      </w:r>
      <w:r w:rsidRPr="00000000">
        <w:rPr>
          <w:rtl w:val="0"/>
        </w:rPr>
        <w:t xml:space="preserve"> </w:t>
      </w:r>
      <w:r>
        <w:fldChar w:fldCharType="end"/>
      </w:r>
      <w:r>
        <w:fldChar w:fldCharType="begin"/>
      </w:r>
      <w:r>
        <w:instrText xml:space="preserve"> HYPERLINK "https://historicengland.org.uk/research/heritage-counts/heritage-and-economy/visitor-economy/" </w:instrText>
      </w:r>
      <w:r>
        <w:fldChar w:fldCharType="separate"/>
      </w:r>
      <w:r w:rsidRPr="00000000">
        <w:rPr>
          <w:i/>
          <w:iCs/>
          <w:color w:val="1155CC"/>
          <w:u w:val="single"/>
          <w:rtl w:val="0"/>
        </w:rPr>
        <w:t>The Contribution of the Heritage Sector to the Visitor Economy</w:t>
      </w:r>
      <w:r>
        <w:fldChar w:fldCharType="end"/>
      </w:r>
      <w:r w:rsidRPr="00000000">
        <w:rPr>
          <w:rtl w:val="0"/>
        </w:rPr>
        <w:t>.</w:t>
        <w:br/>
        <w:t>[11] Department for Transport,</w:t>
      </w:r>
      <w:r>
        <w:fldChar w:fldCharType="begin"/>
      </w:r>
      <w:r>
        <w:instrText xml:space="preserve"> HYPERLINK "https://www.gov.uk/government/statistics/annual-bus-statistics-year-ending-march-2025/annual-bus-statistics-year-ending-march-2025" </w:instrText>
      </w:r>
      <w:r>
        <w:fldChar w:fldCharType="separate"/>
      </w:r>
      <w:r w:rsidRPr="00000000">
        <w:rPr>
          <w:rtl w:val="0"/>
        </w:rPr>
        <w:t xml:space="preserve"> </w:t>
      </w:r>
      <w:r>
        <w:fldChar w:fldCharType="end"/>
      </w:r>
      <w:r>
        <w:fldChar w:fldCharType="begin"/>
      </w:r>
      <w:r>
        <w:instrText xml:space="preserve"> HYPERLINK "https://www.gov.uk/government/statistics/annual-bus-statistics-year-ending-march-2025/annual-bus-statistics-year-ending-march-2025" </w:instrText>
      </w:r>
      <w:r>
        <w:fldChar w:fldCharType="separate"/>
      </w:r>
      <w:r w:rsidRPr="00000000">
        <w:rPr>
          <w:i/>
          <w:iCs/>
          <w:color w:val="1155CC"/>
          <w:u w:val="single"/>
          <w:rtl w:val="0"/>
        </w:rPr>
        <w:t>Annual bus statistics: year ending March 2025</w:t>
      </w:r>
      <w:r>
        <w:fldChar w:fldCharType="end"/>
      </w:r>
      <w:r w:rsidRPr="00000000">
        <w:rPr>
          <w:rtl w:val="0"/>
        </w:rPr>
        <w:t>.</w:t>
        <w:br/>
        <w:t>[12] MHCLG and HM Treasury,</w:t>
      </w:r>
      <w:r>
        <w:fldChar w:fldCharType="begin"/>
      </w:r>
      <w:r>
        <w:instrText xml:space="preserve"> HYPERLINK "https://www.gov.uk/government/consultations/overnight-visitor-levy-in-england" </w:instrText>
      </w:r>
      <w:r>
        <w:fldChar w:fldCharType="separate"/>
      </w:r>
      <w:r w:rsidRPr="00000000">
        <w:rPr>
          <w:rtl w:val="0"/>
        </w:rPr>
        <w:t xml:space="preserve"> </w:t>
      </w:r>
      <w:r>
        <w:fldChar w:fldCharType="end"/>
      </w:r>
      <w:r>
        <w:fldChar w:fldCharType="begin"/>
      </w:r>
      <w:r>
        <w:instrText xml:space="preserve"> HYPERLINK "https://www.gov.uk/government/consultations/overnight-visitor-levy-in-england" </w:instrText>
      </w:r>
      <w:r>
        <w:fldChar w:fldCharType="separate"/>
      </w:r>
      <w:r w:rsidRPr="00000000">
        <w:rPr>
          <w:i/>
          <w:iCs/>
          <w:color w:val="1155CC"/>
          <w:u w:val="single"/>
          <w:rtl w:val="0"/>
        </w:rPr>
        <w:t>Visitor levy in England</w:t>
      </w:r>
      <w:r>
        <w:fldChar w:fldCharType="end"/>
      </w:r>
      <w:r w:rsidRPr="00000000">
        <w:rPr>
          <w:rtl w:val="0"/>
        </w:rPr>
        <w:t>, consultation, 2025.</w:t>
        <w:br/>
        <w:t>[13] Office for National Statistics,</w:t>
      </w:r>
      <w:r>
        <w:fldChar w:fldCharType="begin"/>
      </w:r>
      <w:r>
        <w:instrText xml:space="preserve"> HYPERLINK "https://www.ons.gov.uk/employmentandlabourmarket/peopleinwork/employmentandemployeetypes/bulletins/jobsandvacanciesintheuk/march2026" </w:instrText>
      </w:r>
      <w:r>
        <w:fldChar w:fldCharType="separate"/>
      </w:r>
      <w:r w:rsidRPr="00000000">
        <w:rPr>
          <w:rtl w:val="0"/>
        </w:rPr>
        <w:t xml:space="preserve"> </w:t>
      </w:r>
      <w:r>
        <w:fldChar w:fldCharType="end"/>
      </w:r>
      <w:r>
        <w:fldChar w:fldCharType="begin"/>
      </w:r>
      <w:r>
        <w:instrText xml:space="preserve"> HYPERLINK "https://www.ons.gov.uk/employmentandlabourmarket/peopleinwork/employmentandemployeetypes/bulletins/jobsandvacanciesintheuk/march2026" </w:instrText>
      </w:r>
      <w:r>
        <w:fldChar w:fldCharType="separate"/>
      </w:r>
      <w:r w:rsidRPr="00000000">
        <w:rPr>
          <w:i/>
          <w:iCs/>
          <w:color w:val="1155CC"/>
          <w:u w:val="single"/>
          <w:rtl w:val="0"/>
        </w:rPr>
        <w:t>Vacancies and jobs in the UK: March 2026</w:t>
      </w:r>
      <w:r>
        <w:fldChar w:fldCharType="end"/>
      </w:r>
      <w:r w:rsidRPr="00000000">
        <w:rPr>
          <w:rtl w:val="0"/>
        </w:rPr>
        <w:t>.</w:t>
        <w:br/>
        <w:t>[14] Migration Advisory Committee,</w:t>
      </w:r>
      <w:r>
        <w:fldChar w:fldCharType="begin"/>
      </w:r>
      <w:r>
        <w:instrText xml:space="preserve"> HYPERLINK "https://www.gov.uk/government/publications/rapid-review-of-the-immigration-salary-list/rapid-review-of-the-immigration-salary-list-accessible" </w:instrText>
      </w:r>
      <w:r>
        <w:fldChar w:fldCharType="separate"/>
      </w:r>
      <w:r w:rsidRPr="00000000">
        <w:rPr>
          <w:rtl w:val="0"/>
        </w:rPr>
        <w:t xml:space="preserve"> </w:t>
      </w:r>
      <w:r>
        <w:fldChar w:fldCharType="end"/>
      </w:r>
      <w:r>
        <w:fldChar w:fldCharType="begin"/>
      </w:r>
      <w:r>
        <w:instrText xml:space="preserve"> HYPERLINK "https://www.gov.uk/government/publications/rapid-review-of-the-immigration-salary-list/rapid-review-of-the-immigration-salary-list-accessible" </w:instrText>
      </w:r>
      <w:r>
        <w:fldChar w:fldCharType="separate"/>
      </w:r>
      <w:r w:rsidRPr="00000000">
        <w:rPr>
          <w:i/>
          <w:iCs/>
          <w:color w:val="1155CC"/>
          <w:u w:val="single"/>
          <w:rtl w:val="0"/>
        </w:rPr>
        <w:t>Rapid review of the Immigration Salary List</w:t>
      </w:r>
      <w:r>
        <w:fldChar w:fldCharType="end"/>
      </w:r>
      <w:r w:rsidRPr="00000000">
        <w:rPr>
          <w:rtl w:val="0"/>
        </w:rPr>
        <w:t>, 2024.</w:t>
      </w:r>
    </w:p>
    <w:p w:rsidR="00000000" w:rsidRPr="00000000" w:rsidP="00000000">
      <w:pPr>
        <w:spacing w:before="240" w:after="240" w:line="240" w:lineRule="auto"/>
      </w:pPr>
      <w:r w:rsidRPr="00000000">
        <w:rPr>
          <w:b/>
          <w:bCs/>
          <w:rtl w:val="0"/>
        </w:rPr>
        <w:t>Annex list:</w:t>
      </w:r>
      <w:r w:rsidRPr="00000000">
        <w:rPr>
          <w:rtl w:val="0"/>
        </w:rPr>
        <w:t xml:space="preserve"> Annex A, evidence ledger.</w:t>
      </w:r>
    </w:p>
    <w:p w:rsidR="00000000" w:rsidRPr="00000000" w:rsidP="00000000">
      <w:pPr>
        <w:spacing w:before="240" w:after="240" w:line="240" w:lineRule="auto"/>
        <w:rPr>
          <w:b/>
          <w:bCs/>
        </w:rPr>
      </w:pPr>
      <w:r w:rsidRPr="00000000">
        <w:rPr>
          <w:b/>
          <w:bCs/>
          <w:rtl w:val="0"/>
        </w:rPr>
        <w:t>Annex A: Evidence Ledger</w:t>
      </w:r>
    </w:p>
    <w:tbl>
      <w:tblPr>
        <w:tblStyle w:val="Table4"/>
        <w:tblW w:w="10755" w:type="dxa"/>
        <w:jc w:val="left"/>
        <w:tblInd w:w="-8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344"/>
        <w:gridCol w:w="1344"/>
        <w:gridCol w:w="1344"/>
        <w:gridCol w:w="1344"/>
        <w:gridCol w:w="1344"/>
        <w:gridCol w:w="1344"/>
        <w:gridCol w:w="1344"/>
        <w:gridCol w:w="1344"/>
      </w:tblGrid>
      <w:tr>
        <w:tblPrEx>
          <w:tblW w:w="10755" w:type="dxa"/>
          <w:jc w:val="left"/>
          <w:tblInd w:w="-885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600"/>
        </w:tblPrEx>
        <w:trPr>
          <w:trHeight w:val="1325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Claim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Type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Source A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Source B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Source B role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Status and confidence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What would change my mind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pPr>
              <w:jc w:val="center"/>
            </w:pPr>
            <w:r w:rsidRPr="00000000">
              <w:rPr>
                <w:b/>
                <w:bCs/>
                <w:rtl w:val="0"/>
              </w:rPr>
              <w:t>Verifier</w:t>
            </w:r>
          </w:p>
        </w:tc>
      </w:tr>
      <w:tr>
        <w:tblPrEx>
          <w:tblW w:w="10755" w:type="dxa"/>
          <w:jc w:val="left"/>
          <w:tblInd w:w="-885" w:type="dxa"/>
          <w:tblLayout w:type="fixed"/>
          <w:tblLook w:val="0600"/>
        </w:tblPrEx>
        <w:trPr>
          <w:trHeight w:val="1880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Inbound recovery is stronger in nominal yield than real value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SYNTHESIS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[2]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[3]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Same ecosystem, not independent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INPUTS-ANCHORED; Medium: 2024 estimates may be revised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Revised real-spend series reaches 2019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ONS/VisitBritain</w:t>
            </w:r>
          </w:p>
        </w:tc>
      </w:tr>
      <w:tr>
        <w:tblPrEx>
          <w:tblW w:w="10755" w:type="dxa"/>
          <w:jc w:val="left"/>
          <w:tblInd w:w="-885" w:type="dxa"/>
          <w:tblLayout w:type="fixed"/>
          <w:tblLook w:val="0600"/>
        </w:tblPrEx>
        <w:trPr>
          <w:trHeight w:val="2150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Domestic recovery shows a price-volume warning sign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INFERENCE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[6]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[7]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Same issuer, not independent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INPUTS-ANCHORED; Medium: denominators not published in summaries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Volumes rebound without average-spend rise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VisitEngland</w:t>
            </w:r>
          </w:p>
        </w:tc>
      </w:tr>
      <w:tr>
        <w:tblPrEx>
          <w:tblW w:w="10755" w:type="dxa"/>
          <w:jc w:val="left"/>
          <w:tblInd w:w="-885" w:type="dxa"/>
          <w:tblLayout w:type="fixed"/>
          <w:tblLook w:val="0600"/>
        </w:tblPrEx>
        <w:trPr>
          <w:trHeight w:val="2435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Governance reform improved process faster than outcome proof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SYNTHESIS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[5]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[4]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Same reform ecosystem, not independent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INPUTS-ANCHORED; Medium: strong on process assurance, weaker on outcomes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Independent LVEP/DDP evaluation exists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DCMS/VisitEngland/GIAA</w:t>
            </w:r>
          </w:p>
        </w:tc>
      </w:tr>
      <w:tr>
        <w:tblPrEx>
          <w:tblW w:w="10755" w:type="dxa"/>
          <w:jc w:val="left"/>
          <w:tblInd w:w="-885" w:type="dxa"/>
          <w:tblLayout w:type="fixed"/>
          <w:tblLook w:val="0600"/>
        </w:tblPrEx>
        <w:trPr>
          <w:trHeight w:val="2435"/>
          <w:jc w:val="left"/>
        </w:trP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Regional growth should be tested against access as well as attractions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INFERENCE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[8][9]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[10][11]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Independent/context evidence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INPUTS-ANCHORED; Medium: modelled and cross-source evidence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Matched-place evaluation shows no uplift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0000" w:rsidRPr="00000000" w:rsidP="00000000">
            <w:r w:rsidRPr="00000000">
              <w:rPr>
                <w:rtl w:val="0"/>
              </w:rPr>
              <w:t>DCMS/DfT/Historic England</w:t>
            </w:r>
          </w:p>
        </w:tc>
      </w:tr>
    </w:tbl>
    <w:p w:rsidR="00000000" w:rsidRPr="00000000" w:rsidP="00000000"/>
    <w:sectPr>
      <w:pgSz w:w="11909" w:h="16834" w:orient="portrait"/>
      <w:pgMar w:top="1440" w:right="1440" w:bottom="1440" w:left="1440" w:header="720" w:footer="72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charset w:val="00"/>
    <w:family w:val="auto"/>
    <w:pitch w:val="default"/>
  </w:font>
  <w:font w:name="Roboto Mono">
    <w:charset w:val="00"/>
    <w:family w:val="auto"/>
    <w:pitch w:val="default"/>
    <w:embedRegular r:id="rId1" w:fontKey="{C07E9A7C-9E58-4EE2-BC31-C66EA9115DC7}"/>
    <w:embedBold r:id="rId2" w:fontKey="{0EC768BB-8589-454C-BA2F-9C6D0BDB77D2}"/>
    <w:embedItalic r:id="rId3" w:fontKey="{4130B762-71E5-4668-A796-90BB5E242E95}"/>
    <w:embedBoldItalic r:id="rId4" w:fontKey="{AB24FD06-E775-40BA-A202-30F9FA6D1EE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0000002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0000003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00000004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00000005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00000006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00000007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00000008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00000009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0000000A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0000000B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0000000C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0000000D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0000000E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0000000F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00000010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00000011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00000012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00000013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0000001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00000015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nsid w:val="00000016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00000017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00000018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nsid w:val="00000019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0000001A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0000001B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0000001C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0000001D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00" w:after="120" w:line="240" w:lineRule="auto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120" w:line="24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pageBreakBefore w:val="0"/>
      <w:spacing w:before="320" w:after="80" w:line="24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80" w:after="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40" w:after="8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40" w:after="80" w:line="240" w:lineRule="auto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pageBreakBefore w:val="0"/>
      <w:spacing w:before="0" w:after="60" w:line="240" w:lineRule="auto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0" w:after="320" w:line="240" w:lineRule="auto"/>
    </w:pPr>
    <w:rPr>
      <w:rFonts w:ascii="Arial" w:eastAsia="Arial" w:hAnsi="Arial" w:cs="Arial"/>
      <w:i w:val="0"/>
      <w:iCs w:val="0"/>
      <w:color w:val="666666"/>
      <w:sz w:val="30"/>
      <w:szCs w:val="30"/>
    </w:rPr>
  </w:style>
  <w:style w:type="table" w:customStyle="1" w:styleId="Table1">
    <w:name w:val="Table1"/>
    <w:basedOn w:val="TableNormal"/>
    <w:tblPr>
      <w:tblStyleRowBandSize w:val="1"/>
      <w:tblStyleColBandSize w:val="1"/>
    </w:tblPr>
  </w:style>
  <w:style w:type="table" w:customStyle="1" w:styleId="Table2">
    <w:name w:val="Table2"/>
    <w:basedOn w:val="TableNormal"/>
    <w:tblPr>
      <w:tblStyleRowBandSize w:val="1"/>
      <w:tblStyleColBandSize w:val="1"/>
    </w:tblPr>
  </w:style>
  <w:style w:type="table" w:customStyle="1" w:styleId="Table3">
    <w:name w:val="Table3"/>
    <w:basedOn w:val="TableNormal"/>
    <w:tblPr>
      <w:tblStyleRowBandSize w:val="1"/>
      <w:tblStyleColBandSize w:val="1"/>
    </w:tblPr>
  </w:style>
  <w:style w:type="table" w:customStyle="1" w:styleId="Table4">
    <w:name w:val="Table4"/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TOU0005</dc:title>
  <cp:revision>0</cp:revision>
</cp:coreProperties>
</file>