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37B16" w:rsidP="00837B16">
      <w:pPr>
        <w:jc w:val="center"/>
        <w:rPr>
          <w:rFonts w:ascii="Calibri" w:hAnsi="Calibri" w:cs="Calibri"/>
          <w:b/>
          <w:bCs/>
        </w:rPr>
      </w:pPr>
      <w:r>
        <w:rPr>
          <w:rFonts w:ascii="Calibri" w:hAnsi="Calibri" w:cs="Calibri"/>
          <w:b/>
          <w:bCs/>
        </w:rPr>
        <w:t>Written evidence submitted by Early Years Wales (CPW0008)</w:t>
      </w:r>
    </w:p>
    <w:p w:rsidR="00837B16" w:rsidRPr="00837B16">
      <w:pPr>
        <w:rPr>
          <w:rFonts w:ascii="Calibri" w:hAnsi="Calibri" w:cs="Calibri"/>
          <w:b/>
          <w:bCs/>
        </w:rPr>
      </w:pPr>
      <w:r w:rsidRPr="00837B16">
        <w:rPr>
          <w:rFonts w:ascii="Calibri" w:hAnsi="Calibri" w:cs="Calibri"/>
          <w:b/>
          <w:bCs/>
        </w:rPr>
        <w:t xml:space="preserve">Introduction: </w:t>
      </w:r>
    </w:p>
    <w:p w:rsidR="00837B16" w:rsidRPr="00837B16">
      <w:pPr>
        <w:rPr>
          <w:rFonts w:ascii="Calibri" w:hAnsi="Calibri" w:cs="Calibri"/>
        </w:rPr>
      </w:pPr>
      <w:r w:rsidRPr="00837B16">
        <w:rPr>
          <w:rFonts w:ascii="Calibri" w:hAnsi="Calibri" w:cs="Calibri"/>
        </w:rPr>
        <w:t>Early Years Wales welcomes the opportunity to respond to the Welsh Affairs Committee's consultation on child poverty, a matter of</w:t>
      </w:r>
      <w:r w:rsidRPr="00837B16">
        <w:rPr>
          <w:rFonts w:ascii="Calibri" w:hAnsi="Calibri" w:cs="Calibri"/>
        </w:rPr>
        <w:t xml:space="preserve"> vital</w:t>
      </w:r>
      <w:r w:rsidRPr="00837B16">
        <w:rPr>
          <w:rFonts w:ascii="Calibri" w:hAnsi="Calibri" w:cs="Calibri"/>
        </w:rPr>
        <w:t xml:space="preserve"> importance to the children, families, and early years settings we represent. As </w:t>
      </w:r>
      <w:r w:rsidRPr="00837B16">
        <w:rPr>
          <w:rFonts w:ascii="Calibri" w:hAnsi="Calibri" w:cs="Calibri"/>
        </w:rPr>
        <w:t>a</w:t>
      </w:r>
      <w:r w:rsidRPr="00837B16">
        <w:rPr>
          <w:rFonts w:ascii="Calibri" w:hAnsi="Calibri" w:cs="Calibri"/>
        </w:rPr>
        <w:t xml:space="preserve"> national membership organisation for early years providers across Wales, we have developed a substantial body of work focused on the impacts of child poverty, spanning from the promotion of campaigns </w:t>
      </w:r>
      <w:r w:rsidRPr="00837B16">
        <w:rPr>
          <w:rFonts w:ascii="Calibri" w:hAnsi="Calibri" w:cs="Calibri"/>
        </w:rPr>
        <w:t xml:space="preserve">such as our ‘Movement Champion’ campaign, which </w:t>
      </w:r>
      <w:r w:rsidRPr="00837B16">
        <w:rPr>
          <w:rFonts w:ascii="Calibri" w:hAnsi="Calibri" w:cs="Calibri"/>
        </w:rPr>
        <w:t>shar</w:t>
      </w:r>
      <w:r w:rsidRPr="00837B16">
        <w:rPr>
          <w:rFonts w:ascii="Calibri" w:hAnsi="Calibri" w:cs="Calibri"/>
        </w:rPr>
        <w:t>es</w:t>
      </w:r>
      <w:r w:rsidRPr="00837B16">
        <w:rPr>
          <w:rFonts w:ascii="Calibri" w:hAnsi="Calibri" w:cs="Calibri"/>
        </w:rPr>
        <w:t xml:space="preserve">  information designed to address the movement deficit amongst young children, an issue in which those living in poverty face compounding disadvantages rooted in socioec</w:t>
      </w:r>
      <w:r w:rsidRPr="00837B16">
        <w:rPr>
          <w:rFonts w:ascii="Calibri" w:hAnsi="Calibri" w:cs="Calibri"/>
        </w:rPr>
        <w:t>onomic and geographic inequality</w:t>
      </w:r>
      <w:r w:rsidRPr="00837B16">
        <w:rPr>
          <w:rFonts w:ascii="Calibri" w:hAnsi="Calibri" w:cs="Calibri"/>
        </w:rPr>
        <w:t>. We also</w:t>
      </w:r>
      <w:r w:rsidRPr="00837B16">
        <w:rPr>
          <w:rFonts w:ascii="Calibri" w:hAnsi="Calibri" w:cs="Calibri"/>
        </w:rPr>
        <w:t xml:space="preserve"> champion the critical role that high-quality childcare plays in tackling poverty at its earliest stages. Early years settings are, by their very nature, on the front line of this challenge. </w:t>
      </w:r>
    </w:p>
    <w:p w:rsidR="00837B16" w:rsidRPr="00837B16">
      <w:pPr>
        <w:rPr>
          <w:rFonts w:ascii="Calibri" w:hAnsi="Calibri" w:cs="Calibri"/>
        </w:rPr>
      </w:pPr>
      <w:r w:rsidRPr="00837B16">
        <w:rPr>
          <w:rFonts w:ascii="Calibri" w:hAnsi="Calibri" w:cs="Calibri"/>
        </w:rPr>
        <w:t xml:space="preserve">By providing consistent, high-quality care and support to every child who comes through their doors, regardless of background, they work to level the playing field, ensuring that all children have access to the play and movement opportunities that are so essential to their </w:t>
      </w:r>
      <w:r w:rsidRPr="00837B16">
        <w:rPr>
          <w:rFonts w:ascii="Calibri" w:hAnsi="Calibri" w:cs="Calibri"/>
        </w:rPr>
        <w:t xml:space="preserve">physical and cognitive </w:t>
      </w:r>
      <w:r w:rsidRPr="00837B16">
        <w:rPr>
          <w:rFonts w:ascii="Calibri" w:hAnsi="Calibri" w:cs="Calibri"/>
        </w:rPr>
        <w:t xml:space="preserve">development, </w:t>
      </w:r>
      <w:r w:rsidRPr="00837B16">
        <w:rPr>
          <w:rFonts w:ascii="Calibri" w:hAnsi="Calibri" w:cs="Calibri"/>
        </w:rPr>
        <w:t xml:space="preserve">opportunities </w:t>
      </w:r>
      <w:r w:rsidRPr="00837B16">
        <w:rPr>
          <w:rFonts w:ascii="Calibri" w:hAnsi="Calibri" w:cs="Calibri"/>
        </w:rPr>
        <w:t>which many children experiencing poverty may never previously have had access to. It is from this foundation of practical experience and sector-wide expertise that Early Years Wales submits this response.</w:t>
      </w:r>
    </w:p>
    <w:p w:rsidR="00837B16" w:rsidRPr="00837B16">
      <w:pPr>
        <w:rPr>
          <w:rFonts w:ascii="Calibri" w:hAnsi="Calibri" w:cs="Calibri"/>
        </w:rPr>
      </w:pPr>
    </w:p>
    <w:p w:rsidR="00837B16" w:rsidRPr="00837B16" w:rsidP="00D85DE2">
      <w:pPr>
        <w:pStyle w:val="ListParagraph"/>
        <w:numPr>
          <w:ilvl w:val="0"/>
          <w:numId w:val="1"/>
        </w:numPr>
        <w:rPr>
          <w:rFonts w:ascii="Calibri" w:hAnsi="Calibri" w:cs="Calibri"/>
          <w:b/>
          <w:bCs/>
        </w:rPr>
      </w:pPr>
      <w:r w:rsidRPr="00837B16">
        <w:rPr>
          <w:rFonts w:ascii="Calibri" w:hAnsi="Calibri" w:cs="Calibri"/>
          <w:b/>
          <w:bCs/>
        </w:rPr>
        <w:t>What are the foremost barriers that could prevent Wales from realising the ambitions set out in the UK Government's 2025 child poverty strategy?</w:t>
      </w:r>
    </w:p>
    <w:p w:rsidR="00837B16" w:rsidRPr="00837B16" w:rsidP="00E81C56">
      <w:pPr>
        <w:rPr>
          <w:rFonts w:ascii="Calibri" w:hAnsi="Calibri" w:cs="Calibri"/>
        </w:rPr>
      </w:pPr>
      <w:r w:rsidRPr="00837B16">
        <w:rPr>
          <w:rFonts w:ascii="Calibri" w:hAnsi="Calibri" w:cs="Calibri"/>
        </w:rPr>
        <w:t xml:space="preserve">One of the most significant barriers to realising the ambitions set out in the UK Government's child poverty strategy in Wales is geography. Wales contains a disproportionate number of communities that face acute geographic isolation, particularly in the South Wales Valleys, mid Wales, and within the Eryri National Park. For families in these areas, access to essential childcare services is severely constrained, not simply because provision is limited, but because the cost and practicality of travelling to </w:t>
      </w:r>
      <w:r w:rsidRPr="00837B16">
        <w:rPr>
          <w:rFonts w:ascii="Calibri" w:hAnsi="Calibri" w:cs="Calibri"/>
        </w:rPr>
        <w:t xml:space="preserve">access it presents a genuine and daily hardship. With fuel costs remaining persistently high, the distance between isolated communities and available services effectively prices many low-income families out of the childcare system entirely. Any strategy that does not explicitly account for the geographic realities of Welsh </w:t>
      </w:r>
      <w:r w:rsidRPr="00837B16">
        <w:rPr>
          <w:rFonts w:ascii="Calibri" w:hAnsi="Calibri" w:cs="Calibri"/>
        </w:rPr>
        <w:t>communities’</w:t>
      </w:r>
      <w:r w:rsidRPr="00837B16">
        <w:rPr>
          <w:rFonts w:ascii="Calibri" w:hAnsi="Calibri" w:cs="Calibri"/>
        </w:rPr>
        <w:t xml:space="preserve"> risks leaving the most isolated children further behind.</w:t>
      </w:r>
      <w:r w:rsidRPr="00837B16">
        <w:rPr>
          <w:rFonts w:ascii="Calibri" w:hAnsi="Calibri" w:cs="Calibri"/>
        </w:rPr>
        <w:t xml:space="preserve"> We would aspire to see an extension to the funded childcare offer in Wales that is not limited to a specific delivery</w:t>
      </w:r>
      <w:r w:rsidRPr="00837B16">
        <w:rPr>
          <w:rFonts w:ascii="Calibri" w:hAnsi="Calibri" w:cs="Calibri"/>
        </w:rPr>
        <w:t xml:space="preserve"> approach. This allows parental </w:t>
      </w:r>
      <w:r w:rsidRPr="00837B16">
        <w:rPr>
          <w:rFonts w:ascii="Calibri" w:hAnsi="Calibri" w:cs="Calibri"/>
        </w:rPr>
        <w:t>choice and</w:t>
      </w:r>
      <w:r w:rsidRPr="00837B16">
        <w:rPr>
          <w:rFonts w:ascii="Calibri" w:hAnsi="Calibri" w:cs="Calibri"/>
        </w:rPr>
        <w:t xml:space="preserve"> ensures that childcare provision is not a postcode lottery.</w:t>
      </w:r>
      <w:r w:rsidRPr="00837B16">
        <w:rPr>
          <w:rFonts w:ascii="Calibri" w:hAnsi="Calibri" w:cs="Calibri"/>
        </w:rPr>
        <w:t xml:space="preserve"> Research continues to say parents bills for childcare are higher in Wales than the other nations, yet at the same time the sector is struggling with low-pay and retention and recruitment being persistent challenges.</w:t>
      </w:r>
    </w:p>
    <w:p w:rsidR="00837B16" w:rsidRPr="00837B16" w:rsidP="00E81C56">
      <w:pPr>
        <w:rPr>
          <w:rFonts w:ascii="Calibri" w:hAnsi="Calibri" w:cs="Calibri"/>
        </w:rPr>
      </w:pPr>
      <w:r w:rsidRPr="00837B16">
        <w:rPr>
          <w:rFonts w:ascii="Calibri" w:hAnsi="Calibri" w:cs="Calibri"/>
        </w:rPr>
        <w:t>A second, and equally pressing, barrier, though not unique to Wales, is the growing movement crisis among children. Access to meaningful movement opportunities is fundamental to children's physical and cognitive development, yet for children from lower-income backgrounds in Wales, such opportunities are increasingly out of reach. The steady erosion of accessible, free green space, combined with the rising cost of family activities where movement can be naturally realised, means that the burden of this crisi</w:t>
      </w:r>
      <w:r w:rsidRPr="00837B16">
        <w:rPr>
          <w:rFonts w:ascii="Calibri" w:hAnsi="Calibri" w:cs="Calibri"/>
        </w:rPr>
        <w:t xml:space="preserve">s falls hardest on those least able to absorb it. </w:t>
      </w:r>
    </w:p>
    <w:p w:rsidR="00837B16" w:rsidRPr="00837B16" w:rsidP="00E81C56">
      <w:pPr>
        <w:rPr>
          <w:rFonts w:ascii="Calibri" w:hAnsi="Calibri" w:cs="Calibri"/>
        </w:rPr>
      </w:pPr>
      <w:r w:rsidRPr="00837B16">
        <w:rPr>
          <w:rFonts w:ascii="Calibri" w:hAnsi="Calibri" w:cs="Calibri"/>
        </w:rPr>
        <w:t>The consequences are severe: reduced movement in childhood is directly linked to poorer health outcomes across later childhood, adolescence and into adulthood, placing additional and avoidable pressure on health services. Compounding this is a widespread lack of awareness among adults about both the critical importance of movement and the specific ways in which children need to move and play. The child poverty strategy cannot be delivered in full if the movement crisis remains unaddressed, the two are inext</w:t>
      </w:r>
      <w:r w:rsidRPr="00837B16">
        <w:rPr>
          <w:rFonts w:ascii="Calibri" w:hAnsi="Calibri" w:cs="Calibri"/>
        </w:rPr>
        <w:t>ricably linked.</w:t>
      </w:r>
    </w:p>
    <w:p w:rsidR="00837B16" w:rsidRPr="00837B16" w:rsidP="00E81C56">
      <w:pPr>
        <w:rPr>
          <w:rFonts w:ascii="Calibri" w:hAnsi="Calibri" w:cs="Calibri"/>
        </w:rPr>
      </w:pPr>
    </w:p>
    <w:p w:rsidR="00837B16" w:rsidRPr="00837B16" w:rsidP="00D85DE2">
      <w:pPr>
        <w:pStyle w:val="ListParagraph"/>
        <w:numPr>
          <w:ilvl w:val="0"/>
          <w:numId w:val="1"/>
        </w:numPr>
        <w:rPr>
          <w:rFonts w:ascii="Calibri" w:hAnsi="Calibri" w:cs="Calibri"/>
          <w:b/>
          <w:bCs/>
        </w:rPr>
      </w:pPr>
      <w:r w:rsidRPr="00837B16">
        <w:rPr>
          <w:rFonts w:ascii="Calibri" w:hAnsi="Calibri" w:cs="Calibri"/>
          <w:b/>
          <w:bCs/>
        </w:rPr>
        <w:t>How effectively do the UK and Welsh governments work together towards ending child poverty in Wales?</w:t>
      </w:r>
    </w:p>
    <w:p w:rsidR="00837B16" w:rsidRPr="00837B16" w:rsidP="00D85DE2">
      <w:pPr>
        <w:pStyle w:val="ListParagraph"/>
        <w:rPr>
          <w:rFonts w:ascii="Calibri" w:hAnsi="Calibri" w:cs="Calibri"/>
          <w:b/>
          <w:bCs/>
        </w:rPr>
      </w:pPr>
    </w:p>
    <w:p w:rsidR="00837B16" w:rsidRPr="00837B16" w:rsidP="002164F1">
      <w:pPr>
        <w:rPr>
          <w:rFonts w:ascii="Calibri" w:hAnsi="Calibri" w:cs="Calibri"/>
        </w:rPr>
      </w:pPr>
      <w:r w:rsidRPr="00837B16">
        <w:rPr>
          <w:rFonts w:ascii="Calibri" w:hAnsi="Calibri" w:cs="Calibri"/>
        </w:rPr>
        <w:t>The effectiveness of joint working between the Welsh and UK governments to tackle child poverty in Wales is fundamentally contingent upon the degree of shared values and political alignment between the two administrations. When both governments operate from similar ideological foundations, collaboration can be productive; however, divergences in political ideology, particularly around the role of the state, welfare provision, and the pace of redistribution, create significant friction. Compounding this is a</w:t>
      </w:r>
      <w:r w:rsidRPr="00837B16">
        <w:rPr>
          <w:rFonts w:ascii="Calibri" w:hAnsi="Calibri" w:cs="Calibri"/>
        </w:rPr>
        <w:t xml:space="preserve"> persistent tension rooted in the UK Government's attitude toward devolution itself. A lack of genuine trust in devolved institutions to manage policy effectively has at times resulted in a relationship characterised by paternalism rather than partnership. This manifests in Welsh Government frequently feeling politically short-changed: consulted belatedly, excluded from key decisions, or presented with policy faits accomplis. The consequence for child poverty reduction is stark; even well-designed Welsh int</w:t>
      </w:r>
      <w:r w:rsidRPr="00837B16">
        <w:rPr>
          <w:rFonts w:ascii="Calibri" w:hAnsi="Calibri" w:cs="Calibri"/>
        </w:rPr>
        <w:t>erventions are undermined when the broader UK framework pulls in a different direction, limiting their reach and ambition to a fraction of what genuine co-production could achieve.</w:t>
      </w:r>
    </w:p>
    <w:p w:rsidR="00837B16" w:rsidRPr="00837B16" w:rsidP="002164F1">
      <w:pPr>
        <w:rPr>
          <w:rFonts w:ascii="Calibri" w:hAnsi="Calibri" w:cs="Calibri"/>
        </w:rPr>
      </w:pPr>
      <w:r w:rsidRPr="00837B16">
        <w:rPr>
          <w:rFonts w:ascii="Calibri" w:hAnsi="Calibri" w:cs="Calibri"/>
        </w:rPr>
        <w:t>Central to the constraints facing the Welsh Government is the inadequacy of its current funding settlement, which restricts the scale and ambition of anti-poverty policy it can realistically deliver. The Barnett Formula, which determines Wales's block grant from the UK Government, has long been a source of legitimate grievance. Welsh Government funding has failed to keep pace with inflation over a sustained period, meaning that in real terms, the resources available to address deep-seated structural poverty</w:t>
      </w:r>
      <w:r w:rsidRPr="00837B16">
        <w:rPr>
          <w:rFonts w:ascii="Calibri" w:hAnsi="Calibri" w:cs="Calibri"/>
        </w:rPr>
        <w:t xml:space="preserve"> have been quietly eroded year on year. This erosion is not abstract: it represents fewer funded childcare places, </w:t>
      </w:r>
      <w:r w:rsidRPr="00837B16">
        <w:rPr>
          <w:rFonts w:ascii="Calibri" w:hAnsi="Calibri" w:cs="Calibri"/>
        </w:rPr>
        <w:t>reduced family support services, and constrained investment in the early years infrastructure that is foundational to breaking the cycle of poverty. Early Years Wales is clear that the current funding mechanism does not adequately reflect the distinct needs and cost pressures facing Wales, and that this gap between what is provided and what is required grows wider with each passing year.</w:t>
      </w:r>
    </w:p>
    <w:p w:rsidR="00837B16" w:rsidRPr="00837B16" w:rsidP="002164F1">
      <w:pPr>
        <w:rPr>
          <w:rFonts w:ascii="Calibri" w:hAnsi="Calibri" w:cs="Calibri"/>
        </w:rPr>
      </w:pPr>
      <w:r w:rsidRPr="00837B16">
        <w:rPr>
          <w:rFonts w:ascii="Calibri" w:hAnsi="Calibri" w:cs="Calibri"/>
        </w:rPr>
        <w:t>The classification of major UK infrastructure projects further illustrates how the funding settlement disadvantages Wales in ways that directly affect the conditions underpinning child poverty. The designation of HS2, a rail project connecting London and Birmingham with no track entering Wales, as an 'England and Wales' project meant that Wales did not receive the consequential funding uplift it would ordinarily be entitled to. This is not a peripheral accounting matter. Transport connectivity is a signific</w:t>
      </w:r>
      <w:r w:rsidRPr="00837B16">
        <w:rPr>
          <w:rFonts w:ascii="Calibri" w:hAnsi="Calibri" w:cs="Calibri"/>
        </w:rPr>
        <w:t>ant driver of economic disadvantage and child poverty, particularly in rural and post-industrial Welsh communities where geographic isolation limits access to employment, services, and opportunity. The funding Wales should have received could have supported meaningful investment in transport infrastructure that addresses these geographic inequalities. Instead, a decision taken without Welsh consent, and without Welsh benefit, has left communities further behind. Early Years Wales therefore urges the Committ</w:t>
      </w:r>
      <w:r w:rsidRPr="00837B16">
        <w:rPr>
          <w:rFonts w:ascii="Calibri" w:hAnsi="Calibri" w:cs="Calibri"/>
        </w:rPr>
        <w:t>ee to recognise that without a fairer, needs-based funding settlement, even the most thoughtful and evidence-led Welsh Government policies to end child poverty will remain systemically constrained in their impact.</w:t>
      </w:r>
    </w:p>
    <w:p w:rsidR="00837B16" w:rsidRPr="00837B16" w:rsidP="00CC78D4">
      <w:pPr>
        <w:rPr>
          <w:rFonts w:ascii="Calibri" w:hAnsi="Calibri" w:cs="Calibri"/>
          <w:b/>
          <w:bCs/>
        </w:rPr>
      </w:pPr>
    </w:p>
    <w:p w:rsidR="00837B16" w:rsidRPr="00837B16" w:rsidP="00D85DE2">
      <w:pPr>
        <w:pStyle w:val="ListParagraph"/>
        <w:numPr>
          <w:ilvl w:val="0"/>
          <w:numId w:val="1"/>
        </w:numPr>
        <w:rPr>
          <w:rFonts w:ascii="Calibri" w:hAnsi="Calibri" w:cs="Calibri"/>
          <w:b/>
          <w:bCs/>
        </w:rPr>
      </w:pPr>
      <w:r w:rsidRPr="00837B16">
        <w:rPr>
          <w:rFonts w:ascii="Calibri" w:hAnsi="Calibri" w:cs="Calibri"/>
          <w:b/>
          <w:bCs/>
        </w:rPr>
        <w:t>How well do devolved and reserved agencies co-ordinate their work towards ending child poverty in Wales?</w:t>
      </w:r>
    </w:p>
    <w:p w:rsidR="00837B16" w:rsidRPr="00837B16" w:rsidP="00AC671A">
      <w:pPr>
        <w:rPr>
          <w:rFonts w:ascii="Calibri" w:hAnsi="Calibri" w:cs="Calibri"/>
        </w:rPr>
      </w:pPr>
      <w:r w:rsidRPr="00837B16">
        <w:rPr>
          <w:rFonts w:ascii="Calibri" w:hAnsi="Calibri" w:cs="Calibri"/>
        </w:rPr>
        <w:t xml:space="preserve">This is hard to answer directly and is where the existing Child Poverty strategy in Wales was criticised by the Children’s Commissioner for lacking targets that could be measured to demonstrate impact. Linked to the statement above (2), all the reserved agencies are also facing cost-pressures in Wales. Inextricably linked are, the sustained and persistent nature of poverty in Wales since the 1980’s and 1990’s and the less favourable health outcomes for adults. </w:t>
      </w:r>
    </w:p>
    <w:p w:rsidR="00837B16" w:rsidRPr="00837B16" w:rsidP="00AC671A">
      <w:pPr>
        <w:rPr>
          <w:rFonts w:ascii="Calibri" w:hAnsi="Calibri" w:cs="Calibri"/>
        </w:rPr>
      </w:pPr>
      <w:r w:rsidRPr="00837B16">
        <w:rPr>
          <w:rFonts w:ascii="Calibri" w:hAnsi="Calibri" w:cs="Calibri"/>
        </w:rPr>
        <w:t xml:space="preserve">One area that could be addressed more robustly for children in Wales is the per/child cost of uniforms for schools. Although recent guidance has been improved, it is still in the locus of control of individual head teachers to create policies that work for their schools. Since the 1990’s we have seen a transition away from semi-formal uniforms to more formal with blazers becoming the norm for most secondary schools and multiple items requiring school logos. </w:t>
      </w:r>
      <w:r w:rsidRPr="00837B16">
        <w:rPr>
          <w:rFonts w:ascii="Calibri" w:hAnsi="Calibri" w:cs="Calibri"/>
        </w:rPr>
        <w:t xml:space="preserve">Teenagers experiencing poverty continue to state that uniform is an issue for them, and a central governing statement about the number of items or maximum cost of items that are branded would enhance this -driving consistency between schools. Also, making it transparent for parents if a supplier provides a commercial benefit to the school and </w:t>
      </w:r>
      <w:r w:rsidRPr="00837B16">
        <w:rPr>
          <w:rFonts w:ascii="Calibri" w:hAnsi="Calibri" w:cs="Calibri"/>
        </w:rPr>
        <w:t>ensuring that alternative providers are available would benefit children experiencing poverty.</w:t>
      </w:r>
    </w:p>
    <w:p w:rsidR="00837B16" w:rsidRPr="00837B16" w:rsidP="00D85DE2">
      <w:pPr>
        <w:pStyle w:val="ListParagraph"/>
        <w:rPr>
          <w:rFonts w:ascii="Calibri" w:hAnsi="Calibri" w:cs="Calibri"/>
          <w:b/>
          <w:bCs/>
        </w:rPr>
      </w:pPr>
    </w:p>
    <w:p w:rsidR="00837B16" w:rsidRPr="00837B16" w:rsidP="00D85DE2">
      <w:pPr>
        <w:pStyle w:val="ListParagraph"/>
        <w:numPr>
          <w:ilvl w:val="0"/>
          <w:numId w:val="1"/>
        </w:numPr>
        <w:rPr>
          <w:rFonts w:ascii="Calibri" w:hAnsi="Calibri" w:cs="Calibri"/>
          <w:b/>
          <w:bCs/>
        </w:rPr>
      </w:pPr>
      <w:r w:rsidRPr="00837B16">
        <w:rPr>
          <w:rFonts w:ascii="Calibri" w:hAnsi="Calibri" w:cs="Calibri"/>
          <w:b/>
          <w:bCs/>
        </w:rPr>
        <w:t>Are children's voices in Wales heard loudly enough by policymakers in the UK Government?</w:t>
      </w:r>
    </w:p>
    <w:p w:rsidR="00837B16" w:rsidRPr="00837B16" w:rsidP="00271DD0">
      <w:pPr>
        <w:pStyle w:val="font-claude-response-body"/>
        <w:rPr>
          <w:rFonts w:ascii="Calibri" w:hAnsi="Calibri" w:cs="Calibri"/>
        </w:rPr>
      </w:pPr>
      <w:r w:rsidRPr="00837B16">
        <w:rPr>
          <w:rFonts w:ascii="Calibri" w:hAnsi="Calibri" w:cs="Calibri"/>
        </w:rPr>
        <w:t>Whilst there have been some recent and welcome strides in ensuring that children's voices are heard at the highest levels of decision-making, there remains a considerable distance still to travel. The evidence base for what genuinely supports children's development is well established: play, movement, and meaningful connection with their caregivers are foundational to healthy childhoods. And yet, our current approach to early education routinely asks children to sit still and engage with formal learning, su</w:t>
      </w:r>
      <w:r w:rsidRPr="00837B16">
        <w:rPr>
          <w:rFonts w:ascii="Calibri" w:hAnsi="Calibri" w:cs="Calibri"/>
        </w:rPr>
        <w:t xml:space="preserve">ch as phonics, at an age that is simply too early for many. This not only risks damaging children's health in the short </w:t>
      </w:r>
      <w:r w:rsidRPr="00837B16">
        <w:rPr>
          <w:rFonts w:ascii="Calibri" w:hAnsi="Calibri" w:cs="Calibri"/>
        </w:rPr>
        <w:t>term but</w:t>
      </w:r>
      <w:r w:rsidRPr="00837B16">
        <w:rPr>
          <w:rFonts w:ascii="Calibri" w:hAnsi="Calibri" w:cs="Calibri"/>
        </w:rPr>
        <w:t xml:space="preserve"> is counterproductive in the longer term when compared to approaches that centre movement and play as the primary vehicles for early learning. If children's voices were truly being heard and acted upon, our education system would look markedly different.</w:t>
      </w:r>
    </w:p>
    <w:p w:rsidR="00837B16" w:rsidRPr="00837B16" w:rsidP="00667006">
      <w:pPr>
        <w:pStyle w:val="font-claude-response-body"/>
        <w:rPr>
          <w:rFonts w:ascii="Calibri" w:hAnsi="Calibri" w:cs="Calibri"/>
        </w:rPr>
      </w:pPr>
      <w:r w:rsidRPr="00837B16">
        <w:rPr>
          <w:rFonts w:ascii="Calibri" w:hAnsi="Calibri" w:cs="Calibri"/>
        </w:rPr>
        <w:t>The same question must also be asked of the communities in which children live and grow. When we assess our built environments honestly, it becomes difficult to conclude that the needs and wants of children and families have been meaningfully considered in legislation and planning decisions. The continued prioritisation of cars and road maintenance, the fencing off of playgrounds in ways that restrict rather than enable free play, and the chronic shortage of safe, open and accessible green space, particular</w:t>
      </w:r>
      <w:r w:rsidRPr="00837B16">
        <w:rPr>
          <w:rFonts w:ascii="Calibri" w:hAnsi="Calibri" w:cs="Calibri"/>
        </w:rPr>
        <w:t>ly in urban areas, all point to a society that has not yet placed children's experience of their surroundings at the heart of how it designs and maintains public space. Genuine regard for children's voices must extend beyond consultation exercises and into the fabric of our communities themselves.</w:t>
      </w:r>
    </w:p>
    <w:p w:rsidR="00837B16" w:rsidRPr="00837B16" w:rsidP="00667006">
      <w:pPr>
        <w:pStyle w:val="font-claude-response-body"/>
        <w:rPr>
          <w:rFonts w:ascii="Calibri" w:hAnsi="Calibri" w:cs="Calibri"/>
        </w:rPr>
      </w:pPr>
      <w:r w:rsidRPr="00837B16">
        <w:rPr>
          <w:rFonts w:ascii="Calibri" w:hAnsi="Calibri" w:cs="Calibri"/>
        </w:rPr>
        <w:t>Third-sector organisations and the children’s commissioner’s office do endeavour to collect and share the voices of children in policy farming in Wales. How much of what is collected in Wales gets to a Westminster Government, and whether that is used to inform and shape policy is not fully understood.</w:t>
      </w:r>
    </w:p>
    <w:p w:rsidR="00837B16" w:rsidRPr="00837B16" w:rsidP="00D85DE2">
      <w:pPr>
        <w:pStyle w:val="ListParagraph"/>
        <w:rPr>
          <w:rFonts w:ascii="Calibri" w:hAnsi="Calibri" w:cs="Calibri"/>
          <w:b/>
          <w:bCs/>
        </w:rPr>
      </w:pPr>
    </w:p>
    <w:p w:rsidR="00837B16" w:rsidRPr="00837B16" w:rsidP="005B3C21">
      <w:pPr>
        <w:pStyle w:val="ListParagraph"/>
        <w:numPr>
          <w:ilvl w:val="0"/>
          <w:numId w:val="1"/>
        </w:numPr>
        <w:rPr>
          <w:rFonts w:ascii="Calibri" w:hAnsi="Calibri" w:cs="Calibri"/>
          <w:b/>
          <w:bCs/>
        </w:rPr>
      </w:pPr>
      <w:r w:rsidRPr="00837B16">
        <w:rPr>
          <w:rFonts w:ascii="Calibri" w:hAnsi="Calibri" w:cs="Calibri"/>
          <w:b/>
          <w:bCs/>
        </w:rPr>
        <w:t>How can data collection be improved to better understand and map the extent of child poverty in Wales?</w:t>
      </w:r>
    </w:p>
    <w:p w:rsidR="00837B16" w:rsidRPr="00837B16" w:rsidP="008A1C25">
      <w:pPr>
        <w:rPr>
          <w:rFonts w:ascii="Calibri" w:hAnsi="Calibri" w:cs="Calibri"/>
        </w:rPr>
      </w:pPr>
      <w:r w:rsidRPr="00837B16">
        <w:rPr>
          <w:rFonts w:ascii="Calibri" w:hAnsi="Calibri" w:cs="Calibri"/>
        </w:rPr>
        <w:t>Early Years Wales welcomes the Committee's focus on data collection as a means of better understanding child poverty in Wales. However, we would contend that the current approach to data gathering, led primarily through Stats Wales, presents an incomplete picture of the lived reality of poverty for young children and their families. The metrics currently prioritised centre on relative income poverty, measuring the proportion of families with young children falling below income thresholds. Whilst this econom</w:t>
      </w:r>
      <w:r w:rsidRPr="00837B16">
        <w:rPr>
          <w:rFonts w:ascii="Calibri" w:hAnsi="Calibri" w:cs="Calibri"/>
        </w:rPr>
        <w:t xml:space="preserve">ic framing is undoubtedly important, and provides a useful baseline for understanding financial hardship, it risks reducing a deeply complex and multidimensional issue to a single axis of measurement. Child poverty is not experienced solely through the lens of household </w:t>
      </w:r>
      <w:r w:rsidRPr="00837B16">
        <w:rPr>
          <w:rFonts w:ascii="Calibri" w:hAnsi="Calibri" w:cs="Calibri"/>
        </w:rPr>
        <w:t>income, and data collection frameworks that treat it as such will inevitably produce an understanding of the problem that is too narrow to drive truly effective policy responses.</w:t>
      </w:r>
    </w:p>
    <w:p w:rsidR="00837B16" w:rsidRPr="00837B16" w:rsidP="00073BD1">
      <w:pPr>
        <w:rPr>
          <w:rFonts w:ascii="Calibri" w:hAnsi="Calibri" w:cs="Calibri"/>
        </w:rPr>
      </w:pPr>
      <w:r w:rsidRPr="00837B16">
        <w:rPr>
          <w:rFonts w:ascii="Calibri" w:hAnsi="Calibri" w:cs="Calibri"/>
        </w:rPr>
        <w:t xml:space="preserve">What is missing from the current data landscape is a fuller, more rounded account of the many </w:t>
      </w:r>
      <w:r w:rsidRPr="00837B16">
        <w:rPr>
          <w:rFonts w:ascii="Calibri" w:hAnsi="Calibri" w:cs="Calibri"/>
        </w:rPr>
        <w:t>forms’</w:t>
      </w:r>
      <w:r w:rsidRPr="00837B16">
        <w:rPr>
          <w:rFonts w:ascii="Calibri" w:hAnsi="Calibri" w:cs="Calibri"/>
        </w:rPr>
        <w:t xml:space="preserve"> poverty takes in the lives of young children </w:t>
      </w:r>
      <w:r w:rsidRPr="00837B16">
        <w:rPr>
          <w:rFonts w:ascii="Calibri" w:hAnsi="Calibri" w:cs="Calibri"/>
        </w:rPr>
        <w:t>across our nation</w:t>
      </w:r>
      <w:r w:rsidRPr="00837B16">
        <w:rPr>
          <w:rFonts w:ascii="Calibri" w:hAnsi="Calibri" w:cs="Calibri"/>
        </w:rPr>
        <w:t>. Geographic disadvantage, for instance, represents a significant and underreported dimension of child poverty that existing statistics fail to adequately capture. Wales has some of the most acute childcare deserts in the United Kingdom, where the absence of affordable, accessible childcare provision in rural and semi-rural communities creates a compounding disadvantage for families who are already stretched. A parent unable to access chil</w:t>
      </w:r>
      <w:r w:rsidRPr="00837B16">
        <w:rPr>
          <w:rFonts w:ascii="Calibri" w:hAnsi="Calibri" w:cs="Calibri"/>
        </w:rPr>
        <w:t>dcare cannot access employment; a family unable to access employment cannot escape income poverty. Yet the causal relationship between geographic childcare availability and economic outcomes is rarely surfaced in the data that informs Welsh Government policy. Similarly, access to green space and safe, walkable communities is a well-evidenced contributor to child development and wellbeing, yet these environmental dimensions of poverty are largely absent from the metrics used to assess its extent in Wales.</w:t>
      </w:r>
    </w:p>
    <w:p w:rsidR="00837B16" w:rsidRPr="00837B16" w:rsidP="00073BD1">
      <w:pPr>
        <w:rPr>
          <w:rFonts w:ascii="Calibri" w:hAnsi="Calibri" w:cs="Calibri"/>
        </w:rPr>
      </w:pPr>
      <w:r w:rsidRPr="00837B16">
        <w:rPr>
          <w:rFonts w:ascii="Calibri" w:hAnsi="Calibri" w:cs="Calibri"/>
        </w:rPr>
        <w:t>Early Years Wales therefore calls on the Committee to recommend a significant broadening of the data collection framework used to understand child poverty in Wales. A more comprehensive approach would move beyond income measures alone and seek to map poverty across its geographic, environmental, and social dimensions, capturing where childcare deserts exist and are forming, where children lack access to safe outdoor spaces, and where community infrastructure is insufficient to support healthy early developm</w:t>
      </w:r>
      <w:r w:rsidRPr="00837B16">
        <w:rPr>
          <w:rFonts w:ascii="Calibri" w:hAnsi="Calibri" w:cs="Calibri"/>
        </w:rPr>
        <w:t>ent. Such a dataset would not only offer a more honest account of the scale and nature of child poverty across Wales; it would provide the evidence base needed to support more targeted, more collaborative, and ultimately more effective government intervention. Without richer data, the risk is that policy continues to address the symptoms of poverty most easily measured, rather than the full range of causes most urgently in need of attention.</w:t>
      </w:r>
    </w:p>
    <w:p w:rsidR="00837B16" w:rsidRPr="00837B16" w:rsidP="00C2286D">
      <w:pPr>
        <w:rPr>
          <w:rFonts w:ascii="Calibri" w:hAnsi="Calibri" w:cs="Calibri"/>
          <w:b/>
          <w:bCs/>
        </w:rPr>
      </w:pPr>
    </w:p>
    <w:p w:rsidR="00837B16" w:rsidRPr="00837B16" w:rsidP="005B3C21">
      <w:pPr>
        <w:pStyle w:val="ListParagraph"/>
        <w:numPr>
          <w:ilvl w:val="0"/>
          <w:numId w:val="1"/>
        </w:numPr>
        <w:rPr>
          <w:rFonts w:ascii="Calibri" w:hAnsi="Calibri" w:cs="Calibri"/>
          <w:b/>
          <w:bCs/>
        </w:rPr>
      </w:pPr>
      <w:r w:rsidRPr="00837B16">
        <w:rPr>
          <w:rFonts w:ascii="Calibri" w:hAnsi="Calibri" w:cs="Calibri"/>
          <w:b/>
          <w:bCs/>
        </w:rPr>
        <w:t xml:space="preserve"> How could better data be harnessed to design and deliver measures that more effectively address child poverty in Wales?</w:t>
      </w:r>
    </w:p>
    <w:p w:rsidR="00837B16" w:rsidRPr="00837B16">
      <w:pPr>
        <w:rPr>
          <w:rFonts w:ascii="Calibri" w:hAnsi="Calibri" w:cs="Calibri"/>
          <w:i/>
          <w:iCs/>
        </w:rPr>
      </w:pPr>
    </w:p>
    <w:p w:rsidR="00837B16" w:rsidRPr="00837B16">
      <w:pPr>
        <w:rPr>
          <w:rFonts w:ascii="Calibri" w:hAnsi="Calibri" w:cs="Calibri"/>
        </w:rPr>
      </w:pPr>
      <w:r w:rsidRPr="00837B16">
        <w:rPr>
          <w:rFonts w:ascii="Calibri" w:hAnsi="Calibri" w:cs="Calibri"/>
        </w:rPr>
        <w:t xml:space="preserve">Across a range of the questions above, the issues of supporting families and getting the start right for children emerge. There is little doubt that this requires a step-change in the way early years is thought about and a radical overhaul of the existing funding. The UK as a whole continues to invest less of GDP into early years than many other OECD countries. This disproportionately affects babies and children with the lowest resources. Consistently, outcome research demonstrates that funding early years </w:t>
      </w:r>
      <w:r w:rsidRPr="00837B16">
        <w:rPr>
          <w:rFonts w:ascii="Calibri" w:hAnsi="Calibri" w:cs="Calibri"/>
        </w:rPr>
        <w:t xml:space="preserve">has longitudinal benefits. The Our Children Our Future report cites the attainment gap between 5 and 16 years and how, despite interventions to support learners, this widens instead of closes. The foundations for </w:t>
      </w:r>
      <w:r w:rsidRPr="00837B16">
        <w:rPr>
          <w:rFonts w:ascii="Calibri" w:hAnsi="Calibri" w:cs="Calibri"/>
        </w:rPr>
        <w:t>reading and recent research indicates that reading gaps start around 18 months of age (not as reading gaps, but gaps in the language development of children). Furthermore, we know that higher earners and higher academically qualified parents are more likely to read on a daily basis than lowest earn</w:t>
      </w:r>
      <w:r w:rsidRPr="00837B16">
        <w:rPr>
          <w:rFonts w:ascii="Calibri" w:hAnsi="Calibri" w:cs="Calibri"/>
        </w:rPr>
        <w:t>ers and less well-educated parents. If we continue to underfund the early years, the attainment gap that has been present for many years at the age of 5 will continue to be present. We simply must address children’s development rather than rely on phonics in school. To overcome these systemic issues we need to fund childcare better. Also, due to the fact that the sector is primarily a female workforce, the duality of doing this is it benefits children whilst benefiting working parents in the sector. It is n</w:t>
      </w:r>
      <w:r w:rsidRPr="00837B16">
        <w:rPr>
          <w:rFonts w:ascii="Calibri" w:hAnsi="Calibri" w:cs="Calibri"/>
        </w:rPr>
        <w:t xml:space="preserve">oteworthy that both Ireland and Estonia took actions to ensure that the pay in the early years childcare sector was closer in alignment to educators’ pay. And, both Estonia and Ireland outperformed the UK on PISA tests; with Ireland working through English, this does indicate that literacy can be improved with a broader and more coherent approach than </w:t>
      </w:r>
      <w:r w:rsidRPr="00837B16">
        <w:rPr>
          <w:rFonts w:ascii="Calibri" w:hAnsi="Calibri" w:cs="Calibri"/>
        </w:rPr>
        <w:t xml:space="preserve">minimising the debate to the use of phonic instruction. </w:t>
      </w:r>
    </w:p>
    <w:p w:rsidR="00837B16" w:rsidRPr="00837B16">
      <w:pPr>
        <w:rPr>
          <w:rFonts w:ascii="Calibri" w:hAnsi="Calibri" w:cs="Calibri"/>
        </w:rPr>
      </w:pPr>
      <w:r w:rsidRPr="00837B16">
        <w:rPr>
          <w:rFonts w:ascii="Calibri" w:hAnsi="Calibri" w:cs="Calibri"/>
        </w:rPr>
        <w:t xml:space="preserve">It would be beneficial to all children in education if the quality of school meals was improved too. As the one place where we can control food choices, it remains disappointing that due to externally contracted services, and cost/head limits, a significant proportion of food provided to children in Wales contains ingredients that are ultra-processed. There is opportunity to redress this, ensuring that standards are higher and food quality is better. The nutrition children access is the building-blocks for </w:t>
      </w:r>
      <w:r w:rsidRPr="00837B16">
        <w:rPr>
          <w:rFonts w:ascii="Calibri" w:hAnsi="Calibri" w:cs="Calibri"/>
        </w:rPr>
        <w:t>their developing bodies and brains. Whilst taxing the worst offending products in supermarkets has some impact, and Wales’ approach to limiting the till-area presence of the worst offending products is laudable, without evaluating the quality of the food currently served as meals in school, these approaches are destined to fall-short of the potential impact. Children will seek what they are familiar with and, sadly, the reliance on cheap and easily processed food is prevalent; whereas in France the focus is</w:t>
      </w:r>
      <w:r w:rsidRPr="00837B16">
        <w:rPr>
          <w:rFonts w:ascii="Calibri" w:hAnsi="Calibri" w:cs="Calibri"/>
        </w:rPr>
        <w:t xml:space="preserve"> on local and fully-cooked food.</w:t>
      </w:r>
    </w:p>
    <w:p w:rsidR="00837B16" w:rsidRPr="00837B16">
      <w:pPr>
        <w:rPr>
          <w:rFonts w:ascii="Calibri" w:hAnsi="Calibri" w:cs="Calibri"/>
          <w:i/>
          <w:iCs/>
        </w:rPr>
      </w:pPr>
    </w:p>
    <w:p w:rsidR="00837B16" w:rsidRPr="00837B16">
      <w:pPr>
        <w:rPr>
          <w:rFonts w:ascii="Calibri" w:hAnsi="Calibri" w:cs="Calibri"/>
          <w:i/>
          <w:iCs/>
        </w:rPr>
      </w:pPr>
      <w:r w:rsidRPr="00837B16">
        <w:rPr>
          <w:rFonts w:ascii="Calibri" w:hAnsi="Calibri" w:cs="Calibri"/>
          <w:i/>
          <w:iCs/>
        </w:rPr>
        <w:t>April 2026</w:t>
      </w:r>
    </w:p>
    <w:p w:rsidR="00837B16" w:rsidRPr="00837B16">
      <w:pPr>
        <w:rPr>
          <w:rFonts w:ascii="Calibri" w:hAnsi="Calibri" w:cs="Calibri"/>
        </w:rPr>
      </w:pPr>
    </w:p>
    <w:p w:rsidR="00837B16" w:rsidRPr="00837B16">
      <w:pPr>
        <w:rPr>
          <w:rFonts w:ascii="Calibri" w:hAnsi="Calibri" w:cs="Calibri"/>
        </w:rPr>
      </w:pPr>
    </w:p>
    <w:p w:rsidR="00837B16" w:rsidRPr="00837B16">
      <w:pPr>
        <w:rPr>
          <w:rFonts w:ascii="Calibri" w:hAnsi="Calibri" w:cs="Calibri"/>
        </w:rPr>
      </w:pPr>
    </w:p>
    <w:p w:rsidR="00837B16" w:rsidRPr="00837B16">
      <w:pPr>
        <w:rPr>
          <w:rFonts w:ascii="Calibri" w:hAnsi="Calibri" w:cs="Calibri"/>
        </w:rPr>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3414075"/>
    <w:multiLevelType w:val="hybridMultilevel"/>
    <w:tmpl w:val="BF4417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8D44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44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44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44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44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44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44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44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44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44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44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44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44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44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44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44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44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446D"/>
    <w:rPr>
      <w:rFonts w:eastAsiaTheme="majorEastAsia" w:cstheme="majorBidi"/>
      <w:color w:val="272727" w:themeColor="text1" w:themeTint="D8"/>
    </w:rPr>
  </w:style>
  <w:style w:type="paragraph" w:styleId="Title">
    <w:name w:val="Title"/>
    <w:basedOn w:val="Normal"/>
    <w:next w:val="Normal"/>
    <w:link w:val="TitleChar"/>
    <w:uiPriority w:val="10"/>
    <w:qFormat/>
    <w:rsid w:val="008D44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44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44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44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446D"/>
    <w:pPr>
      <w:spacing w:before="160"/>
      <w:jc w:val="center"/>
    </w:pPr>
    <w:rPr>
      <w:i/>
      <w:iCs/>
      <w:color w:val="404040" w:themeColor="text1" w:themeTint="BF"/>
    </w:rPr>
  </w:style>
  <w:style w:type="character" w:customStyle="1" w:styleId="QuoteChar">
    <w:name w:val="Quote Char"/>
    <w:basedOn w:val="DefaultParagraphFont"/>
    <w:link w:val="Quote"/>
    <w:uiPriority w:val="29"/>
    <w:rsid w:val="008D446D"/>
    <w:rPr>
      <w:i/>
      <w:iCs/>
      <w:color w:val="404040" w:themeColor="text1" w:themeTint="BF"/>
    </w:rPr>
  </w:style>
  <w:style w:type="paragraph" w:styleId="ListParagraph">
    <w:name w:val="List Paragraph"/>
    <w:basedOn w:val="Normal"/>
    <w:uiPriority w:val="34"/>
    <w:qFormat/>
    <w:rsid w:val="008D446D"/>
    <w:pPr>
      <w:ind w:left="720"/>
      <w:contextualSpacing/>
    </w:pPr>
  </w:style>
  <w:style w:type="character" w:styleId="IntenseEmphasis">
    <w:name w:val="Intense Emphasis"/>
    <w:basedOn w:val="DefaultParagraphFont"/>
    <w:uiPriority w:val="21"/>
    <w:qFormat/>
    <w:rsid w:val="008D446D"/>
    <w:rPr>
      <w:i/>
      <w:iCs/>
      <w:color w:val="0F4761" w:themeColor="accent1" w:themeShade="BF"/>
    </w:rPr>
  </w:style>
  <w:style w:type="paragraph" w:styleId="IntenseQuote">
    <w:name w:val="Intense Quote"/>
    <w:basedOn w:val="Normal"/>
    <w:next w:val="Normal"/>
    <w:link w:val="IntenseQuoteChar"/>
    <w:uiPriority w:val="30"/>
    <w:qFormat/>
    <w:rsid w:val="008D44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446D"/>
    <w:rPr>
      <w:i/>
      <w:iCs/>
      <w:color w:val="0F4761" w:themeColor="accent1" w:themeShade="BF"/>
    </w:rPr>
  </w:style>
  <w:style w:type="character" w:styleId="IntenseReference">
    <w:name w:val="Intense Reference"/>
    <w:basedOn w:val="DefaultParagraphFont"/>
    <w:uiPriority w:val="32"/>
    <w:qFormat/>
    <w:rsid w:val="008D446D"/>
    <w:rPr>
      <w:b/>
      <w:bCs/>
      <w:smallCaps/>
      <w:color w:val="0F4761" w:themeColor="accent1" w:themeShade="BF"/>
      <w:spacing w:val="5"/>
    </w:rPr>
  </w:style>
  <w:style w:type="paragraph" w:customStyle="1" w:styleId="font-claude-response-body">
    <w:name w:val="font-claude-response-body"/>
    <w:basedOn w:val="Normal"/>
    <w:rsid w:val="00271DD0"/>
    <w:pPr>
      <w:spacing w:before="100" w:beforeAutospacing="1" w:after="100" w:afterAutospacing="1" w:line="240" w:lineRule="auto"/>
    </w:pPr>
    <w:rPr>
      <w:rFonts w:ascii="Times New Roman" w:eastAsia="Times New Roman" w:hAnsi="Times New Roman" w:cs="Times New Roman"/>
      <w:kern w:val="0"/>
      <w:lang w:eastAsia="en-GB"/>
    </w:rPr>
  </w:style>
  <w:style w:type="paragraph" w:styleId="Header">
    <w:name w:val="header"/>
    <w:basedOn w:val="Normal"/>
    <w:link w:val="HeaderChar"/>
    <w:uiPriority w:val="99"/>
    <w:unhideWhenUsed/>
    <w:rsid w:val="00066D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6D6D"/>
  </w:style>
  <w:style w:type="paragraph" w:styleId="Footer">
    <w:name w:val="footer"/>
    <w:basedOn w:val="Normal"/>
    <w:link w:val="FooterChar"/>
    <w:uiPriority w:val="99"/>
    <w:unhideWhenUsed/>
    <w:rsid w:val="00066D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6D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808FAA90D927D4EB53049B9B5877484" ma:contentTypeVersion="19" ma:contentTypeDescription="Create a new document." ma:contentTypeScope="" ma:versionID="f5fbe3cb1f09c050ee9ba131f0dd9cb1">
  <xsd:schema xmlns:xsd="http://www.w3.org/2001/XMLSchema" xmlns:xs="http://www.w3.org/2001/XMLSchema" xmlns:p="http://schemas.microsoft.com/office/2006/metadata/properties" xmlns:ns2="4a6ca266-b180-456b-aa23-584c79d37aa4" xmlns:ns3="34c658c1-4d10-4626-a181-d9e9e4ff7e13" targetNamespace="http://schemas.microsoft.com/office/2006/metadata/properties" ma:root="true" ma:fieldsID="03c4a00f75e9b179627df980ada7f2c9" ns2:_="" ns3:_="">
    <xsd:import namespace="4a6ca266-b180-456b-aa23-584c79d37aa4"/>
    <xsd:import namespace="34c658c1-4d10-4626-a181-d9e9e4ff7e1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6ca266-b180-456b-aa23-584c79d37a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14a927-c290-47e7-a776-cd3e6c50e5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c658c1-4d10-4626-a181-d9e9e4ff7e1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6fd278f-497c-4dd4-a4cc-8dcf606962f0}" ma:internalName="TaxCatchAll" ma:showField="CatchAllData" ma:web="34c658c1-4d10-4626-a181-d9e9e4ff7e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4c658c1-4d10-4626-a181-d9e9e4ff7e13" xsi:nil="true"/>
    <lcf76f155ced4ddcb4097134ff3c332f xmlns="4a6ca266-b180-456b-aa23-584c79d37aa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DA0471-2071-4AB5-BC9D-4E91B50C7D6F}">
  <ds:schemaRefs>
    <ds:schemaRef ds:uri="http://schemas.microsoft.com/sharepoint/v3/contenttype/forms"/>
  </ds:schemaRefs>
</ds:datastoreItem>
</file>

<file path=customXml/itemProps2.xml><?xml version="1.0" encoding="utf-8"?>
<ds:datastoreItem xmlns:ds="http://schemas.openxmlformats.org/officeDocument/2006/customXml" ds:itemID="{614D7B8A-FC17-4978-8600-6A9107FD03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6ca266-b180-456b-aa23-584c79d37aa4"/>
    <ds:schemaRef ds:uri="34c658c1-4d10-4626-a181-d9e9e4ff7e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5A94AA-047F-49B8-AA13-57A65D0DF23A}">
  <ds:schemaRefs>
    <ds:schemaRef ds:uri="http://schemas.microsoft.com/office/2006/metadata/properties"/>
    <ds:schemaRef ds:uri="http://schemas.microsoft.com/office/infopath/2007/PartnerControls"/>
    <ds:schemaRef ds:uri="34c658c1-4d10-4626-a181-d9e9e4ff7e13"/>
    <ds:schemaRef ds:uri="4a6ca266-b180-456b-aa23-584c79d37aa4"/>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CPW0008</dc:title>
  <cp:revision>0</cp:revision>
</cp:coreProperties>
</file>