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6C65" w:rsidP="008A6C65">
      <w:pPr>
        <w:jc w:val="center"/>
        <w:rPr>
          <w:rFonts w:ascii="Calibri" w:hAnsi="Calibri" w:cs="Calibri"/>
          <w:b/>
          <w:bCs/>
          <w:sz w:val="24"/>
          <w:szCs w:val="24"/>
        </w:rPr>
      </w:pPr>
      <w:r>
        <w:rPr>
          <w:rFonts w:ascii="Calibri" w:hAnsi="Calibri" w:cs="Calibri"/>
          <w:b/>
          <w:bCs/>
          <w:sz w:val="24"/>
          <w:szCs w:val="24"/>
        </w:rPr>
        <w:t>Written evidence submitted by Resolve Poverty (CPW0006)</w:t>
      </w:r>
    </w:p>
    <w:p w:rsidR="008A6C65" w:rsidRPr="008A6C65">
      <w:pPr>
        <w:rPr>
          <w:rFonts w:ascii="Calibri" w:hAnsi="Calibri" w:cs="Calibri"/>
          <w:b/>
          <w:bCs/>
          <w:sz w:val="24"/>
          <w:szCs w:val="24"/>
        </w:rPr>
      </w:pPr>
    </w:p>
    <w:p w:rsidR="008A6C65" w:rsidRPr="008A6C65" w:rsidP="0046251C">
      <w:pPr>
        <w:spacing w:line="276" w:lineRule="auto"/>
        <w:rPr>
          <w:rFonts w:ascii="Calibri" w:eastAsia="Calibri" w:hAnsi="Calibri" w:cs="Calibri"/>
          <w:b/>
          <w:bCs/>
          <w:color w:val="000000"/>
          <w:sz w:val="24"/>
          <w:szCs w:val="24"/>
        </w:rPr>
      </w:pPr>
      <w:r w:rsidRPr="008A6C65">
        <w:rPr>
          <w:rFonts w:ascii="Calibri" w:eastAsia="Aptos" w:hAnsi="Calibri" w:cs="Calibri"/>
          <w:b/>
          <w:sz w:val="24"/>
          <w:szCs w:val="24"/>
        </w:rPr>
        <w:t xml:space="preserve">Introduction </w:t>
      </w:r>
    </w:p>
    <w:p w:rsidR="008A6C65" w:rsidRPr="008A6C65" w:rsidP="0046251C">
      <w:pPr>
        <w:spacing w:line="276" w:lineRule="auto"/>
        <w:rPr>
          <w:rFonts w:ascii="Calibri" w:eastAsia="Aptos" w:hAnsi="Calibri" w:cs="Calibri"/>
          <w:color w:val="000000"/>
          <w:sz w:val="24"/>
          <w:szCs w:val="24"/>
        </w:rPr>
      </w:pPr>
      <w:r w:rsidRPr="008A6C65">
        <w:rPr>
          <w:rFonts w:ascii="Calibri" w:eastAsia="Aptos" w:hAnsi="Calibri" w:cs="Calibri"/>
          <w:color w:val="000000"/>
          <w:sz w:val="24"/>
          <w:szCs w:val="24"/>
          <w:lang w:val="en-US"/>
        </w:rPr>
        <w:t xml:space="preserve">Resolve Poverty is a </w:t>
      </w:r>
      <w:r w:rsidRPr="008A6C65">
        <w:rPr>
          <w:rFonts w:ascii="Calibri" w:eastAsia="Aptos" w:hAnsi="Calibri" w:cs="Calibri"/>
          <w:color w:val="000000"/>
          <w:sz w:val="24"/>
          <w:szCs w:val="24"/>
          <w:lang w:val="en-US"/>
        </w:rPr>
        <w:t xml:space="preserve">UK-wide </w:t>
      </w:r>
      <w:r w:rsidRPr="008A6C65">
        <w:rPr>
          <w:rFonts w:ascii="Calibri" w:eastAsia="Aptos" w:hAnsi="Calibri" w:cs="Calibri"/>
          <w:color w:val="000000"/>
          <w:sz w:val="24"/>
          <w:szCs w:val="24"/>
          <w:lang w:val="en-US"/>
        </w:rPr>
        <w:t xml:space="preserve">not-for-profit </w:t>
      </w:r>
      <w:r w:rsidRPr="008A6C65">
        <w:rPr>
          <w:rFonts w:ascii="Calibri" w:eastAsia="Aptos" w:hAnsi="Calibri" w:cs="Calibri"/>
          <w:color w:val="000000"/>
          <w:sz w:val="24"/>
          <w:szCs w:val="24"/>
          <w:lang w:val="en-US"/>
        </w:rPr>
        <w:t>organisation</w:t>
      </w:r>
      <w:r w:rsidRPr="008A6C65">
        <w:rPr>
          <w:rFonts w:ascii="Calibri" w:eastAsia="Aptos" w:hAnsi="Calibri" w:cs="Calibri"/>
          <w:color w:val="000000"/>
          <w:sz w:val="24"/>
          <w:szCs w:val="24"/>
          <w:lang w:val="en-US"/>
        </w:rPr>
        <w:t xml:space="preserve"> that delivers locally and regionally focused anti-poverty activities</w:t>
      </w:r>
      <w:r w:rsidRPr="008A6C65">
        <w:rPr>
          <w:rFonts w:ascii="Calibri" w:eastAsia="Aptos" w:hAnsi="Calibri" w:cs="Calibri"/>
          <w:color w:val="000000"/>
          <w:sz w:val="24"/>
          <w:szCs w:val="24"/>
          <w:lang w:val="en-US"/>
        </w:rPr>
        <w:t>.</w:t>
      </w:r>
      <w:r w:rsidRPr="008A6C65">
        <w:rPr>
          <w:rFonts w:ascii="Calibri" w:eastAsia="Aptos" w:hAnsi="Calibri" w:cs="Calibri"/>
          <w:color w:val="000000"/>
          <w:sz w:val="24"/>
          <w:szCs w:val="24"/>
          <w:lang w:val="en-US"/>
        </w:rPr>
        <w:t xml:space="preserve"> </w:t>
      </w:r>
    </w:p>
    <w:p w:rsidR="008A6C65" w:rsidRPr="008A6C65" w:rsidP="0046251C">
      <w:pPr>
        <w:spacing w:line="276" w:lineRule="auto"/>
        <w:rPr>
          <w:rFonts w:ascii="Calibri" w:eastAsia="Aptos" w:hAnsi="Calibri" w:cs="Calibri"/>
          <w:color w:val="000000"/>
          <w:sz w:val="24"/>
          <w:szCs w:val="24"/>
        </w:rPr>
      </w:pPr>
      <w:r w:rsidRPr="008A6C65">
        <w:rPr>
          <w:rFonts w:ascii="Calibri" w:eastAsia="Aptos" w:hAnsi="Calibri" w:cs="Calibri"/>
          <w:color w:val="000000"/>
          <w:sz w:val="24"/>
          <w:szCs w:val="24"/>
        </w:rPr>
        <w:t xml:space="preserve">We know that poverty is a blight on the UK, damaging lives and holding individuals back from realising their potential. Therefore, we believe eradicating poverty should be a national mission. </w:t>
      </w:r>
    </w:p>
    <w:p w:rsidR="008A6C65" w:rsidRPr="008A6C65" w:rsidP="0046251C">
      <w:pPr>
        <w:spacing w:line="276" w:lineRule="auto"/>
        <w:rPr>
          <w:rFonts w:ascii="Calibri" w:eastAsia="Aptos" w:hAnsi="Calibri" w:cs="Calibri"/>
          <w:color w:val="000000"/>
          <w:sz w:val="24"/>
          <w:szCs w:val="24"/>
        </w:rPr>
      </w:pPr>
      <w:r w:rsidRPr="008A6C65">
        <w:rPr>
          <w:rFonts w:ascii="Calibri" w:eastAsia="Aptos" w:hAnsi="Calibri" w:cs="Calibri"/>
          <w:color w:val="000000"/>
          <w:sz w:val="24"/>
          <w:szCs w:val="24"/>
        </w:rPr>
        <w:t>Resolve Poverty has a proven track record of working with many local authorities in England, with a specific historic focus on working with all ten Greater Manchester local authorities on broad anti-poverty efforts. Elected members, officers, and senior leaders from local and regional government across the country utilise our knowledge and resources to inform their organisation’s anti-poverty activity, and we are proud to have supported the development of several local anti-poverty strategies in English cou</w:t>
      </w:r>
      <w:r w:rsidRPr="008A6C65">
        <w:rPr>
          <w:rFonts w:ascii="Calibri" w:eastAsia="Aptos" w:hAnsi="Calibri" w:cs="Calibri"/>
          <w:color w:val="000000"/>
          <w:sz w:val="24"/>
          <w:szCs w:val="24"/>
        </w:rPr>
        <w:t>ncils.</w:t>
      </w:r>
    </w:p>
    <w:p w:rsidR="008A6C65" w:rsidRPr="008A6C65" w:rsidP="0046251C">
      <w:pPr>
        <w:spacing w:line="276" w:lineRule="auto"/>
        <w:rPr>
          <w:rFonts w:ascii="Calibri" w:eastAsia="Aptos" w:hAnsi="Calibri" w:cs="Calibri"/>
          <w:color w:val="000000"/>
          <w:sz w:val="24"/>
          <w:szCs w:val="24"/>
        </w:rPr>
      </w:pPr>
      <w:r w:rsidRPr="008A6C65">
        <w:rPr>
          <w:rFonts w:ascii="Calibri" w:eastAsia="Aptos" w:hAnsi="Calibri" w:cs="Calibri"/>
          <w:color w:val="000000" w:themeColor="text1"/>
          <w:sz w:val="24"/>
          <w:szCs w:val="24"/>
        </w:rPr>
        <w:t xml:space="preserve">In 2023, we published a major report, </w:t>
      </w:r>
      <w:r w:rsidRPr="008A6C65">
        <w:rPr>
          <w:rFonts w:ascii="Calibri" w:eastAsia="Aptos" w:hAnsi="Calibri" w:cs="Calibri"/>
          <w:i/>
          <w:iCs/>
          <w:sz w:val="24"/>
          <w:szCs w:val="24"/>
        </w:rPr>
        <w:t>Local Anti-Poverty Strategies, Good Practice and Effective Approaches</w:t>
      </w:r>
      <w:r w:rsidRPr="008A6C65">
        <w:rPr>
          <w:rFonts w:ascii="Calibri" w:eastAsia="Aptos" w:hAnsi="Calibri" w:cs="Calibri"/>
          <w:color w:val="000000" w:themeColor="text1"/>
          <w:sz w:val="24"/>
          <w:szCs w:val="24"/>
        </w:rPr>
        <w:t xml:space="preserve">, which outlined the steps local and regional government should take to implement an effective local anti-poverty strategy </w:t>
      </w:r>
      <w:r w:rsidRPr="008A6C65">
        <w:rPr>
          <w:rFonts w:ascii="Calibri" w:eastAsia="Aptos" w:hAnsi="Calibri" w:cs="Calibri"/>
          <w:sz w:val="24"/>
          <w:szCs w:val="24"/>
        </w:rPr>
        <w:t xml:space="preserve">(Whitham, Rimmer, and Lopez, 2023). </w:t>
      </w:r>
      <w:r w:rsidRPr="008A6C65">
        <w:rPr>
          <w:rFonts w:ascii="Calibri" w:eastAsia="Aptos" w:hAnsi="Calibri" w:cs="Calibri"/>
          <w:color w:val="000000" w:themeColor="text1"/>
          <w:sz w:val="24"/>
          <w:szCs w:val="24"/>
        </w:rPr>
        <w:t xml:space="preserve">Since then, we have worked with local authorities across England to highlight the importance of a strategic approach to tackling poverty. We have influenced multiple councils to implement their own anti-poverty strategies, including Bolton, Bury, Manchester, Oxford, Rochdale, </w:t>
      </w:r>
      <w:r w:rsidRPr="008A6C65">
        <w:rPr>
          <w:rFonts w:ascii="Calibri" w:eastAsia="Aptos" w:hAnsi="Calibri" w:cs="Calibri"/>
          <w:color w:val="000000" w:themeColor="text1"/>
          <w:sz w:val="24"/>
          <w:szCs w:val="24"/>
        </w:rPr>
        <w:t>Rossend</w:t>
      </w:r>
      <w:r w:rsidRPr="008A6C65">
        <w:rPr>
          <w:rFonts w:ascii="Calibri" w:eastAsia="Aptos" w:hAnsi="Calibri" w:cs="Calibri"/>
          <w:color w:val="000000" w:themeColor="text1"/>
          <w:sz w:val="24"/>
          <w:szCs w:val="24"/>
        </w:rPr>
        <w:t xml:space="preserve">ale, </w:t>
      </w:r>
      <w:r w:rsidRPr="008A6C65">
        <w:rPr>
          <w:rFonts w:ascii="Calibri" w:eastAsia="Aptos" w:hAnsi="Calibri" w:cs="Calibri"/>
          <w:color w:val="000000" w:themeColor="text1"/>
          <w:sz w:val="24"/>
          <w:szCs w:val="24"/>
        </w:rPr>
        <w:t>Rother, Salford, Sefton, Stockton</w:t>
      </w:r>
      <w:r w:rsidRPr="008A6C65">
        <w:rPr>
          <w:rFonts w:ascii="Calibri" w:eastAsia="Aptos" w:hAnsi="Calibri" w:cs="Calibri"/>
          <w:color w:val="000000" w:themeColor="text1"/>
          <w:sz w:val="24"/>
          <w:szCs w:val="24"/>
        </w:rPr>
        <w:t>, Sunderland</w:t>
      </w:r>
      <w:r w:rsidRPr="008A6C65">
        <w:rPr>
          <w:rFonts w:ascii="Calibri" w:eastAsia="Aptos" w:hAnsi="Calibri" w:cs="Calibri"/>
          <w:color w:val="000000" w:themeColor="text1"/>
          <w:sz w:val="24"/>
          <w:szCs w:val="24"/>
        </w:rPr>
        <w:t xml:space="preserve"> and Wokingham. We have also developed strategic partnerships with councils and other public institutions to support long-term anti-poverty work and delivered training to staff. By supporting localities in creating the architecture they need for joined-up action on poverty, we help create spaces for a stronger focus on policy responses to the issue. This includes actively engaging in the design and delivery of local welfare provision, supporting engagement with voices of people with lived experience of pove</w:t>
      </w:r>
      <w:r w:rsidRPr="008A6C65">
        <w:rPr>
          <w:rFonts w:ascii="Calibri" w:eastAsia="Aptos" w:hAnsi="Calibri" w:cs="Calibri"/>
          <w:color w:val="000000" w:themeColor="text1"/>
          <w:sz w:val="24"/>
          <w:szCs w:val="24"/>
        </w:rPr>
        <w:t>rty and promoting widespread adoption of the Living Wage by employers across sectors.</w:t>
      </w:r>
    </w:p>
    <w:p w:rsidR="008A6C65" w:rsidRPr="008A6C65">
      <w:pPr>
        <w:rPr>
          <w:rFonts w:ascii="Calibri" w:hAnsi="Calibri" w:cs="Calibri"/>
          <w:b/>
          <w:bCs/>
          <w:sz w:val="24"/>
          <w:szCs w:val="24"/>
        </w:rPr>
      </w:pPr>
    </w:p>
    <w:p w:rsidR="008A6C65" w:rsidRPr="008A6C65">
      <w:pPr>
        <w:rPr>
          <w:rFonts w:ascii="Calibri" w:hAnsi="Calibri" w:cs="Calibri"/>
          <w:b/>
          <w:bCs/>
          <w:sz w:val="24"/>
          <w:szCs w:val="24"/>
        </w:rPr>
      </w:pPr>
      <w:r w:rsidRPr="008A6C65">
        <w:rPr>
          <w:rFonts w:ascii="Calibri" w:hAnsi="Calibri" w:cs="Calibri"/>
          <w:b/>
          <w:bCs/>
          <w:sz w:val="24"/>
          <w:szCs w:val="24"/>
        </w:rPr>
        <w:t xml:space="preserve">Question 1 – What are the foremost barriers that could prevent Wales from realising the ambitions set out in the UK Government’s 2025 Child Poverty Strategy? </w:t>
      </w:r>
    </w:p>
    <w:p w:rsidR="008A6C65" w:rsidRPr="008A6C65">
      <w:pPr>
        <w:rPr>
          <w:rFonts w:ascii="Calibri" w:hAnsi="Calibri" w:cs="Calibri"/>
          <w:sz w:val="24"/>
          <w:szCs w:val="24"/>
        </w:rPr>
      </w:pPr>
      <w:r w:rsidRPr="008A6C65">
        <w:rPr>
          <w:rFonts w:ascii="Calibri" w:hAnsi="Calibri" w:cs="Calibri"/>
          <w:sz w:val="24"/>
          <w:szCs w:val="24"/>
        </w:rPr>
        <w:t>The most significant barriers to Wales realising the ambitions set out in the UK Government’s 2025 Child Poverty Strategy are structural and systemic</w:t>
      </w:r>
      <w:r w:rsidRPr="008A6C65">
        <w:rPr>
          <w:rFonts w:ascii="Calibri" w:hAnsi="Calibri" w:cs="Calibri"/>
          <w:sz w:val="24"/>
          <w:szCs w:val="24"/>
        </w:rPr>
        <w:t>.</w:t>
      </w:r>
    </w:p>
    <w:p w:rsidR="008A6C65" w:rsidRPr="008A6C65">
      <w:pPr>
        <w:rPr>
          <w:rFonts w:ascii="Calibri" w:hAnsi="Calibri" w:cs="Calibri"/>
          <w:sz w:val="24"/>
          <w:szCs w:val="24"/>
        </w:rPr>
      </w:pPr>
      <w:r w:rsidRPr="008A6C65">
        <w:rPr>
          <w:rFonts w:ascii="Calibri" w:hAnsi="Calibri" w:cs="Calibri"/>
          <w:sz w:val="24"/>
          <w:szCs w:val="24"/>
        </w:rPr>
        <w:t>Child poverty, and poverty more generally, is fundamentally driven by insufficient household income</w:t>
      </w:r>
      <w:r w:rsidRPr="008A6C65">
        <w:rPr>
          <w:rFonts w:ascii="Calibri" w:hAnsi="Calibri" w:cs="Calibri"/>
          <w:sz w:val="24"/>
          <w:szCs w:val="24"/>
        </w:rPr>
        <w:t xml:space="preserve">. </w:t>
      </w:r>
      <w:r w:rsidRPr="008A6C65">
        <w:rPr>
          <w:rFonts w:ascii="Calibri" w:hAnsi="Calibri" w:cs="Calibri"/>
          <w:sz w:val="24"/>
          <w:szCs w:val="24"/>
        </w:rPr>
        <w:t xml:space="preserve">Increasing incomes should focus on </w:t>
      </w:r>
      <w:r w:rsidRPr="008A6C65">
        <w:rPr>
          <w:rFonts w:ascii="Calibri" w:hAnsi="Calibri" w:cs="Calibri"/>
          <w:sz w:val="24"/>
          <w:szCs w:val="24"/>
        </w:rPr>
        <w:t xml:space="preserve">raising earnings from employment </w:t>
      </w:r>
      <w:r w:rsidRPr="008A6C65">
        <w:rPr>
          <w:rFonts w:ascii="Calibri" w:hAnsi="Calibri" w:cs="Calibri"/>
          <w:sz w:val="24"/>
          <w:szCs w:val="24"/>
        </w:rPr>
        <w:t>and enhancing social security</w:t>
      </w:r>
      <w:r w:rsidRPr="008A6C65">
        <w:rPr>
          <w:rFonts w:ascii="Calibri" w:hAnsi="Calibri" w:cs="Calibri"/>
          <w:sz w:val="24"/>
          <w:szCs w:val="24"/>
        </w:rPr>
        <w:t xml:space="preserve"> support for families whether </w:t>
      </w:r>
      <w:r w:rsidRPr="008A6C65">
        <w:rPr>
          <w:rFonts w:ascii="Calibri" w:hAnsi="Calibri" w:cs="Calibri"/>
          <w:sz w:val="24"/>
          <w:szCs w:val="24"/>
        </w:rPr>
        <w:t>in work, unable to work</w:t>
      </w:r>
      <w:r w:rsidRPr="008A6C65">
        <w:rPr>
          <w:rFonts w:ascii="Calibri" w:hAnsi="Calibri" w:cs="Calibri"/>
          <w:sz w:val="24"/>
          <w:szCs w:val="24"/>
        </w:rPr>
        <w:t xml:space="preserve"> or seeking work.</w:t>
      </w:r>
      <w:r w:rsidRPr="008A6C65">
        <w:rPr>
          <w:rFonts w:ascii="Calibri" w:hAnsi="Calibri" w:cs="Calibri"/>
          <w:sz w:val="24"/>
          <w:szCs w:val="24"/>
        </w:rPr>
        <w:t xml:space="preserve"> With over two-thirds (68%) </w:t>
      </w:r>
      <w:r w:rsidRPr="008A6C65">
        <w:rPr>
          <w:rFonts w:ascii="Calibri" w:hAnsi="Calibri" w:cs="Calibri"/>
          <w:sz w:val="24"/>
          <w:szCs w:val="24"/>
        </w:rPr>
        <w:t xml:space="preserve">of working-age adults </w:t>
      </w:r>
      <w:r w:rsidRPr="008A6C65">
        <w:rPr>
          <w:rFonts w:ascii="Calibri" w:hAnsi="Calibri" w:cs="Calibri"/>
          <w:sz w:val="24"/>
          <w:szCs w:val="24"/>
        </w:rPr>
        <w:t xml:space="preserve">in poverty living </w:t>
      </w:r>
      <w:r w:rsidRPr="008A6C65">
        <w:rPr>
          <w:rFonts w:ascii="Calibri" w:hAnsi="Calibri" w:cs="Calibri"/>
          <w:sz w:val="24"/>
          <w:szCs w:val="24"/>
        </w:rPr>
        <w:t xml:space="preserve">in a household </w:t>
      </w:r>
      <w:r w:rsidRPr="008A6C65">
        <w:rPr>
          <w:rFonts w:ascii="Calibri" w:hAnsi="Calibri" w:cs="Calibri"/>
          <w:sz w:val="24"/>
          <w:szCs w:val="24"/>
        </w:rPr>
        <w:t xml:space="preserve">where </w:t>
      </w:r>
      <w:r w:rsidRPr="008A6C65">
        <w:rPr>
          <w:rFonts w:ascii="Calibri" w:hAnsi="Calibri" w:cs="Calibri"/>
          <w:sz w:val="24"/>
          <w:szCs w:val="24"/>
        </w:rPr>
        <w:t>at least one person works (Joseph Rowntree Foundation</w:t>
      </w:r>
      <w:r w:rsidRPr="008A6C65">
        <w:rPr>
          <w:rFonts w:ascii="Calibri" w:hAnsi="Calibri" w:cs="Calibri"/>
          <w:sz w:val="24"/>
          <w:szCs w:val="24"/>
        </w:rPr>
        <w:t>, JRF</w:t>
      </w:r>
      <w:r w:rsidRPr="008A6C65">
        <w:rPr>
          <w:rFonts w:ascii="Calibri" w:hAnsi="Calibri" w:cs="Calibri"/>
          <w:sz w:val="24"/>
          <w:szCs w:val="24"/>
        </w:rPr>
        <w:t>, 2026)</w:t>
      </w:r>
      <w:r w:rsidRPr="008A6C65">
        <w:rPr>
          <w:rFonts w:ascii="Calibri" w:hAnsi="Calibri" w:cs="Calibri"/>
          <w:sz w:val="24"/>
          <w:szCs w:val="24"/>
        </w:rPr>
        <w:t xml:space="preserve">, </w:t>
      </w:r>
      <w:r w:rsidRPr="008A6C65">
        <w:rPr>
          <w:rFonts w:ascii="Calibri" w:hAnsi="Calibri" w:cs="Calibri"/>
          <w:sz w:val="24"/>
          <w:szCs w:val="24"/>
        </w:rPr>
        <w:t>it is clear that wages</w:t>
      </w:r>
      <w:r w:rsidRPr="008A6C65">
        <w:rPr>
          <w:rFonts w:ascii="Calibri" w:hAnsi="Calibri" w:cs="Calibri"/>
          <w:sz w:val="24"/>
          <w:szCs w:val="24"/>
        </w:rPr>
        <w:t xml:space="preserve"> alone are not sufficient </w:t>
      </w:r>
      <w:r w:rsidRPr="008A6C65">
        <w:rPr>
          <w:rFonts w:ascii="Calibri" w:hAnsi="Calibri" w:cs="Calibri"/>
          <w:sz w:val="24"/>
          <w:szCs w:val="24"/>
        </w:rPr>
        <w:t xml:space="preserve">to lift families out </w:t>
      </w:r>
      <w:r w:rsidRPr="008A6C65">
        <w:rPr>
          <w:rFonts w:ascii="Calibri" w:hAnsi="Calibri" w:cs="Calibri"/>
          <w:sz w:val="24"/>
          <w:szCs w:val="24"/>
        </w:rPr>
        <w:t xml:space="preserve">of poverty. </w:t>
      </w:r>
      <w:r w:rsidRPr="008A6C65">
        <w:rPr>
          <w:rFonts w:ascii="Calibri" w:hAnsi="Calibri" w:cs="Calibri"/>
          <w:sz w:val="24"/>
          <w:szCs w:val="24"/>
        </w:rPr>
        <w:t xml:space="preserve">To maximise household incomes, </w:t>
      </w:r>
      <w:r w:rsidRPr="008A6C65">
        <w:rPr>
          <w:rFonts w:ascii="Calibri" w:hAnsi="Calibri" w:cs="Calibri"/>
          <w:sz w:val="24"/>
          <w:szCs w:val="24"/>
        </w:rPr>
        <w:t xml:space="preserve">the Welsh and UK government must work together to </w:t>
      </w:r>
      <w:r w:rsidRPr="008A6C65">
        <w:rPr>
          <w:rFonts w:ascii="Calibri" w:hAnsi="Calibri" w:cs="Calibri"/>
          <w:sz w:val="24"/>
          <w:szCs w:val="24"/>
        </w:rPr>
        <w:t>increase incomes (through</w:t>
      </w:r>
      <w:r w:rsidRPr="008A6C65">
        <w:rPr>
          <w:rFonts w:ascii="Calibri" w:hAnsi="Calibri" w:cs="Calibri"/>
          <w:sz w:val="24"/>
          <w:szCs w:val="24"/>
        </w:rPr>
        <w:t xml:space="preserve"> wages and social security) </w:t>
      </w:r>
      <w:r w:rsidRPr="008A6C65">
        <w:rPr>
          <w:rFonts w:ascii="Calibri" w:hAnsi="Calibri" w:cs="Calibri"/>
          <w:sz w:val="24"/>
          <w:szCs w:val="24"/>
        </w:rPr>
        <w:t xml:space="preserve">and reduce essential costs for families. </w:t>
      </w:r>
    </w:p>
    <w:p w:rsidR="008A6C65" w:rsidRPr="008A6C65">
      <w:pPr>
        <w:rPr>
          <w:rFonts w:ascii="Calibri" w:hAnsi="Calibri" w:cs="Calibri"/>
          <w:b/>
          <w:bCs/>
          <w:sz w:val="24"/>
          <w:szCs w:val="24"/>
        </w:rPr>
      </w:pPr>
      <w:r w:rsidRPr="008A6C65">
        <w:rPr>
          <w:rFonts w:ascii="Calibri" w:hAnsi="Calibri" w:cs="Calibri"/>
          <w:b/>
          <w:bCs/>
          <w:sz w:val="24"/>
          <w:szCs w:val="24"/>
        </w:rPr>
        <w:t>Inadequate, reserved social security system</w:t>
      </w:r>
    </w:p>
    <w:p w:rsidR="008A6C65" w:rsidRPr="008A6C65">
      <w:pPr>
        <w:rPr>
          <w:rFonts w:ascii="Calibri" w:hAnsi="Calibri" w:cs="Calibri"/>
          <w:sz w:val="24"/>
          <w:szCs w:val="24"/>
        </w:rPr>
      </w:pPr>
      <w:r w:rsidRPr="008A6C65">
        <w:rPr>
          <w:rFonts w:ascii="Calibri" w:hAnsi="Calibri" w:cs="Calibri"/>
          <w:sz w:val="24"/>
          <w:szCs w:val="24"/>
        </w:rPr>
        <w:t>In order to</w:t>
      </w:r>
      <w:r w:rsidRPr="008A6C65">
        <w:rPr>
          <w:rFonts w:ascii="Calibri" w:hAnsi="Calibri" w:cs="Calibri"/>
          <w:sz w:val="24"/>
          <w:szCs w:val="24"/>
        </w:rPr>
        <w:t xml:space="preserve"> maximise household incomes, </w:t>
      </w:r>
      <w:r w:rsidRPr="008A6C65">
        <w:rPr>
          <w:rFonts w:ascii="Calibri" w:hAnsi="Calibri" w:cs="Calibri"/>
          <w:sz w:val="24"/>
          <w:szCs w:val="24"/>
        </w:rPr>
        <w:t xml:space="preserve">there must be urgent reform to the UK-wide social security system. </w:t>
      </w:r>
      <w:r w:rsidRPr="008A6C65">
        <w:rPr>
          <w:rFonts w:ascii="Calibri" w:hAnsi="Calibri" w:cs="Calibri"/>
          <w:sz w:val="24"/>
          <w:szCs w:val="24"/>
        </w:rPr>
        <w:t xml:space="preserve">At present, </w:t>
      </w:r>
      <w:r w:rsidRPr="008A6C65">
        <w:rPr>
          <w:rFonts w:ascii="Calibri" w:hAnsi="Calibri" w:cs="Calibri"/>
          <w:sz w:val="24"/>
          <w:szCs w:val="24"/>
        </w:rPr>
        <w:t xml:space="preserve">social security is a power reserved by the </w:t>
      </w:r>
      <w:r w:rsidRPr="008A6C65">
        <w:rPr>
          <w:rFonts w:ascii="Calibri" w:hAnsi="Calibri" w:cs="Calibri"/>
          <w:sz w:val="24"/>
          <w:szCs w:val="24"/>
        </w:rPr>
        <w:t>UK government, meaning the Department for Work and Pensions</w:t>
      </w:r>
      <w:r w:rsidRPr="008A6C65">
        <w:rPr>
          <w:rFonts w:ascii="Calibri" w:hAnsi="Calibri" w:cs="Calibri"/>
          <w:sz w:val="24"/>
          <w:szCs w:val="24"/>
        </w:rPr>
        <w:t xml:space="preserve"> (DWP)</w:t>
      </w:r>
      <w:r w:rsidRPr="008A6C65">
        <w:rPr>
          <w:rFonts w:ascii="Calibri" w:hAnsi="Calibri" w:cs="Calibri"/>
          <w:sz w:val="24"/>
          <w:szCs w:val="24"/>
        </w:rPr>
        <w:t xml:space="preserve"> retains responsibility for </w:t>
      </w:r>
      <w:r w:rsidRPr="008A6C65">
        <w:rPr>
          <w:rFonts w:ascii="Calibri" w:hAnsi="Calibri" w:cs="Calibri"/>
          <w:sz w:val="24"/>
          <w:szCs w:val="24"/>
        </w:rPr>
        <w:t>the majority of</w:t>
      </w:r>
      <w:r w:rsidRPr="008A6C65">
        <w:rPr>
          <w:rFonts w:ascii="Calibri" w:hAnsi="Calibri" w:cs="Calibri"/>
          <w:sz w:val="24"/>
          <w:szCs w:val="24"/>
        </w:rPr>
        <w:t xml:space="preserve"> benefits such as Universal Credit</w:t>
      </w:r>
      <w:r w:rsidRPr="008A6C65">
        <w:rPr>
          <w:rFonts w:ascii="Calibri" w:hAnsi="Calibri" w:cs="Calibri"/>
          <w:sz w:val="24"/>
          <w:szCs w:val="24"/>
        </w:rPr>
        <w:t>. Wales remains reliant on the</w:t>
      </w:r>
      <w:r w:rsidRPr="008A6C65">
        <w:rPr>
          <w:rFonts w:ascii="Calibri" w:hAnsi="Calibri" w:cs="Calibri"/>
          <w:sz w:val="24"/>
          <w:szCs w:val="24"/>
        </w:rPr>
        <w:t xml:space="preserve"> DWP for most welfare payments, and notwithstanding current, ongoing considerations to the merits of further devolution of social security responsibility to the Welsh government, reforms are needed to the current syste</w:t>
      </w:r>
      <w:r w:rsidRPr="008A6C65">
        <w:rPr>
          <w:rFonts w:ascii="Calibri" w:hAnsi="Calibri" w:cs="Calibri"/>
          <w:sz w:val="24"/>
          <w:szCs w:val="24"/>
        </w:rPr>
        <w:t>m</w:t>
      </w:r>
      <w:r w:rsidRPr="008A6C65">
        <w:rPr>
          <w:rFonts w:ascii="Calibri" w:hAnsi="Calibri" w:cs="Calibri"/>
          <w:sz w:val="24"/>
          <w:szCs w:val="24"/>
        </w:rPr>
        <w:t xml:space="preserve"> to </w:t>
      </w:r>
      <w:r w:rsidRPr="008A6C65">
        <w:rPr>
          <w:rFonts w:ascii="Calibri" w:hAnsi="Calibri" w:cs="Calibri"/>
          <w:sz w:val="24"/>
          <w:szCs w:val="24"/>
        </w:rPr>
        <w:t>prevent</w:t>
      </w:r>
      <w:r w:rsidRPr="008A6C65">
        <w:rPr>
          <w:rFonts w:ascii="Calibri" w:hAnsi="Calibri" w:cs="Calibri"/>
          <w:sz w:val="24"/>
          <w:szCs w:val="24"/>
        </w:rPr>
        <w:t xml:space="preserve"> </w:t>
      </w:r>
      <w:r w:rsidRPr="008A6C65">
        <w:rPr>
          <w:rFonts w:ascii="Calibri" w:hAnsi="Calibri" w:cs="Calibri"/>
          <w:sz w:val="24"/>
          <w:szCs w:val="24"/>
        </w:rPr>
        <w:t>barriers to realising the ambitions of the national Child Poverty Strategy. These include:</w:t>
      </w:r>
    </w:p>
    <w:p w:rsidR="008A6C65" w:rsidRPr="008A6C65" w:rsidP="00551CA5">
      <w:pPr>
        <w:pStyle w:val="ListParagraph"/>
        <w:numPr>
          <w:ilvl w:val="0"/>
          <w:numId w:val="15"/>
        </w:numPr>
        <w:rPr>
          <w:rFonts w:ascii="Calibri" w:hAnsi="Calibri" w:cs="Calibri"/>
          <w:sz w:val="24"/>
          <w:szCs w:val="24"/>
        </w:rPr>
      </w:pPr>
      <w:r w:rsidRPr="008A6C65">
        <w:rPr>
          <w:rFonts w:ascii="Calibri" w:hAnsi="Calibri" w:cs="Calibri"/>
          <w:sz w:val="24"/>
          <w:szCs w:val="24"/>
        </w:rPr>
        <w:t xml:space="preserve">Scrapping of the benefit cap – The removal of the two-child limit to benefits from April 2026 was a welcome and crucial measure in </w:t>
      </w:r>
      <w:r w:rsidRPr="008A6C65">
        <w:rPr>
          <w:rFonts w:ascii="Calibri" w:hAnsi="Calibri" w:cs="Calibri"/>
          <w:sz w:val="24"/>
          <w:szCs w:val="24"/>
        </w:rPr>
        <w:t xml:space="preserve">reducing the numbers of children experiencing poverty, but </w:t>
      </w:r>
      <w:r w:rsidRPr="008A6C65">
        <w:rPr>
          <w:rFonts w:ascii="Calibri" w:hAnsi="Calibri" w:cs="Calibri"/>
          <w:sz w:val="24"/>
          <w:szCs w:val="24"/>
        </w:rPr>
        <w:t xml:space="preserve">a significant proportion of the families formerly affected by the two-child limit are also benefit-capped, meaning many will </w:t>
      </w:r>
      <w:r w:rsidRPr="008A6C65">
        <w:rPr>
          <w:rFonts w:ascii="Calibri" w:hAnsi="Calibri" w:cs="Calibri"/>
          <w:sz w:val="24"/>
          <w:szCs w:val="24"/>
        </w:rPr>
        <w:t xml:space="preserve">not feel the full impact of the removal of the two-child limit. </w:t>
      </w:r>
    </w:p>
    <w:p w:rsidR="008A6C65" w:rsidRPr="008A6C65" w:rsidP="00551CA5">
      <w:pPr>
        <w:pStyle w:val="ListParagraph"/>
        <w:numPr>
          <w:ilvl w:val="0"/>
          <w:numId w:val="15"/>
        </w:numPr>
        <w:rPr>
          <w:rFonts w:ascii="Calibri" w:hAnsi="Calibri" w:cs="Calibri"/>
          <w:sz w:val="24"/>
          <w:szCs w:val="24"/>
        </w:rPr>
      </w:pPr>
      <w:r w:rsidRPr="008A6C65">
        <w:rPr>
          <w:rFonts w:ascii="Calibri" w:hAnsi="Calibri" w:cs="Calibri"/>
          <w:sz w:val="24"/>
          <w:szCs w:val="24"/>
        </w:rPr>
        <w:t xml:space="preserve">Introduction of an ‘essentials guarantee’ </w:t>
      </w:r>
      <w:r w:rsidRPr="008A6C65">
        <w:rPr>
          <w:rFonts w:ascii="Calibri" w:hAnsi="Calibri" w:cs="Calibri"/>
          <w:sz w:val="24"/>
          <w:szCs w:val="24"/>
        </w:rPr>
        <w:t>–</w:t>
      </w:r>
      <w:r w:rsidRPr="008A6C65">
        <w:rPr>
          <w:rFonts w:ascii="Calibri" w:hAnsi="Calibri" w:cs="Calibri"/>
          <w:sz w:val="24"/>
          <w:szCs w:val="24"/>
        </w:rPr>
        <w:t xml:space="preserve"> </w:t>
      </w:r>
      <w:r w:rsidRPr="008A6C65">
        <w:rPr>
          <w:rFonts w:ascii="Calibri" w:hAnsi="Calibri" w:cs="Calibri"/>
          <w:sz w:val="24"/>
          <w:szCs w:val="24"/>
        </w:rPr>
        <w:t xml:space="preserve">As part of wider reforms to the social security system, </w:t>
      </w:r>
      <w:r w:rsidRPr="008A6C65">
        <w:rPr>
          <w:rFonts w:ascii="Calibri" w:hAnsi="Calibri" w:cs="Calibri"/>
          <w:sz w:val="24"/>
          <w:szCs w:val="24"/>
        </w:rPr>
        <w:t>the DWP must introduce an ‘Essentials Guarantee’ (</w:t>
      </w:r>
      <w:r w:rsidRPr="008A6C65">
        <w:rPr>
          <w:rFonts w:ascii="Calibri" w:hAnsi="Calibri" w:cs="Calibri"/>
          <w:sz w:val="24"/>
          <w:szCs w:val="24"/>
        </w:rPr>
        <w:t>JRF, 2026)</w:t>
      </w:r>
      <w:r w:rsidRPr="008A6C65">
        <w:rPr>
          <w:rFonts w:ascii="Calibri" w:hAnsi="Calibri" w:cs="Calibri"/>
          <w:sz w:val="24"/>
          <w:szCs w:val="24"/>
        </w:rPr>
        <w:t xml:space="preserve"> that ensures the standard </w:t>
      </w:r>
      <w:r w:rsidRPr="008A6C65">
        <w:rPr>
          <w:rFonts w:ascii="Calibri" w:hAnsi="Calibri" w:cs="Calibri"/>
          <w:sz w:val="24"/>
          <w:szCs w:val="24"/>
        </w:rPr>
        <w:t xml:space="preserve">allowance of Universal Credit </w:t>
      </w:r>
      <w:r w:rsidRPr="008A6C65">
        <w:rPr>
          <w:rFonts w:ascii="Calibri" w:hAnsi="Calibri" w:cs="Calibri"/>
          <w:sz w:val="24"/>
          <w:szCs w:val="24"/>
        </w:rPr>
        <w:t xml:space="preserve">is sufficient for people to </w:t>
      </w:r>
      <w:r w:rsidRPr="008A6C65">
        <w:rPr>
          <w:rFonts w:ascii="Calibri" w:hAnsi="Calibri" w:cs="Calibri"/>
          <w:sz w:val="24"/>
          <w:szCs w:val="24"/>
        </w:rPr>
        <w:t>meet their essential living costs</w:t>
      </w:r>
      <w:r w:rsidRPr="008A6C65">
        <w:rPr>
          <w:rFonts w:ascii="Calibri" w:hAnsi="Calibri" w:cs="Calibri"/>
          <w:sz w:val="24"/>
          <w:szCs w:val="24"/>
        </w:rPr>
        <w:t xml:space="preserve"> such as food, utilities</w:t>
      </w:r>
      <w:r w:rsidRPr="008A6C65">
        <w:rPr>
          <w:rFonts w:ascii="Calibri" w:hAnsi="Calibri" w:cs="Calibri"/>
          <w:sz w:val="24"/>
          <w:szCs w:val="24"/>
        </w:rPr>
        <w:t xml:space="preserve"> and vital household items. </w:t>
      </w:r>
    </w:p>
    <w:p w:rsidR="008A6C65" w:rsidRPr="008A6C65" w:rsidP="00AF649E">
      <w:pPr>
        <w:pStyle w:val="ListParagraph"/>
        <w:numPr>
          <w:ilvl w:val="0"/>
          <w:numId w:val="15"/>
        </w:numPr>
        <w:rPr>
          <w:rFonts w:ascii="Calibri" w:eastAsia="Times New Roman" w:hAnsi="Calibri" w:cs="Calibri"/>
          <w:kern w:val="0"/>
          <w:sz w:val="24"/>
          <w:szCs w:val="24"/>
          <w:lang w:eastAsia="en-GB"/>
        </w:rPr>
      </w:pPr>
      <w:r w:rsidRPr="008A6C65">
        <w:rPr>
          <w:rFonts w:ascii="Calibri" w:hAnsi="Calibri" w:cs="Calibri"/>
          <w:sz w:val="24"/>
          <w:szCs w:val="24"/>
        </w:rPr>
        <w:t>Removal of the ‘5-week wait’</w:t>
      </w:r>
      <w:r w:rsidRPr="008A6C65">
        <w:rPr>
          <w:rFonts w:ascii="Calibri" w:hAnsi="Calibri" w:cs="Calibri"/>
          <w:sz w:val="24"/>
          <w:szCs w:val="24"/>
        </w:rPr>
        <w:t xml:space="preserve"> and deductions</w:t>
      </w:r>
      <w:r w:rsidRPr="008A6C65">
        <w:rPr>
          <w:rFonts w:ascii="Calibri" w:hAnsi="Calibri" w:cs="Calibri"/>
          <w:sz w:val="24"/>
          <w:szCs w:val="24"/>
        </w:rPr>
        <w:t xml:space="preserve"> – In addition to </w:t>
      </w:r>
      <w:r w:rsidRPr="008A6C65">
        <w:rPr>
          <w:rFonts w:ascii="Calibri" w:hAnsi="Calibri" w:cs="Calibri"/>
          <w:sz w:val="24"/>
          <w:szCs w:val="24"/>
        </w:rPr>
        <w:t>an</w:t>
      </w:r>
      <w:r w:rsidRPr="008A6C65">
        <w:rPr>
          <w:rFonts w:ascii="Calibri" w:hAnsi="Calibri" w:cs="Calibri"/>
          <w:sz w:val="24"/>
          <w:szCs w:val="24"/>
        </w:rPr>
        <w:t xml:space="preserve"> Essentials Guarantee, within Universal Credit</w:t>
      </w:r>
      <w:r w:rsidRPr="008A6C65">
        <w:rPr>
          <w:rFonts w:ascii="Calibri" w:hAnsi="Calibri" w:cs="Calibri"/>
          <w:sz w:val="24"/>
          <w:szCs w:val="24"/>
        </w:rPr>
        <w:t xml:space="preserve"> (UC)</w:t>
      </w:r>
      <w:r w:rsidRPr="008A6C65">
        <w:rPr>
          <w:rFonts w:ascii="Calibri" w:hAnsi="Calibri" w:cs="Calibri"/>
          <w:sz w:val="24"/>
          <w:szCs w:val="24"/>
        </w:rPr>
        <w:t xml:space="preserve"> there should be a removal of the 5-week wait </w:t>
      </w:r>
      <w:r w:rsidRPr="008A6C65">
        <w:rPr>
          <w:rFonts w:ascii="Calibri" w:hAnsi="Calibri" w:cs="Calibri"/>
          <w:sz w:val="24"/>
          <w:szCs w:val="24"/>
        </w:rPr>
        <w:t>and new claim loan</w:t>
      </w:r>
      <w:r w:rsidRPr="008A6C65">
        <w:rPr>
          <w:rFonts w:ascii="Calibri" w:hAnsi="Calibri" w:cs="Calibri"/>
          <w:sz w:val="24"/>
          <w:szCs w:val="24"/>
        </w:rPr>
        <w:t xml:space="preserve"> for new UC </w:t>
      </w:r>
      <w:r w:rsidRPr="008A6C65">
        <w:rPr>
          <w:rFonts w:ascii="Calibri" w:hAnsi="Calibri" w:cs="Calibri"/>
          <w:sz w:val="24"/>
          <w:szCs w:val="24"/>
        </w:rPr>
        <w:t>claimants</w:t>
      </w:r>
      <w:r w:rsidRPr="008A6C65">
        <w:rPr>
          <w:rFonts w:ascii="Calibri" w:hAnsi="Calibri" w:cs="Calibri"/>
          <w:sz w:val="24"/>
          <w:szCs w:val="24"/>
        </w:rPr>
        <w:t xml:space="preserve">. </w:t>
      </w:r>
      <w:r w:rsidRPr="008A6C65">
        <w:rPr>
          <w:rFonts w:ascii="Calibri" w:hAnsi="Calibri" w:cs="Calibri"/>
          <w:sz w:val="24"/>
          <w:szCs w:val="24"/>
        </w:rPr>
        <w:t xml:space="preserve">Instead, this should be replaced </w:t>
      </w:r>
      <w:r w:rsidRPr="008A6C65">
        <w:rPr>
          <w:rFonts w:ascii="Calibri" w:hAnsi="Calibri" w:cs="Calibri"/>
          <w:sz w:val="24"/>
          <w:szCs w:val="24"/>
        </w:rPr>
        <w:t xml:space="preserve">with a non-repayable </w:t>
      </w:r>
      <w:r w:rsidRPr="008A6C65">
        <w:rPr>
          <w:rFonts w:ascii="Calibri" w:hAnsi="Calibri" w:cs="Calibri"/>
          <w:sz w:val="24"/>
          <w:szCs w:val="24"/>
        </w:rPr>
        <w:t xml:space="preserve">new claim grant </w:t>
      </w:r>
      <w:r w:rsidRPr="008A6C65">
        <w:rPr>
          <w:rFonts w:ascii="Calibri" w:hAnsi="Calibri" w:cs="Calibri"/>
          <w:sz w:val="24"/>
          <w:szCs w:val="24"/>
        </w:rPr>
        <w:t xml:space="preserve">which would help prevent more families </w:t>
      </w:r>
      <w:r w:rsidRPr="008A6C65">
        <w:rPr>
          <w:rFonts w:ascii="Calibri" w:hAnsi="Calibri" w:cs="Calibri"/>
          <w:sz w:val="24"/>
          <w:szCs w:val="24"/>
        </w:rPr>
        <w:t xml:space="preserve">being pushed into hardship </w:t>
      </w:r>
      <w:r w:rsidRPr="008A6C65">
        <w:rPr>
          <w:rFonts w:ascii="Calibri" w:hAnsi="Calibri" w:cs="Calibri"/>
          <w:sz w:val="24"/>
          <w:szCs w:val="24"/>
        </w:rPr>
        <w:t xml:space="preserve">through UC </w:t>
      </w:r>
      <w:r w:rsidRPr="008A6C65">
        <w:rPr>
          <w:rFonts w:ascii="Calibri" w:hAnsi="Calibri" w:cs="Calibri"/>
          <w:sz w:val="24"/>
          <w:szCs w:val="24"/>
        </w:rPr>
        <w:t xml:space="preserve">payment deductions. </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kern w:val="0"/>
          <w:sz w:val="24"/>
          <w:szCs w:val="24"/>
          <w:lang w:eastAsia="en-GB"/>
        </w:rPr>
        <w:t xml:space="preserve">Key Welsh Government interventions, such as Free School Meal </w:t>
      </w:r>
      <w:r w:rsidRPr="008A6C65">
        <w:rPr>
          <w:rFonts w:ascii="Calibri" w:eastAsia="Times New Roman" w:hAnsi="Calibri" w:cs="Calibri"/>
          <w:kern w:val="0"/>
          <w:sz w:val="24"/>
          <w:szCs w:val="24"/>
          <w:lang w:eastAsia="en-GB"/>
        </w:rPr>
        <w:t xml:space="preserve">expansion and discretionary local grants are welcome, but cannot offset </w:t>
      </w:r>
      <w:r w:rsidRPr="008A6C65">
        <w:rPr>
          <w:rFonts w:ascii="Calibri" w:eastAsia="Times New Roman" w:hAnsi="Calibri" w:cs="Calibri"/>
          <w:kern w:val="0"/>
          <w:sz w:val="24"/>
          <w:szCs w:val="24"/>
          <w:lang w:eastAsia="en-GB"/>
        </w:rPr>
        <w:t xml:space="preserve">wider income constraints set by national, UK-wide policy. </w:t>
      </w:r>
    </w:p>
    <w:p w:rsidR="008A6C65" w:rsidRPr="008A6C65" w:rsidP="002B1E03">
      <w:pPr>
        <w:rPr>
          <w:rFonts w:ascii="Calibri" w:eastAsia="Times New Roman" w:hAnsi="Calibri" w:cs="Calibri"/>
          <w:b/>
          <w:bCs/>
          <w:kern w:val="0"/>
          <w:sz w:val="24"/>
          <w:szCs w:val="24"/>
          <w:lang w:eastAsia="en-GB"/>
        </w:rPr>
      </w:pPr>
      <w:r w:rsidRPr="008A6C65">
        <w:rPr>
          <w:rFonts w:ascii="Calibri" w:eastAsia="Times New Roman" w:hAnsi="Calibri" w:cs="Calibri"/>
          <w:b/>
          <w:bCs/>
          <w:kern w:val="0"/>
          <w:sz w:val="24"/>
          <w:szCs w:val="24"/>
          <w:lang w:eastAsia="en-GB"/>
        </w:rPr>
        <w:t>Fragmentation between national reforms and devolved local systems</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b/>
          <w:bCs/>
          <w:kern w:val="0"/>
          <w:sz w:val="24"/>
          <w:szCs w:val="24"/>
          <w:lang w:eastAsia="en-GB"/>
        </w:rPr>
        <w:t xml:space="preserve"> </w:t>
      </w:r>
      <w:r w:rsidRPr="008A6C65">
        <w:rPr>
          <w:rFonts w:ascii="Calibri" w:eastAsia="Times New Roman" w:hAnsi="Calibri" w:cs="Calibri"/>
          <w:kern w:val="0"/>
          <w:sz w:val="24"/>
          <w:szCs w:val="24"/>
          <w:lang w:eastAsia="en-GB"/>
        </w:rPr>
        <w:t xml:space="preserve">Another barrier to reducing child poverty in Wales is the </w:t>
      </w:r>
      <w:r w:rsidRPr="008A6C65">
        <w:rPr>
          <w:rFonts w:ascii="Calibri" w:eastAsia="Times New Roman" w:hAnsi="Calibri" w:cs="Calibri"/>
          <w:kern w:val="0"/>
          <w:sz w:val="24"/>
          <w:szCs w:val="24"/>
          <w:lang w:eastAsia="en-GB"/>
        </w:rPr>
        <w:t>lack of clear and deliberate alignment between UK government reforms, particularly those related to social security and employment</w:t>
      </w:r>
      <w:r w:rsidRPr="008A6C65">
        <w:rPr>
          <w:rFonts w:ascii="Calibri" w:eastAsia="Times New Roman" w:hAnsi="Calibri" w:cs="Calibri"/>
          <w:sz w:val="24"/>
          <w:szCs w:val="24"/>
          <w:lang w:eastAsia="en-GB"/>
        </w:rPr>
        <w:t xml:space="preserve"> </w:t>
      </w:r>
      <w:r w:rsidRPr="008A6C65">
        <w:rPr>
          <w:rFonts w:ascii="Calibri" w:eastAsia="Times New Roman" w:hAnsi="Calibri" w:cs="Calibri"/>
          <w:sz w:val="24"/>
          <w:szCs w:val="24"/>
          <w:lang w:eastAsia="en-GB"/>
        </w:rPr>
        <w:t xml:space="preserve">and devolved systems. </w:t>
      </w:r>
      <w:r w:rsidRPr="008A6C65">
        <w:rPr>
          <w:rFonts w:ascii="Calibri" w:eastAsia="Times New Roman" w:hAnsi="Calibri" w:cs="Calibri"/>
          <w:sz w:val="24"/>
          <w:szCs w:val="24"/>
          <w:lang w:eastAsia="en-GB"/>
        </w:rPr>
        <w:t>Individual policy reforms</w:t>
      </w:r>
      <w:r w:rsidRPr="008A6C65">
        <w:rPr>
          <w:rFonts w:ascii="Calibri" w:eastAsia="Times New Roman" w:hAnsi="Calibri" w:cs="Calibri"/>
          <w:sz w:val="24"/>
          <w:szCs w:val="24"/>
          <w:lang w:eastAsia="en-GB"/>
        </w:rPr>
        <w:t xml:space="preserve">, such as the removal of the two-child limit, do not operate in isolation; </w:t>
      </w:r>
      <w:r w:rsidRPr="008A6C65">
        <w:rPr>
          <w:rFonts w:ascii="Calibri" w:eastAsia="Times New Roman" w:hAnsi="Calibri" w:cs="Calibri"/>
          <w:sz w:val="24"/>
          <w:szCs w:val="24"/>
          <w:lang w:eastAsia="en-GB"/>
        </w:rPr>
        <w:t>instead,</w:t>
      </w:r>
      <w:r w:rsidRPr="008A6C65">
        <w:rPr>
          <w:rFonts w:ascii="Calibri" w:eastAsia="Times New Roman" w:hAnsi="Calibri" w:cs="Calibri"/>
          <w:sz w:val="24"/>
          <w:szCs w:val="24"/>
          <w:lang w:eastAsia="en-GB"/>
        </w:rPr>
        <w:t xml:space="preserve"> their impact is shaped by how they interact with other parts of the system. A notable example is the interaction between the removal of the two-child limit and changes to eligibility </w:t>
      </w:r>
      <w:r w:rsidRPr="008A6C65">
        <w:rPr>
          <w:rFonts w:ascii="Calibri" w:eastAsia="Times New Roman" w:hAnsi="Calibri" w:cs="Calibri"/>
          <w:sz w:val="24"/>
          <w:szCs w:val="24"/>
          <w:lang w:eastAsia="en-GB"/>
        </w:rPr>
        <w:t xml:space="preserve">for Council Tax Support, set out in </w:t>
      </w:r>
      <w:r>
        <w:fldChar w:fldCharType="begin"/>
      </w:r>
      <w:r>
        <w:instrText xml:space="preserve"> HYPERLINK "https://resolvepoverty.org/government-to-act-now-to-avoid-this-unintended-consequence-of-removal-of-the-two-child-limit/" </w:instrText>
      </w:r>
      <w:r>
        <w:fldChar w:fldCharType="separate"/>
      </w:r>
      <w:r w:rsidRPr="008A6C65">
        <w:rPr>
          <w:rStyle w:val="Hyperlink"/>
          <w:rFonts w:ascii="Calibri" w:eastAsia="Times New Roman" w:hAnsi="Calibri" w:cs="Calibri"/>
          <w:sz w:val="24"/>
          <w:szCs w:val="24"/>
          <w:lang w:eastAsia="en-GB"/>
        </w:rPr>
        <w:t>this blog</w:t>
      </w:r>
      <w:r>
        <w:fldChar w:fldCharType="end"/>
      </w:r>
      <w:r w:rsidRPr="008A6C65">
        <w:rPr>
          <w:rFonts w:ascii="Calibri" w:eastAsia="Times New Roman" w:hAnsi="Calibri" w:cs="Calibri"/>
          <w:sz w:val="24"/>
          <w:szCs w:val="24"/>
          <w:lang w:eastAsia="en-GB"/>
        </w:rPr>
        <w:t xml:space="preserve"> by Resolve Poverty earlier this year. </w:t>
      </w:r>
      <w:r w:rsidRPr="008A6C65">
        <w:rPr>
          <w:rFonts w:ascii="Calibri" w:eastAsia="Times New Roman" w:hAnsi="Calibri" w:cs="Calibri"/>
          <w:sz w:val="24"/>
          <w:szCs w:val="24"/>
          <w:lang w:eastAsia="en-GB"/>
        </w:rPr>
        <w:t>Changes to UK-wide policy can have unintended and uneven effects when they interact with local systems and t</w:t>
      </w:r>
      <w:r w:rsidRPr="008A6C65">
        <w:rPr>
          <w:rFonts w:ascii="Calibri" w:eastAsia="Times New Roman" w:hAnsi="Calibri" w:cs="Calibri"/>
          <w:sz w:val="24"/>
          <w:szCs w:val="24"/>
          <w:lang w:eastAsia="en-GB"/>
        </w:rPr>
        <w:t xml:space="preserve">hese interactions are particularly complex in Wales due to the complexity of split between devolved and reserved powers. </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kern w:val="0"/>
          <w:sz w:val="24"/>
          <w:szCs w:val="24"/>
          <w:lang w:eastAsia="en-GB"/>
        </w:rPr>
        <w:t xml:space="preserve">This fragmentation of national and devolved systems makes it </w:t>
      </w:r>
      <w:r w:rsidRPr="008A6C65">
        <w:rPr>
          <w:rFonts w:ascii="Calibri" w:eastAsia="Times New Roman" w:hAnsi="Calibri" w:cs="Calibri"/>
          <w:kern w:val="0"/>
          <w:sz w:val="24"/>
          <w:szCs w:val="24"/>
          <w:lang w:eastAsia="en-GB"/>
        </w:rPr>
        <w:t xml:space="preserve">more difficult to realise the ambitions of the Child Poverty Strategy, but the inclusion of </w:t>
      </w:r>
      <w:r w:rsidRPr="008A6C65">
        <w:rPr>
          <w:rFonts w:ascii="Calibri" w:eastAsia="Times New Roman" w:hAnsi="Calibri" w:cs="Calibri"/>
          <w:kern w:val="0"/>
          <w:sz w:val="24"/>
          <w:szCs w:val="24"/>
          <w:lang w:eastAsia="en-GB"/>
        </w:rPr>
        <w:t xml:space="preserve">child poverty within the Local Outcomes Framework is a positive development, signalling that poverty reduction is a shared responsibility across the system. As devolution evolves and governance arrangements shift, </w:t>
      </w:r>
      <w:r w:rsidRPr="008A6C65">
        <w:rPr>
          <w:rFonts w:ascii="Calibri" w:eastAsia="Times New Roman" w:hAnsi="Calibri" w:cs="Calibri"/>
          <w:kern w:val="0"/>
          <w:sz w:val="24"/>
          <w:szCs w:val="24"/>
          <w:lang w:eastAsia="en-GB"/>
        </w:rPr>
        <w:t>it will remain important that UK-wide priorities align with those of the Welsh Government so that reforms operate coherently</w:t>
      </w:r>
      <w:r w:rsidRPr="008A6C65">
        <w:rPr>
          <w:rFonts w:ascii="Calibri" w:eastAsia="Times New Roman" w:hAnsi="Calibri" w:cs="Calibri"/>
          <w:kern w:val="0"/>
          <w:sz w:val="24"/>
          <w:szCs w:val="24"/>
          <w:lang w:eastAsia="en-GB"/>
        </w:rPr>
        <w:t xml:space="preserve"> ‘on the ground’. </w:t>
      </w:r>
    </w:p>
    <w:p w:rsidR="008A6C65" w:rsidRPr="008A6C65" w:rsidP="002B1E03">
      <w:pPr>
        <w:rPr>
          <w:rFonts w:ascii="Calibri" w:eastAsia="Times New Roman" w:hAnsi="Calibri" w:cs="Calibri"/>
          <w:b/>
          <w:bCs/>
          <w:kern w:val="0"/>
          <w:sz w:val="24"/>
          <w:szCs w:val="24"/>
          <w:lang w:eastAsia="en-GB"/>
        </w:rPr>
      </w:pPr>
      <w:r w:rsidRPr="008A6C65">
        <w:rPr>
          <w:rFonts w:ascii="Calibri" w:eastAsia="Times New Roman" w:hAnsi="Calibri" w:cs="Calibri"/>
          <w:b/>
          <w:bCs/>
          <w:kern w:val="0"/>
          <w:sz w:val="24"/>
          <w:szCs w:val="24"/>
          <w:lang w:eastAsia="en-GB"/>
        </w:rPr>
        <w:t>Short-term and fragmented funding</w:t>
      </w:r>
      <w:r w:rsidRPr="008A6C65">
        <w:rPr>
          <w:rFonts w:ascii="Calibri" w:eastAsia="Times New Roman" w:hAnsi="Calibri" w:cs="Calibri"/>
          <w:b/>
          <w:bCs/>
          <w:kern w:val="0"/>
          <w:sz w:val="24"/>
          <w:szCs w:val="24"/>
          <w:lang w:eastAsia="en-GB"/>
        </w:rPr>
        <w:t xml:space="preserve"> &amp; locality capacity</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kern w:val="0"/>
          <w:sz w:val="24"/>
          <w:szCs w:val="24"/>
          <w:lang w:eastAsia="en-GB"/>
        </w:rPr>
        <w:t xml:space="preserve">The role of local government and their partner organisations cannot be overstated </w:t>
      </w:r>
      <w:r w:rsidRPr="008A6C65">
        <w:rPr>
          <w:rFonts w:ascii="Calibri" w:eastAsia="Times New Roman" w:hAnsi="Calibri" w:cs="Calibri"/>
          <w:kern w:val="0"/>
          <w:sz w:val="24"/>
          <w:szCs w:val="24"/>
          <w:lang w:eastAsia="en-GB"/>
        </w:rPr>
        <w:t>in</w:t>
      </w:r>
      <w:r w:rsidRPr="008A6C65">
        <w:rPr>
          <w:rFonts w:ascii="Calibri" w:eastAsia="Times New Roman" w:hAnsi="Calibri" w:cs="Calibri"/>
          <w:kern w:val="0"/>
          <w:sz w:val="24"/>
          <w:szCs w:val="24"/>
          <w:lang w:eastAsia="en-GB"/>
        </w:rPr>
        <w:t xml:space="preserve"> regards to</w:t>
      </w:r>
      <w:r w:rsidRPr="008A6C65">
        <w:rPr>
          <w:rFonts w:ascii="Calibri" w:eastAsia="Times New Roman" w:hAnsi="Calibri" w:cs="Calibri"/>
          <w:kern w:val="0"/>
          <w:sz w:val="24"/>
          <w:szCs w:val="24"/>
          <w:lang w:eastAsia="en-GB"/>
        </w:rPr>
        <w:t xml:space="preserve"> Wales meeting the ambitions of the Child Poverty Strategy. </w:t>
      </w:r>
      <w:r w:rsidRPr="008A6C65">
        <w:rPr>
          <w:rFonts w:ascii="Calibri" w:eastAsia="Times New Roman" w:hAnsi="Calibri" w:cs="Calibri"/>
          <w:kern w:val="0"/>
          <w:sz w:val="24"/>
          <w:szCs w:val="24"/>
          <w:lang w:eastAsia="en-GB"/>
        </w:rPr>
        <w:t>Local</w:t>
      </w:r>
      <w:r w:rsidRPr="008A6C65">
        <w:rPr>
          <w:rFonts w:ascii="Calibri" w:eastAsia="Times New Roman" w:hAnsi="Calibri" w:cs="Calibri"/>
          <w:kern w:val="0"/>
          <w:sz w:val="24"/>
          <w:szCs w:val="24"/>
          <w:lang w:eastAsia="en-GB"/>
        </w:rPr>
        <w:t xml:space="preserve">ities will determine whether national priorities translate into tangible improvements in families lives </w:t>
      </w:r>
      <w:r w:rsidRPr="008A6C65">
        <w:rPr>
          <w:rFonts w:ascii="Calibri" w:eastAsia="Times New Roman" w:hAnsi="Calibri" w:cs="Calibri"/>
          <w:kern w:val="0"/>
          <w:sz w:val="24"/>
          <w:szCs w:val="24"/>
          <w:lang w:eastAsia="en-GB"/>
        </w:rPr>
        <w:t>and therefore sustained investment in delivery capacity</w:t>
      </w:r>
      <w:r w:rsidRPr="008A6C65">
        <w:rPr>
          <w:rFonts w:ascii="Calibri" w:eastAsia="Times New Roman" w:hAnsi="Calibri" w:cs="Calibri"/>
          <w:kern w:val="0"/>
          <w:sz w:val="24"/>
          <w:szCs w:val="24"/>
          <w:lang w:eastAsia="en-GB"/>
        </w:rPr>
        <w:t xml:space="preserve"> and governance structures is fundamental. </w:t>
      </w:r>
      <w:r w:rsidRPr="008A6C65">
        <w:rPr>
          <w:rFonts w:ascii="Calibri" w:eastAsia="Times New Roman" w:hAnsi="Calibri" w:cs="Calibri"/>
          <w:kern w:val="0"/>
          <w:sz w:val="24"/>
          <w:szCs w:val="24"/>
          <w:lang w:eastAsia="en-GB"/>
        </w:rPr>
        <w:t>Adequate and sustainable funding is essential for local authorities to address child poverty and implement long-term solutions effectively. Public sector funding cuts over recent years have constrained their ability to tackle issues ‘upstream’, forcing more recent reliance on reactive, resource-intense crisis</w:t>
      </w:r>
      <w:r w:rsidRPr="008A6C65">
        <w:rPr>
          <w:rFonts w:ascii="Calibri" w:eastAsia="Times New Roman" w:hAnsi="Calibri" w:cs="Calibri"/>
          <w:kern w:val="0"/>
          <w:sz w:val="24"/>
          <w:szCs w:val="24"/>
          <w:lang w:eastAsia="en-GB"/>
        </w:rPr>
        <w:t xml:space="preserve"> response. </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kern w:val="0"/>
          <w:sz w:val="24"/>
          <w:szCs w:val="24"/>
          <w:lang w:eastAsia="en-GB"/>
        </w:rPr>
        <w:t xml:space="preserve">Linked to capacity is the patchwork approach to local anti-poverty activity across Wales. </w:t>
      </w:r>
      <w:r w:rsidRPr="008A6C65">
        <w:rPr>
          <w:rFonts w:ascii="Calibri" w:eastAsia="Times New Roman" w:hAnsi="Calibri" w:cs="Calibri"/>
          <w:kern w:val="0"/>
          <w:sz w:val="24"/>
          <w:szCs w:val="24"/>
          <w:lang w:eastAsia="en-GB"/>
        </w:rPr>
        <w:t>Whilst it is positive than in Wales (unlike in England)</w:t>
      </w:r>
      <w:r w:rsidRPr="008A6C65">
        <w:rPr>
          <w:rFonts w:ascii="Calibri" w:eastAsia="Times New Roman" w:hAnsi="Calibri" w:cs="Calibri"/>
          <w:kern w:val="0"/>
          <w:sz w:val="24"/>
          <w:szCs w:val="24"/>
          <w:lang w:eastAsia="en-GB"/>
        </w:rPr>
        <w:t xml:space="preserve">, local authorities are required to </w:t>
      </w:r>
      <w:r w:rsidRPr="008A6C65">
        <w:rPr>
          <w:rFonts w:ascii="Calibri" w:eastAsia="Times New Roman" w:hAnsi="Calibri" w:cs="Calibri"/>
          <w:kern w:val="0"/>
          <w:sz w:val="24"/>
          <w:szCs w:val="24"/>
          <w:lang w:eastAsia="en-GB"/>
        </w:rPr>
        <w:t xml:space="preserve">have strategies to address child poverty </w:t>
      </w:r>
      <w:r w:rsidRPr="008A6C65">
        <w:rPr>
          <w:rFonts w:ascii="Calibri" w:eastAsia="Times New Roman" w:hAnsi="Calibri" w:cs="Calibri"/>
          <w:kern w:val="0"/>
          <w:sz w:val="24"/>
          <w:szCs w:val="24"/>
          <w:lang w:eastAsia="en-GB"/>
        </w:rPr>
        <w:t xml:space="preserve">through the Children and Families (Wales) Measure 2010 and they receive dedicated funding for this, our understanding is that the funding for these anti-poverty measures </w:t>
      </w:r>
      <w:r w:rsidRPr="008A6C65">
        <w:rPr>
          <w:rFonts w:ascii="Calibri" w:eastAsia="Times New Roman" w:hAnsi="Calibri" w:cs="Calibri"/>
          <w:kern w:val="0"/>
          <w:sz w:val="24"/>
          <w:szCs w:val="24"/>
          <w:lang w:eastAsia="en-GB"/>
        </w:rPr>
        <w:t xml:space="preserve">is often fragmented, short-term and complex. From our work with English local authorities, we understand that a short-term and fragmented approach </w:t>
      </w:r>
      <w:r w:rsidRPr="008A6C65">
        <w:rPr>
          <w:rFonts w:ascii="Calibri" w:eastAsia="Times New Roman" w:hAnsi="Calibri" w:cs="Calibri"/>
          <w:kern w:val="0"/>
          <w:sz w:val="24"/>
          <w:szCs w:val="24"/>
          <w:lang w:eastAsia="en-GB"/>
        </w:rPr>
        <w:t>to funding anti-poverty work leaves little capacity for local a</w:t>
      </w:r>
      <w:r w:rsidRPr="008A6C65">
        <w:rPr>
          <w:rFonts w:ascii="Calibri" w:eastAsia="Times New Roman" w:hAnsi="Calibri" w:cs="Calibri"/>
          <w:kern w:val="0"/>
          <w:sz w:val="24"/>
          <w:szCs w:val="24"/>
          <w:lang w:eastAsia="en-GB"/>
        </w:rPr>
        <w:t xml:space="preserve">uthorities to take a long-term, resilience-based approach and instead leaves them to rely on </w:t>
      </w:r>
      <w:r w:rsidRPr="008A6C65">
        <w:rPr>
          <w:rFonts w:ascii="Calibri" w:eastAsia="Times New Roman" w:hAnsi="Calibri" w:cs="Calibri"/>
          <w:kern w:val="0"/>
          <w:sz w:val="24"/>
          <w:szCs w:val="24"/>
          <w:lang w:eastAsia="en-GB"/>
        </w:rPr>
        <w:t xml:space="preserve">crisis responses that do little to address long-term barriers to maximising household income. </w:t>
      </w:r>
      <w:r w:rsidRPr="008A6C65">
        <w:rPr>
          <w:rFonts w:ascii="Calibri" w:eastAsia="Times New Roman" w:hAnsi="Calibri" w:cs="Calibri"/>
          <w:kern w:val="0"/>
          <w:sz w:val="24"/>
          <w:szCs w:val="24"/>
          <w:lang w:eastAsia="en-GB"/>
        </w:rPr>
        <w:t xml:space="preserve"> </w:t>
      </w:r>
      <w:r w:rsidRPr="008A6C65">
        <w:rPr>
          <w:rFonts w:ascii="Calibri" w:eastAsia="Times New Roman" w:hAnsi="Calibri" w:cs="Calibri"/>
          <w:kern w:val="0"/>
          <w:sz w:val="24"/>
          <w:szCs w:val="24"/>
          <w:lang w:eastAsia="en-GB"/>
        </w:rPr>
        <w:t xml:space="preserve">Without multi-year, flexible funding settlements, Wales will struggle to build sustainable anti-poverty responses that meet the goals of the Child Poverty Strategy. </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b/>
          <w:bCs/>
          <w:kern w:val="0"/>
          <w:sz w:val="24"/>
          <w:szCs w:val="24"/>
          <w:lang w:eastAsia="en-GB"/>
        </w:rPr>
        <w:t>Limited data access and sharing</w:t>
      </w:r>
    </w:p>
    <w:p w:rsidR="008A6C65" w:rsidRPr="008A6C65" w:rsidP="002B1E03">
      <w:pPr>
        <w:rPr>
          <w:rFonts w:ascii="Calibri" w:eastAsia="Times New Roman" w:hAnsi="Calibri" w:cs="Calibri"/>
          <w:kern w:val="0"/>
          <w:sz w:val="24"/>
          <w:szCs w:val="24"/>
          <w:lang w:eastAsia="en-GB"/>
        </w:rPr>
      </w:pPr>
      <w:r w:rsidRPr="008A6C65">
        <w:rPr>
          <w:rFonts w:ascii="Calibri" w:eastAsia="Times New Roman" w:hAnsi="Calibri" w:cs="Calibri"/>
          <w:kern w:val="0"/>
          <w:sz w:val="24"/>
          <w:szCs w:val="24"/>
          <w:lang w:eastAsia="en-GB"/>
        </w:rPr>
        <w:t xml:space="preserve">Central to a more co-ordinated </w:t>
      </w:r>
      <w:r w:rsidRPr="008A6C65">
        <w:rPr>
          <w:rFonts w:ascii="Calibri" w:eastAsia="Times New Roman" w:hAnsi="Calibri" w:cs="Calibri"/>
          <w:kern w:val="0"/>
          <w:sz w:val="24"/>
          <w:szCs w:val="24"/>
          <w:lang w:eastAsia="en-GB"/>
        </w:rPr>
        <w:t xml:space="preserve">response between Westminster and Wales is improved data sharing. </w:t>
      </w:r>
      <w:r w:rsidRPr="008A6C65">
        <w:rPr>
          <w:rFonts w:ascii="Calibri" w:eastAsia="Times New Roman" w:hAnsi="Calibri" w:cs="Calibri"/>
          <w:kern w:val="0"/>
          <w:sz w:val="24"/>
          <w:szCs w:val="24"/>
          <w:lang w:eastAsia="en-GB"/>
        </w:rPr>
        <w:t xml:space="preserve">Better data-sharing and access between the DWP, </w:t>
      </w:r>
      <w:r w:rsidRPr="008A6C65">
        <w:rPr>
          <w:rFonts w:ascii="Calibri" w:eastAsia="Times New Roman" w:hAnsi="Calibri" w:cs="Calibri"/>
          <w:kern w:val="0"/>
          <w:sz w:val="24"/>
          <w:szCs w:val="24"/>
          <w:lang w:eastAsia="en-GB"/>
        </w:rPr>
        <w:t>H</w:t>
      </w:r>
      <w:r w:rsidRPr="008A6C65">
        <w:rPr>
          <w:rFonts w:ascii="Calibri" w:eastAsia="Times New Roman" w:hAnsi="Calibri" w:cs="Calibri"/>
          <w:kern w:val="0"/>
          <w:sz w:val="24"/>
          <w:szCs w:val="24"/>
          <w:lang w:eastAsia="en-GB"/>
        </w:rPr>
        <w:t>is Majesty’s Revenue and Customs (HMRC)</w:t>
      </w:r>
      <w:r w:rsidRPr="008A6C65">
        <w:rPr>
          <w:rFonts w:ascii="Calibri" w:eastAsia="Times New Roman" w:hAnsi="Calibri" w:cs="Calibri"/>
          <w:kern w:val="0"/>
          <w:sz w:val="24"/>
          <w:szCs w:val="24"/>
          <w:lang w:eastAsia="en-GB"/>
        </w:rPr>
        <w:t xml:space="preserve"> and local authorities </w:t>
      </w:r>
      <w:r w:rsidRPr="008A6C65">
        <w:rPr>
          <w:rFonts w:ascii="Calibri" w:eastAsia="Times New Roman" w:hAnsi="Calibri" w:cs="Calibri"/>
          <w:kern w:val="0"/>
          <w:sz w:val="24"/>
          <w:szCs w:val="24"/>
          <w:lang w:eastAsia="en-GB"/>
        </w:rPr>
        <w:t>enables</w:t>
      </w:r>
      <w:r w:rsidRPr="008A6C65">
        <w:rPr>
          <w:rFonts w:ascii="Calibri" w:eastAsia="Times New Roman" w:hAnsi="Calibri" w:cs="Calibri"/>
          <w:kern w:val="0"/>
          <w:sz w:val="24"/>
          <w:szCs w:val="24"/>
          <w:lang w:eastAsia="en-GB"/>
        </w:rPr>
        <w:t xml:space="preserve"> </w:t>
      </w:r>
      <w:r w:rsidRPr="008A6C65">
        <w:rPr>
          <w:rFonts w:ascii="Calibri" w:eastAsia="Times New Roman" w:hAnsi="Calibri" w:cs="Calibri"/>
          <w:kern w:val="0"/>
          <w:sz w:val="24"/>
          <w:szCs w:val="24"/>
          <w:lang w:eastAsia="en-GB"/>
        </w:rPr>
        <w:t>local authorities to easily and more accurately target households who may be eligible for enhanced local support</w:t>
      </w:r>
      <w:r w:rsidRPr="008A6C65">
        <w:rPr>
          <w:rFonts w:ascii="Calibri" w:eastAsia="Times New Roman" w:hAnsi="Calibri" w:cs="Calibri"/>
          <w:kern w:val="0"/>
          <w:sz w:val="24"/>
          <w:szCs w:val="24"/>
          <w:lang w:eastAsia="en-GB"/>
        </w:rPr>
        <w:t xml:space="preserve"> and in future design </w:t>
      </w:r>
      <w:r w:rsidRPr="008A6C65">
        <w:rPr>
          <w:rFonts w:ascii="Calibri" w:eastAsia="Times New Roman" w:hAnsi="Calibri" w:cs="Calibri"/>
          <w:kern w:val="0"/>
          <w:sz w:val="24"/>
          <w:szCs w:val="24"/>
          <w:lang w:eastAsia="en-GB"/>
        </w:rPr>
        <w:t xml:space="preserve">provision around actual need. In our 2025 ‘Mission Critical’ report, </w:t>
      </w:r>
      <w:r w:rsidRPr="008A6C65">
        <w:rPr>
          <w:rFonts w:ascii="Calibri" w:eastAsia="Times New Roman" w:hAnsi="Calibri" w:cs="Calibri"/>
          <w:kern w:val="0"/>
          <w:sz w:val="24"/>
          <w:szCs w:val="24"/>
          <w:lang w:eastAsia="en-GB"/>
        </w:rPr>
        <w:t>local and regional stakeholders identified limited access to central government data as a significant barrier to effective po</w:t>
      </w:r>
      <w:r w:rsidRPr="008A6C65">
        <w:rPr>
          <w:rFonts w:ascii="Calibri" w:eastAsia="Times New Roman" w:hAnsi="Calibri" w:cs="Calibri"/>
          <w:kern w:val="0"/>
          <w:sz w:val="24"/>
          <w:szCs w:val="24"/>
          <w:lang w:eastAsia="en-GB"/>
        </w:rPr>
        <w:t>verty reduction (Resolve Poverty and LOCALE, 2025)</w:t>
      </w:r>
      <w:r w:rsidRPr="008A6C65">
        <w:rPr>
          <w:rFonts w:ascii="Calibri" w:eastAsia="Times New Roman" w:hAnsi="Calibri" w:cs="Calibri"/>
          <w:kern w:val="0"/>
          <w:sz w:val="24"/>
          <w:szCs w:val="24"/>
          <w:lang w:eastAsia="en-GB"/>
        </w:rPr>
        <w:t xml:space="preserve">. Stakeholders emphasised that without visibility of benefit receipt, income volatility and financial hardship indicators, local authorities are constrained in their ability to target support, increase </w:t>
      </w:r>
      <w:r w:rsidRPr="008A6C65">
        <w:rPr>
          <w:rFonts w:ascii="Calibri" w:eastAsia="Times New Roman" w:hAnsi="Calibri" w:cs="Calibri"/>
          <w:kern w:val="0"/>
          <w:sz w:val="24"/>
          <w:szCs w:val="24"/>
          <w:lang w:eastAsia="en-GB"/>
        </w:rPr>
        <w:t xml:space="preserve">benefit take-up and align local welfare provision with national reforms. </w:t>
      </w:r>
    </w:p>
    <w:p w:rsidR="008A6C65" w:rsidRPr="008A6C65">
      <w:pPr>
        <w:rPr>
          <w:rFonts w:ascii="Calibri" w:hAnsi="Calibri" w:cs="Calibri"/>
          <w:sz w:val="24"/>
          <w:szCs w:val="24"/>
        </w:rPr>
      </w:pPr>
    </w:p>
    <w:p w:rsidR="008A6C65" w:rsidRPr="008A6C65">
      <w:pPr>
        <w:rPr>
          <w:rFonts w:ascii="Calibri" w:hAnsi="Calibri" w:cs="Calibri"/>
          <w:b/>
          <w:bCs/>
          <w:sz w:val="24"/>
          <w:szCs w:val="24"/>
        </w:rPr>
      </w:pPr>
      <w:r w:rsidRPr="008A6C65">
        <w:rPr>
          <w:rFonts w:ascii="Calibri" w:hAnsi="Calibri" w:cs="Calibri"/>
          <w:b/>
          <w:bCs/>
          <w:sz w:val="24"/>
          <w:szCs w:val="24"/>
        </w:rPr>
        <w:t xml:space="preserve">Question 2 – How effectively </w:t>
      </w:r>
      <w:r w:rsidRPr="008A6C65">
        <w:rPr>
          <w:rFonts w:ascii="Calibri" w:hAnsi="Calibri" w:cs="Calibri"/>
          <w:b/>
          <w:bCs/>
          <w:sz w:val="24"/>
          <w:szCs w:val="24"/>
        </w:rPr>
        <w:t xml:space="preserve">do the UK and Welsh governments </w:t>
      </w:r>
      <w:r w:rsidRPr="008A6C65">
        <w:rPr>
          <w:rFonts w:ascii="Calibri" w:hAnsi="Calibri" w:cs="Calibri"/>
          <w:b/>
          <w:bCs/>
          <w:sz w:val="24"/>
          <w:szCs w:val="24"/>
        </w:rPr>
        <w:t>work together towards ending child poverty in Wales?</w:t>
      </w:r>
    </w:p>
    <w:p w:rsidR="008A6C65" w:rsidRPr="008A6C65">
      <w:pPr>
        <w:rPr>
          <w:rFonts w:ascii="Calibri" w:hAnsi="Calibri" w:cs="Calibri"/>
          <w:sz w:val="24"/>
          <w:szCs w:val="24"/>
        </w:rPr>
      </w:pPr>
      <w:r w:rsidRPr="008A6C65">
        <w:rPr>
          <w:rFonts w:ascii="Calibri" w:hAnsi="Calibri" w:cs="Calibri"/>
          <w:sz w:val="24"/>
          <w:szCs w:val="24"/>
        </w:rPr>
        <w:t xml:space="preserve">It is positive that since the publication of the UK government’s Child Poverty </w:t>
      </w:r>
      <w:r w:rsidRPr="008A6C65">
        <w:rPr>
          <w:rFonts w:ascii="Calibri" w:hAnsi="Calibri" w:cs="Calibri"/>
          <w:sz w:val="24"/>
          <w:szCs w:val="24"/>
        </w:rPr>
        <w:t xml:space="preserve">Strategy in December 2025, both governments have a child poverty strategy in place, </w:t>
      </w:r>
      <w:r w:rsidRPr="008A6C65">
        <w:rPr>
          <w:rFonts w:ascii="Calibri" w:hAnsi="Calibri" w:cs="Calibri"/>
          <w:sz w:val="24"/>
          <w:szCs w:val="24"/>
        </w:rPr>
        <w:t xml:space="preserve">with the Welsh government leading with their publication in 2024. This signals that child poverty alleviation is a priority across both levels of government and therefore sets the conditions that, in theory, should allow </w:t>
      </w:r>
      <w:r w:rsidRPr="008A6C65">
        <w:rPr>
          <w:rFonts w:ascii="Calibri" w:hAnsi="Calibri" w:cs="Calibri"/>
          <w:sz w:val="24"/>
          <w:szCs w:val="24"/>
        </w:rPr>
        <w:t xml:space="preserve">effective collaboration </w:t>
      </w:r>
      <w:r w:rsidRPr="008A6C65">
        <w:rPr>
          <w:rFonts w:ascii="Calibri" w:hAnsi="Calibri" w:cs="Calibri"/>
          <w:sz w:val="24"/>
          <w:szCs w:val="24"/>
        </w:rPr>
        <w:t xml:space="preserve">on the issue of child poverty in Wales. </w:t>
      </w:r>
    </w:p>
    <w:p w:rsidR="008A6C65" w:rsidRPr="008A6C65">
      <w:pPr>
        <w:rPr>
          <w:rFonts w:ascii="Calibri" w:hAnsi="Calibri" w:cs="Calibri"/>
          <w:sz w:val="24"/>
          <w:szCs w:val="24"/>
        </w:rPr>
      </w:pPr>
      <w:r w:rsidRPr="008A6C65">
        <w:rPr>
          <w:rFonts w:ascii="Calibri" w:hAnsi="Calibri" w:cs="Calibri"/>
          <w:sz w:val="24"/>
          <w:szCs w:val="24"/>
        </w:rPr>
        <w:t xml:space="preserve">Another positive is that since 2021, Wales has fully commenced the socio-economic duty, </w:t>
      </w:r>
      <w:r w:rsidRPr="008A6C65">
        <w:rPr>
          <w:rFonts w:ascii="Calibri" w:hAnsi="Calibri" w:cs="Calibri"/>
          <w:sz w:val="24"/>
          <w:szCs w:val="24"/>
        </w:rPr>
        <w:t xml:space="preserve">providing a strong foundation for aligning decision-making with poverty reduction. </w:t>
      </w:r>
    </w:p>
    <w:p w:rsidR="008A6C65" w:rsidRPr="008A6C65">
      <w:pPr>
        <w:rPr>
          <w:rFonts w:ascii="Calibri" w:hAnsi="Calibri" w:cs="Calibri"/>
          <w:sz w:val="24"/>
          <w:szCs w:val="24"/>
        </w:rPr>
      </w:pPr>
      <w:r w:rsidRPr="008A6C65">
        <w:rPr>
          <w:rFonts w:ascii="Calibri" w:hAnsi="Calibri" w:cs="Calibri"/>
          <w:sz w:val="24"/>
          <w:szCs w:val="24"/>
        </w:rPr>
        <w:t xml:space="preserve">However, at present there is no joint delivery framework </w:t>
      </w:r>
      <w:r w:rsidRPr="008A6C65">
        <w:rPr>
          <w:rFonts w:ascii="Calibri" w:hAnsi="Calibri" w:cs="Calibri"/>
          <w:sz w:val="24"/>
          <w:szCs w:val="24"/>
        </w:rPr>
        <w:t xml:space="preserve">or cross-government accountability mechanism to ensure </w:t>
      </w:r>
      <w:r w:rsidRPr="008A6C65">
        <w:rPr>
          <w:rFonts w:ascii="Calibri" w:hAnsi="Calibri" w:cs="Calibri"/>
          <w:sz w:val="24"/>
          <w:szCs w:val="24"/>
        </w:rPr>
        <w:t>all levers are being pulled in the same direction. The result is strategies existing in parallel rather than</w:t>
      </w:r>
      <w:r w:rsidRPr="008A6C65">
        <w:rPr>
          <w:rFonts w:ascii="Calibri" w:hAnsi="Calibri" w:cs="Calibri"/>
          <w:sz w:val="24"/>
          <w:szCs w:val="24"/>
        </w:rPr>
        <w:t xml:space="preserve"> operating with effective</w:t>
      </w:r>
      <w:r w:rsidRPr="008A6C65">
        <w:rPr>
          <w:rFonts w:ascii="Calibri" w:hAnsi="Calibri" w:cs="Calibri"/>
          <w:sz w:val="24"/>
          <w:szCs w:val="24"/>
        </w:rPr>
        <w:t xml:space="preserve"> integrated delivery, </w:t>
      </w:r>
      <w:r w:rsidRPr="008A6C65">
        <w:rPr>
          <w:rFonts w:ascii="Calibri" w:hAnsi="Calibri" w:cs="Calibri"/>
          <w:sz w:val="24"/>
          <w:szCs w:val="24"/>
        </w:rPr>
        <w:t xml:space="preserve">which may lead to unclear lines of responsibility and missed opportunity for </w:t>
      </w:r>
      <w:r w:rsidRPr="008A6C65">
        <w:rPr>
          <w:rFonts w:ascii="Calibri" w:hAnsi="Calibri" w:cs="Calibri"/>
          <w:sz w:val="24"/>
          <w:szCs w:val="24"/>
        </w:rPr>
        <w:t xml:space="preserve">joint policy design. </w:t>
      </w:r>
    </w:p>
    <w:p w:rsidR="008A6C65" w:rsidRPr="008A6C65">
      <w:pPr>
        <w:rPr>
          <w:rFonts w:ascii="Calibri" w:hAnsi="Calibri" w:cs="Calibri"/>
          <w:sz w:val="24"/>
          <w:szCs w:val="24"/>
        </w:rPr>
      </w:pPr>
    </w:p>
    <w:p w:rsidR="008A6C65" w:rsidRPr="008A6C65" w:rsidP="6AF43081">
      <w:pPr>
        <w:rPr>
          <w:rFonts w:ascii="Calibri" w:hAnsi="Calibri" w:cs="Calibri"/>
          <w:b/>
          <w:bCs/>
          <w:sz w:val="24"/>
          <w:szCs w:val="24"/>
        </w:rPr>
      </w:pPr>
      <w:r w:rsidRPr="008A6C65">
        <w:rPr>
          <w:rFonts w:ascii="Calibri" w:hAnsi="Calibri" w:cs="Calibri"/>
          <w:b/>
          <w:bCs/>
          <w:sz w:val="24"/>
          <w:szCs w:val="24"/>
        </w:rPr>
        <w:t xml:space="preserve">Question 3 </w:t>
      </w:r>
      <w:r w:rsidRPr="008A6C65">
        <w:rPr>
          <w:rFonts w:ascii="Calibri" w:hAnsi="Calibri" w:cs="Calibri"/>
          <w:b/>
          <w:bCs/>
          <w:sz w:val="24"/>
          <w:szCs w:val="24"/>
        </w:rPr>
        <w:t>–</w:t>
      </w:r>
      <w:r w:rsidRPr="008A6C65">
        <w:rPr>
          <w:rFonts w:ascii="Calibri" w:hAnsi="Calibri" w:cs="Calibri"/>
          <w:b/>
          <w:bCs/>
          <w:sz w:val="24"/>
          <w:szCs w:val="24"/>
        </w:rPr>
        <w:t xml:space="preserve"> </w:t>
      </w:r>
      <w:r w:rsidRPr="008A6C65">
        <w:rPr>
          <w:rFonts w:ascii="Calibri" w:hAnsi="Calibri" w:cs="Calibri"/>
          <w:b/>
          <w:bCs/>
          <w:sz w:val="24"/>
          <w:szCs w:val="24"/>
        </w:rPr>
        <w:t xml:space="preserve">How well do devolved and </w:t>
      </w:r>
      <w:r w:rsidRPr="008A6C65">
        <w:rPr>
          <w:rFonts w:ascii="Calibri" w:hAnsi="Calibri" w:cs="Calibri"/>
          <w:b/>
          <w:bCs/>
          <w:sz w:val="24"/>
          <w:szCs w:val="24"/>
        </w:rPr>
        <w:t xml:space="preserve">reserved agencies </w:t>
      </w:r>
      <w:r w:rsidRPr="008A6C65">
        <w:rPr>
          <w:rFonts w:ascii="Calibri" w:hAnsi="Calibri" w:cs="Calibri"/>
          <w:b/>
          <w:bCs/>
          <w:sz w:val="24"/>
          <w:szCs w:val="24"/>
        </w:rPr>
        <w:t>co-ordinate their work towards ending child poverty in Wales?</w:t>
      </w:r>
    </w:p>
    <w:p w:rsidR="008A6C65" w:rsidRPr="008A6C65" w:rsidP="6AF43081">
      <w:pPr>
        <w:rPr>
          <w:rFonts w:ascii="Calibri" w:hAnsi="Calibri" w:cs="Calibri"/>
          <w:sz w:val="24"/>
          <w:szCs w:val="24"/>
        </w:rPr>
      </w:pPr>
      <w:r w:rsidRPr="008A6C65">
        <w:rPr>
          <w:rFonts w:ascii="Calibri" w:hAnsi="Calibri" w:cs="Calibri"/>
          <w:sz w:val="24"/>
          <w:szCs w:val="24"/>
        </w:rPr>
        <w:t>NA</w:t>
      </w:r>
    </w:p>
    <w:p w:rsidR="008A6C65" w:rsidRPr="008A6C65" w:rsidP="6AF43081">
      <w:pPr>
        <w:rPr>
          <w:rFonts w:ascii="Calibri" w:hAnsi="Calibri" w:cs="Calibri"/>
          <w:b/>
          <w:bCs/>
          <w:sz w:val="24"/>
          <w:szCs w:val="24"/>
        </w:rPr>
      </w:pPr>
      <w:r w:rsidRPr="008A6C65">
        <w:rPr>
          <w:rFonts w:ascii="Calibri" w:hAnsi="Calibri" w:cs="Calibri"/>
          <w:b/>
          <w:bCs/>
          <w:sz w:val="24"/>
          <w:szCs w:val="24"/>
        </w:rPr>
        <w:t xml:space="preserve">Question 4 </w:t>
      </w:r>
      <w:r w:rsidRPr="008A6C65">
        <w:rPr>
          <w:rFonts w:ascii="Calibri" w:hAnsi="Calibri" w:cs="Calibri"/>
          <w:b/>
          <w:bCs/>
          <w:sz w:val="24"/>
          <w:szCs w:val="24"/>
        </w:rPr>
        <w:t>–</w:t>
      </w:r>
      <w:r w:rsidRPr="008A6C65">
        <w:rPr>
          <w:rFonts w:ascii="Calibri" w:hAnsi="Calibri" w:cs="Calibri"/>
          <w:b/>
          <w:bCs/>
          <w:sz w:val="24"/>
          <w:szCs w:val="24"/>
        </w:rPr>
        <w:t xml:space="preserve"> </w:t>
      </w:r>
      <w:r w:rsidRPr="008A6C65">
        <w:rPr>
          <w:rFonts w:ascii="Calibri" w:hAnsi="Calibri" w:cs="Calibri"/>
          <w:b/>
          <w:bCs/>
          <w:sz w:val="24"/>
          <w:szCs w:val="24"/>
        </w:rPr>
        <w:t>Are children’s voices in Wales heard loudly enough by policymakers in the UK government.</w:t>
      </w:r>
    </w:p>
    <w:p w:rsidR="008A6C65" w:rsidRPr="008A6C65" w:rsidP="6AF43081">
      <w:pPr>
        <w:rPr>
          <w:rFonts w:ascii="Calibri" w:hAnsi="Calibri" w:cs="Calibri"/>
          <w:sz w:val="24"/>
          <w:szCs w:val="24"/>
        </w:rPr>
      </w:pPr>
      <w:r w:rsidRPr="008A6C65">
        <w:rPr>
          <w:rFonts w:ascii="Calibri" w:hAnsi="Calibri" w:cs="Calibri"/>
          <w:sz w:val="24"/>
          <w:szCs w:val="24"/>
        </w:rPr>
        <w:t>NA</w:t>
      </w:r>
    </w:p>
    <w:p w:rsidR="008A6C65" w:rsidRPr="008A6C65">
      <w:pPr>
        <w:rPr>
          <w:rFonts w:ascii="Calibri" w:hAnsi="Calibri" w:cs="Calibri"/>
          <w:b/>
          <w:bCs/>
          <w:sz w:val="24"/>
          <w:szCs w:val="24"/>
        </w:rPr>
      </w:pPr>
      <w:r w:rsidRPr="008A6C65">
        <w:rPr>
          <w:rFonts w:ascii="Calibri" w:hAnsi="Calibri" w:cs="Calibri"/>
          <w:b/>
          <w:bCs/>
          <w:sz w:val="24"/>
          <w:szCs w:val="24"/>
        </w:rPr>
        <w:t>Question 5 – How can data collection be improved to better understand and map the extent of child poverty in Wales?</w:t>
      </w:r>
    </w:p>
    <w:p w:rsidR="008A6C65" w:rsidRPr="008A6C65">
      <w:pPr>
        <w:rPr>
          <w:rFonts w:ascii="Calibri" w:hAnsi="Calibri" w:cs="Calibri"/>
          <w:sz w:val="24"/>
          <w:szCs w:val="24"/>
        </w:rPr>
      </w:pPr>
      <w:r w:rsidRPr="008A6C65">
        <w:rPr>
          <w:rFonts w:ascii="Calibri" w:hAnsi="Calibri" w:cs="Calibri"/>
          <w:sz w:val="24"/>
          <w:szCs w:val="24"/>
        </w:rPr>
        <w:t xml:space="preserve">As already identified in question 1, </w:t>
      </w:r>
      <w:r w:rsidRPr="008A6C65">
        <w:rPr>
          <w:rFonts w:ascii="Calibri" w:hAnsi="Calibri" w:cs="Calibri"/>
          <w:sz w:val="24"/>
          <w:szCs w:val="24"/>
        </w:rPr>
        <w:t xml:space="preserve">the most critical step to understanding, mapping and resolving child poverty in Wales is the devolution of data access by </w:t>
      </w:r>
      <w:r w:rsidRPr="008A6C65">
        <w:rPr>
          <w:rFonts w:ascii="Calibri" w:hAnsi="Calibri" w:cs="Calibri"/>
          <w:sz w:val="24"/>
          <w:szCs w:val="24"/>
        </w:rPr>
        <w:t>DWP and HMRC to the Welsh government and local authorities.</w:t>
      </w:r>
    </w:p>
    <w:p w:rsidR="008A6C65" w:rsidRPr="008A6C65">
      <w:pPr>
        <w:rPr>
          <w:rFonts w:ascii="Calibri" w:hAnsi="Calibri" w:cs="Calibri"/>
          <w:sz w:val="24"/>
          <w:szCs w:val="24"/>
        </w:rPr>
      </w:pPr>
      <w:r w:rsidRPr="008A6C65">
        <w:rPr>
          <w:rFonts w:ascii="Calibri" w:hAnsi="Calibri" w:cs="Calibri"/>
          <w:sz w:val="24"/>
          <w:szCs w:val="24"/>
        </w:rPr>
        <w:t xml:space="preserve">At present, significant limitations in access to this data mean that </w:t>
      </w:r>
      <w:r w:rsidRPr="008A6C65">
        <w:rPr>
          <w:rFonts w:ascii="Calibri" w:hAnsi="Calibri" w:cs="Calibri"/>
          <w:sz w:val="24"/>
          <w:szCs w:val="24"/>
        </w:rPr>
        <w:t>deolved</w:t>
      </w:r>
      <w:r w:rsidRPr="008A6C65">
        <w:rPr>
          <w:rFonts w:ascii="Calibri" w:hAnsi="Calibri" w:cs="Calibri"/>
          <w:sz w:val="24"/>
          <w:szCs w:val="24"/>
        </w:rPr>
        <w:t xml:space="preserve"> and local partners are operating with an incomplete and often time-lagged picture of need which constrains their ability to identify households experiencing poverty, understand its depth and persistence and</w:t>
      </w:r>
      <w:r w:rsidRPr="008A6C65">
        <w:rPr>
          <w:rFonts w:ascii="Calibri" w:hAnsi="Calibri" w:cs="Calibri"/>
          <w:sz w:val="24"/>
          <w:szCs w:val="24"/>
        </w:rPr>
        <w:t xml:space="preserve"> to respond effectively. </w:t>
      </w:r>
      <w:r w:rsidRPr="008A6C65">
        <w:rPr>
          <w:rFonts w:ascii="Calibri" w:hAnsi="Calibri" w:cs="Calibri"/>
          <w:sz w:val="24"/>
          <w:szCs w:val="24"/>
        </w:rPr>
        <w:t xml:space="preserve"> </w:t>
      </w:r>
      <w:r w:rsidRPr="008A6C65">
        <w:rPr>
          <w:rFonts w:ascii="Calibri" w:hAnsi="Calibri" w:cs="Calibri"/>
          <w:sz w:val="24"/>
          <w:szCs w:val="24"/>
        </w:rPr>
        <w:t xml:space="preserve">Access to timely, granular-level data would enable the more accurate targeting of support, real-time monitoring of need and paint a clearer picture of how poverty changes over time across Wales. </w:t>
      </w:r>
    </w:p>
    <w:p w:rsidR="008A6C65" w:rsidRPr="008A6C65" w:rsidP="00115C46">
      <w:pPr>
        <w:rPr>
          <w:rFonts w:ascii="Calibri" w:hAnsi="Calibri" w:cs="Calibri"/>
          <w:sz w:val="24"/>
          <w:szCs w:val="24"/>
        </w:rPr>
      </w:pPr>
      <w:r w:rsidRPr="008A6C65">
        <w:rPr>
          <w:rFonts w:ascii="Calibri" w:hAnsi="Calibri" w:cs="Calibri"/>
          <w:sz w:val="24"/>
          <w:szCs w:val="24"/>
        </w:rPr>
        <w:t xml:space="preserve">Within the UK Government’s Child Poverty Strategy, the Monitoring and Evaluation Framework commits to collaborating with the devolved governments to complement existing national plans and reflect regional variation where powers are devolved. </w:t>
      </w:r>
      <w:r w:rsidRPr="008A6C65">
        <w:rPr>
          <w:rFonts w:ascii="Calibri" w:hAnsi="Calibri" w:cs="Calibri"/>
          <w:sz w:val="24"/>
          <w:szCs w:val="24"/>
        </w:rPr>
        <w:t xml:space="preserve">To deliver on this, there is a need for a more coherent, shared data infrastructure to be established that enables secure data sharing, consistent measurement and analysis across all levels of government and partner organisations. This </w:t>
      </w:r>
      <w:r w:rsidRPr="008A6C65">
        <w:rPr>
          <w:rFonts w:ascii="Calibri" w:hAnsi="Calibri" w:cs="Calibri"/>
          <w:sz w:val="24"/>
          <w:szCs w:val="24"/>
        </w:rPr>
        <w:t>infrastructure</w:t>
      </w:r>
      <w:r w:rsidRPr="008A6C65">
        <w:rPr>
          <w:rFonts w:ascii="Calibri" w:hAnsi="Calibri" w:cs="Calibri"/>
          <w:sz w:val="24"/>
          <w:szCs w:val="24"/>
        </w:rPr>
        <w:t xml:space="preserve"> should also be supported by investment in analysis capa</w:t>
      </w:r>
      <w:r w:rsidRPr="008A6C65">
        <w:rPr>
          <w:rFonts w:ascii="Calibri" w:hAnsi="Calibri" w:cs="Calibri"/>
          <w:sz w:val="24"/>
          <w:szCs w:val="24"/>
        </w:rPr>
        <w:t xml:space="preserve">city and better integration of </w:t>
      </w:r>
      <w:r w:rsidRPr="008A6C65">
        <w:rPr>
          <w:rFonts w:ascii="Calibri" w:hAnsi="Calibri" w:cs="Calibri"/>
          <w:sz w:val="24"/>
          <w:szCs w:val="24"/>
        </w:rPr>
        <w:t>administrative</w:t>
      </w:r>
      <w:r w:rsidRPr="008A6C65">
        <w:rPr>
          <w:rFonts w:ascii="Calibri" w:hAnsi="Calibri" w:cs="Calibri"/>
          <w:sz w:val="24"/>
          <w:szCs w:val="24"/>
        </w:rPr>
        <w:t xml:space="preserve"> and service-level data </w:t>
      </w:r>
      <w:r w:rsidRPr="008A6C65">
        <w:rPr>
          <w:rFonts w:ascii="Calibri" w:hAnsi="Calibri" w:cs="Calibri"/>
          <w:sz w:val="24"/>
          <w:szCs w:val="24"/>
        </w:rPr>
        <w:t>in order to</w:t>
      </w:r>
      <w:r w:rsidRPr="008A6C65">
        <w:rPr>
          <w:rFonts w:ascii="Calibri" w:hAnsi="Calibri" w:cs="Calibri"/>
          <w:sz w:val="24"/>
          <w:szCs w:val="24"/>
        </w:rPr>
        <w:t xml:space="preserve"> ensure that improved data collection and sharing </w:t>
      </w:r>
      <w:r w:rsidRPr="008A6C65">
        <w:rPr>
          <w:rFonts w:ascii="Calibri" w:hAnsi="Calibri" w:cs="Calibri"/>
          <w:sz w:val="24"/>
          <w:szCs w:val="24"/>
        </w:rPr>
        <w:t>translate</w:t>
      </w:r>
      <w:r w:rsidRPr="008A6C65">
        <w:rPr>
          <w:rFonts w:ascii="Calibri" w:hAnsi="Calibri" w:cs="Calibri"/>
          <w:sz w:val="24"/>
          <w:szCs w:val="24"/>
        </w:rPr>
        <w:t xml:space="preserve"> into effective policy responses to reduce child poverty. </w:t>
      </w:r>
    </w:p>
    <w:p w:rsidR="008A6C65" w:rsidRPr="008A6C65">
      <w:pPr>
        <w:rPr>
          <w:rFonts w:ascii="Calibri" w:hAnsi="Calibri" w:cs="Calibri"/>
          <w:sz w:val="24"/>
          <w:szCs w:val="24"/>
        </w:rPr>
      </w:pPr>
    </w:p>
    <w:p w:rsidR="008A6C65" w:rsidRPr="008A6C65">
      <w:pPr>
        <w:rPr>
          <w:rFonts w:ascii="Calibri" w:hAnsi="Calibri" w:cs="Calibri"/>
          <w:b/>
          <w:bCs/>
          <w:sz w:val="24"/>
          <w:szCs w:val="24"/>
        </w:rPr>
      </w:pPr>
      <w:r w:rsidRPr="008A6C65">
        <w:rPr>
          <w:rFonts w:ascii="Calibri" w:hAnsi="Calibri" w:cs="Calibri"/>
          <w:b/>
          <w:bCs/>
          <w:sz w:val="24"/>
          <w:szCs w:val="24"/>
        </w:rPr>
        <w:t>Question 6 – How could better data be harnessed to design and deliver measures that more effectively address child poverty in Wales?</w:t>
      </w:r>
    </w:p>
    <w:p w:rsidR="008A6C65" w:rsidRPr="008A6C65">
      <w:pPr>
        <w:rPr>
          <w:rFonts w:ascii="Calibri" w:hAnsi="Calibri" w:cs="Calibri"/>
          <w:sz w:val="24"/>
          <w:szCs w:val="24"/>
        </w:rPr>
      </w:pPr>
      <w:r w:rsidRPr="008A6C65">
        <w:rPr>
          <w:rFonts w:ascii="Calibri" w:hAnsi="Calibri" w:cs="Calibri"/>
          <w:sz w:val="24"/>
          <w:szCs w:val="24"/>
        </w:rPr>
        <w:t xml:space="preserve">Data can be used to more effectively address child poverty in </w:t>
      </w:r>
      <w:r w:rsidRPr="008A6C65">
        <w:rPr>
          <w:rFonts w:ascii="Calibri" w:hAnsi="Calibri" w:cs="Calibri"/>
          <w:sz w:val="24"/>
          <w:szCs w:val="24"/>
        </w:rPr>
        <w:t>a num</w:t>
      </w:r>
      <w:r w:rsidRPr="008A6C65">
        <w:rPr>
          <w:rFonts w:ascii="Calibri" w:hAnsi="Calibri" w:cs="Calibri"/>
          <w:sz w:val="24"/>
          <w:szCs w:val="24"/>
        </w:rPr>
        <w:t>ber of</w:t>
      </w:r>
      <w:r w:rsidRPr="008A6C65">
        <w:rPr>
          <w:rFonts w:ascii="Calibri" w:hAnsi="Calibri" w:cs="Calibri"/>
          <w:sz w:val="24"/>
          <w:szCs w:val="24"/>
        </w:rPr>
        <w:t xml:space="preserve"> ways. </w:t>
      </w:r>
    </w:p>
    <w:p w:rsidR="008A6C65" w:rsidRPr="008A6C65">
      <w:pPr>
        <w:rPr>
          <w:rFonts w:ascii="Calibri" w:hAnsi="Calibri" w:cs="Calibri"/>
          <w:sz w:val="24"/>
          <w:szCs w:val="24"/>
        </w:rPr>
      </w:pPr>
      <w:r w:rsidRPr="008A6C65">
        <w:rPr>
          <w:rFonts w:ascii="Calibri" w:hAnsi="Calibri" w:cs="Calibri"/>
          <w:sz w:val="24"/>
          <w:szCs w:val="24"/>
        </w:rPr>
        <w:t>Firstly,</w:t>
      </w:r>
      <w:r w:rsidRPr="008A6C65">
        <w:rPr>
          <w:rFonts w:ascii="Calibri" w:hAnsi="Calibri" w:cs="Calibri"/>
          <w:sz w:val="24"/>
          <w:szCs w:val="24"/>
        </w:rPr>
        <w:t xml:space="preserve"> through auto-enrolment; with access to richer and clearer data, local authorities can auto-enrol households onto a number of </w:t>
      </w:r>
      <w:r w:rsidRPr="008A6C65">
        <w:rPr>
          <w:rFonts w:ascii="Calibri" w:hAnsi="Calibri" w:cs="Calibri"/>
          <w:sz w:val="24"/>
          <w:szCs w:val="24"/>
        </w:rPr>
        <w:t>locally-administered</w:t>
      </w:r>
      <w:r w:rsidRPr="008A6C65">
        <w:rPr>
          <w:rFonts w:ascii="Calibri" w:hAnsi="Calibri" w:cs="Calibri"/>
          <w:sz w:val="24"/>
          <w:szCs w:val="24"/>
        </w:rPr>
        <w:t xml:space="preserve"> benefits, such as Free School Meals, Council Tax Reduction and </w:t>
      </w:r>
      <w:r w:rsidRPr="008A6C65">
        <w:rPr>
          <w:rFonts w:ascii="Calibri" w:hAnsi="Calibri" w:cs="Calibri"/>
          <w:sz w:val="24"/>
          <w:szCs w:val="24"/>
        </w:rPr>
        <w:t xml:space="preserve">any local welfare assistance schemes in place. Auto-enrolment </w:t>
      </w:r>
      <w:r w:rsidRPr="008A6C65">
        <w:rPr>
          <w:rFonts w:ascii="Calibri" w:hAnsi="Calibri" w:cs="Calibri"/>
          <w:sz w:val="24"/>
          <w:szCs w:val="24"/>
        </w:rPr>
        <w:t xml:space="preserve">significantly increases take-up, reduces household costs, reduces stigma and limits the administrative burden upon councils. </w:t>
      </w:r>
    </w:p>
    <w:p w:rsidR="008A6C65" w:rsidRPr="008A6C65" w:rsidP="6AF43081">
      <w:pPr>
        <w:spacing w:before="100" w:beforeAutospacing="1" w:after="240" w:line="276" w:lineRule="auto"/>
        <w:rPr>
          <w:rFonts w:ascii="Calibri" w:hAnsi="Calibri" w:cs="Calibri"/>
          <w:sz w:val="24"/>
          <w:szCs w:val="24"/>
        </w:rPr>
      </w:pPr>
      <w:r w:rsidRPr="008A6C65">
        <w:rPr>
          <w:rFonts w:ascii="Calibri" w:hAnsi="Calibri" w:cs="Calibri"/>
          <w:sz w:val="24"/>
          <w:szCs w:val="24"/>
        </w:rPr>
        <w:t xml:space="preserve">Second, devolved access </w:t>
      </w:r>
      <w:r w:rsidRPr="008A6C65">
        <w:rPr>
          <w:rFonts w:ascii="Calibri" w:hAnsi="Calibri" w:cs="Calibri"/>
          <w:sz w:val="24"/>
          <w:szCs w:val="24"/>
        </w:rPr>
        <w:t xml:space="preserve">to </w:t>
      </w:r>
      <w:r w:rsidRPr="008A6C65">
        <w:rPr>
          <w:rFonts w:ascii="Calibri" w:hAnsi="Calibri" w:cs="Calibri"/>
          <w:sz w:val="24"/>
          <w:szCs w:val="24"/>
        </w:rPr>
        <w:t>household-level</w:t>
      </w:r>
      <w:r w:rsidRPr="008A6C65">
        <w:rPr>
          <w:rFonts w:ascii="Calibri" w:hAnsi="Calibri" w:cs="Calibri"/>
          <w:sz w:val="24"/>
          <w:szCs w:val="24"/>
        </w:rPr>
        <w:t xml:space="preserve"> social security data can support</w:t>
      </w:r>
      <w:r w:rsidRPr="008A6C65">
        <w:rPr>
          <w:rFonts w:ascii="Calibri" w:hAnsi="Calibri" w:cs="Calibri"/>
          <w:sz w:val="24"/>
          <w:szCs w:val="24"/>
        </w:rPr>
        <w:t xml:space="preserve"> welfare rights </w:t>
      </w:r>
      <w:r w:rsidRPr="008A6C65">
        <w:rPr>
          <w:rFonts w:ascii="Calibri" w:hAnsi="Calibri" w:cs="Calibri"/>
          <w:sz w:val="24"/>
          <w:szCs w:val="24"/>
        </w:rPr>
        <w:t xml:space="preserve">and debt advice </w:t>
      </w:r>
      <w:r w:rsidRPr="008A6C65">
        <w:rPr>
          <w:rFonts w:ascii="Calibri" w:hAnsi="Calibri" w:cs="Calibri"/>
          <w:sz w:val="24"/>
          <w:szCs w:val="24"/>
        </w:rPr>
        <w:t xml:space="preserve">services </w:t>
      </w:r>
      <w:r w:rsidRPr="008A6C65">
        <w:rPr>
          <w:rFonts w:ascii="Calibri" w:hAnsi="Calibri" w:cs="Calibri"/>
          <w:sz w:val="24"/>
          <w:szCs w:val="24"/>
        </w:rPr>
        <w:t xml:space="preserve">to </w:t>
      </w:r>
      <w:r w:rsidRPr="008A6C65">
        <w:rPr>
          <w:rFonts w:ascii="Calibri" w:hAnsi="Calibri" w:cs="Calibri"/>
          <w:sz w:val="24"/>
          <w:szCs w:val="24"/>
        </w:rPr>
        <w:t xml:space="preserve">identify and reach people who have </w:t>
      </w:r>
      <w:r w:rsidRPr="008A6C65">
        <w:rPr>
          <w:rFonts w:ascii="Calibri" w:hAnsi="Calibri" w:cs="Calibri"/>
          <w:sz w:val="24"/>
          <w:szCs w:val="24"/>
        </w:rPr>
        <w:t>‘</w:t>
      </w:r>
      <w:r w:rsidRPr="008A6C65">
        <w:rPr>
          <w:rFonts w:ascii="Calibri" w:hAnsi="Calibri" w:cs="Calibri"/>
          <w:sz w:val="24"/>
          <w:szCs w:val="24"/>
        </w:rPr>
        <w:t>fallen below the radar.</w:t>
      </w:r>
      <w:r w:rsidRPr="008A6C65">
        <w:rPr>
          <w:rFonts w:ascii="Calibri" w:hAnsi="Calibri" w:cs="Calibri"/>
          <w:sz w:val="24"/>
          <w:szCs w:val="24"/>
        </w:rPr>
        <w:t>’</w:t>
      </w:r>
      <w:r w:rsidRPr="008A6C65">
        <w:rPr>
          <w:rFonts w:ascii="Calibri" w:hAnsi="Calibri" w:cs="Calibri"/>
          <w:sz w:val="24"/>
          <w:szCs w:val="24"/>
        </w:rPr>
        <w:t xml:space="preserve"> Participants in our research noted that national policy has</w:t>
      </w:r>
      <w:r w:rsidRPr="008A6C65">
        <w:rPr>
          <w:rFonts w:ascii="Calibri" w:hAnsi="Calibri" w:cs="Calibri"/>
          <w:sz w:val="24"/>
          <w:szCs w:val="24"/>
        </w:rPr>
        <w:t xml:space="preserve"> </w:t>
      </w:r>
      <w:r w:rsidRPr="008A6C65">
        <w:rPr>
          <w:rFonts w:ascii="Calibri" w:hAnsi="Calibri" w:cs="Calibri"/>
          <w:sz w:val="24"/>
          <w:szCs w:val="24"/>
        </w:rPr>
        <w:t xml:space="preserve">weakened these services over recent years, notably as Housing Benefit </w:t>
      </w:r>
      <w:r w:rsidRPr="008A6C65">
        <w:rPr>
          <w:rFonts w:ascii="Calibri" w:hAnsi="Calibri" w:cs="Calibri"/>
          <w:sz w:val="24"/>
          <w:szCs w:val="24"/>
        </w:rPr>
        <w:t xml:space="preserve">has been subsumed </w:t>
      </w:r>
      <w:r w:rsidRPr="008A6C65">
        <w:rPr>
          <w:rFonts w:ascii="Calibri" w:hAnsi="Calibri" w:cs="Calibri"/>
          <w:sz w:val="24"/>
          <w:szCs w:val="24"/>
        </w:rPr>
        <w:t xml:space="preserve">into Universal Credit </w:t>
      </w:r>
      <w:r w:rsidRPr="008A6C65">
        <w:rPr>
          <w:rFonts w:ascii="Calibri" w:hAnsi="Calibri" w:cs="Calibri"/>
          <w:sz w:val="24"/>
          <w:szCs w:val="24"/>
        </w:rPr>
        <w:t xml:space="preserve">which </w:t>
      </w:r>
      <w:r w:rsidRPr="008A6C65">
        <w:rPr>
          <w:rFonts w:ascii="Calibri" w:hAnsi="Calibri" w:cs="Calibri"/>
          <w:sz w:val="24"/>
          <w:szCs w:val="24"/>
        </w:rPr>
        <w:t xml:space="preserve">“sucks the data </w:t>
      </w:r>
      <w:r w:rsidRPr="008A6C65">
        <w:rPr>
          <w:rFonts w:ascii="Calibri" w:hAnsi="Calibri" w:cs="Calibri"/>
          <w:sz w:val="24"/>
          <w:szCs w:val="24"/>
        </w:rPr>
        <w:t>back up</w:t>
      </w:r>
      <w:r w:rsidRPr="008A6C65">
        <w:rPr>
          <w:rFonts w:ascii="Calibri" w:hAnsi="Calibri" w:cs="Calibri"/>
          <w:sz w:val="24"/>
          <w:szCs w:val="24"/>
        </w:rPr>
        <w:t>” from local to central government, making it harder for councils to identify those in need of support.</w:t>
      </w:r>
    </w:p>
    <w:p w:rsidR="008A6C65" w:rsidRPr="008A6C65" w:rsidP="6AF43081">
      <w:pPr>
        <w:spacing w:before="100" w:beforeAutospacing="1" w:after="240" w:line="276" w:lineRule="auto"/>
        <w:rPr>
          <w:rFonts w:ascii="Calibri" w:hAnsi="Calibri" w:cs="Calibri"/>
          <w:sz w:val="24"/>
          <w:szCs w:val="24"/>
        </w:rPr>
      </w:pPr>
      <w:r w:rsidRPr="008A6C65">
        <w:rPr>
          <w:rFonts w:ascii="Calibri" w:hAnsi="Calibri" w:cs="Calibri"/>
          <w:sz w:val="24"/>
          <w:szCs w:val="24"/>
        </w:rPr>
        <w:t xml:space="preserve">Third, such data can support local authorities to proactively </w:t>
      </w:r>
      <w:r w:rsidRPr="008A6C65">
        <w:rPr>
          <w:rFonts w:ascii="Calibri" w:hAnsi="Calibri" w:cs="Calibri"/>
          <w:sz w:val="24"/>
          <w:szCs w:val="24"/>
        </w:rPr>
        <w:t>identify</w:t>
      </w:r>
      <w:r w:rsidRPr="008A6C65">
        <w:rPr>
          <w:rFonts w:ascii="Calibri" w:hAnsi="Calibri" w:cs="Calibri"/>
          <w:sz w:val="24"/>
          <w:szCs w:val="24"/>
        </w:rPr>
        <w:t xml:space="preserve"> and support households affected by the overall benefit cap</w:t>
      </w:r>
      <w:r w:rsidRPr="008A6C65">
        <w:rPr>
          <w:rFonts w:ascii="Calibri" w:hAnsi="Calibri" w:cs="Calibri"/>
          <w:sz w:val="24"/>
          <w:szCs w:val="24"/>
        </w:rPr>
        <w:t xml:space="preserve"> and </w:t>
      </w:r>
      <w:r w:rsidRPr="008A6C65">
        <w:rPr>
          <w:rFonts w:ascii="Calibri" w:hAnsi="Calibri" w:cs="Calibri"/>
          <w:sz w:val="24"/>
          <w:szCs w:val="24"/>
        </w:rPr>
        <w:t xml:space="preserve">whose housing support (from Universal Credit housing element or legacy Housing Benefit) is insufficient to cover </w:t>
      </w:r>
      <w:r w:rsidRPr="008A6C65">
        <w:rPr>
          <w:rFonts w:ascii="Calibri" w:hAnsi="Calibri" w:cs="Calibri"/>
          <w:sz w:val="24"/>
          <w:szCs w:val="24"/>
        </w:rPr>
        <w:t xml:space="preserve">their rent. </w:t>
      </w:r>
      <w:r w:rsidRPr="008A6C65">
        <w:rPr>
          <w:rFonts w:ascii="Calibri" w:hAnsi="Calibri" w:cs="Calibri"/>
          <w:sz w:val="24"/>
          <w:szCs w:val="24"/>
        </w:rPr>
        <w:t>Across Wales, of the 73</w:t>
      </w:r>
      <w:r w:rsidRPr="008A6C65">
        <w:rPr>
          <w:rFonts w:ascii="Calibri" w:hAnsi="Calibri" w:cs="Calibri"/>
          <w:sz w:val="24"/>
          <w:szCs w:val="24"/>
        </w:rPr>
        <w:t>,</w:t>
      </w:r>
      <w:r w:rsidRPr="008A6C65">
        <w:rPr>
          <w:rFonts w:ascii="Calibri" w:hAnsi="Calibri" w:cs="Calibri"/>
          <w:sz w:val="24"/>
          <w:szCs w:val="24"/>
        </w:rPr>
        <w:t xml:space="preserve">200 households claiming the housing element of Universal Credit, almost </w:t>
      </w:r>
      <w:r w:rsidRPr="008A6C65">
        <w:rPr>
          <w:rFonts w:ascii="Calibri" w:hAnsi="Calibri" w:cs="Calibri"/>
          <w:sz w:val="24"/>
          <w:szCs w:val="24"/>
        </w:rPr>
        <w:t>two-thirds (</w:t>
      </w:r>
      <w:r w:rsidRPr="008A6C65">
        <w:rPr>
          <w:rFonts w:ascii="Calibri" w:hAnsi="Calibri" w:cs="Calibri"/>
          <w:sz w:val="24"/>
          <w:szCs w:val="24"/>
        </w:rPr>
        <w:t>48</w:t>
      </w:r>
      <w:r w:rsidRPr="008A6C65">
        <w:rPr>
          <w:rFonts w:ascii="Calibri" w:hAnsi="Calibri" w:cs="Calibri"/>
          <w:sz w:val="24"/>
          <w:szCs w:val="24"/>
        </w:rPr>
        <w:t>,</w:t>
      </w:r>
      <w:r w:rsidRPr="008A6C65">
        <w:rPr>
          <w:rFonts w:ascii="Calibri" w:hAnsi="Calibri" w:cs="Calibri"/>
          <w:sz w:val="24"/>
          <w:szCs w:val="24"/>
        </w:rPr>
        <w:t>200</w:t>
      </w:r>
      <w:r w:rsidRPr="008A6C65">
        <w:rPr>
          <w:rFonts w:ascii="Calibri" w:hAnsi="Calibri" w:cs="Calibri"/>
          <w:sz w:val="24"/>
          <w:szCs w:val="24"/>
        </w:rPr>
        <w:t xml:space="preserve"> households) </w:t>
      </w:r>
      <w:r w:rsidRPr="008A6C65">
        <w:rPr>
          <w:rFonts w:ascii="Calibri" w:hAnsi="Calibri" w:cs="Calibri"/>
          <w:sz w:val="24"/>
          <w:szCs w:val="24"/>
        </w:rPr>
        <w:t xml:space="preserve">see a shortfall between their housing support and the cost of rent due to </w:t>
      </w:r>
      <w:r w:rsidRPr="008A6C65">
        <w:rPr>
          <w:rFonts w:ascii="Calibri" w:hAnsi="Calibri" w:cs="Calibri"/>
          <w:sz w:val="24"/>
          <w:szCs w:val="24"/>
        </w:rPr>
        <w:t xml:space="preserve">inadequate </w:t>
      </w:r>
      <w:r w:rsidRPr="008A6C65">
        <w:rPr>
          <w:rFonts w:ascii="Calibri" w:hAnsi="Calibri" w:cs="Calibri"/>
          <w:sz w:val="24"/>
          <w:szCs w:val="24"/>
        </w:rPr>
        <w:t>local housing allowance (LHA)</w:t>
      </w:r>
      <w:r w:rsidRPr="008A6C65">
        <w:rPr>
          <w:rFonts w:ascii="Calibri" w:hAnsi="Calibri" w:cs="Calibri"/>
          <w:sz w:val="24"/>
          <w:szCs w:val="24"/>
        </w:rPr>
        <w:t xml:space="preserve"> rates. </w:t>
      </w:r>
      <w:r w:rsidRPr="008A6C65">
        <w:rPr>
          <w:rFonts w:ascii="Calibri" w:hAnsi="Calibri" w:cs="Calibri"/>
          <w:sz w:val="24"/>
          <w:szCs w:val="24"/>
        </w:rPr>
        <w:t xml:space="preserve">Meanwhile, </w:t>
      </w:r>
      <w:r w:rsidRPr="008A6C65">
        <w:rPr>
          <w:rFonts w:ascii="Calibri" w:hAnsi="Calibri" w:cs="Calibri"/>
          <w:sz w:val="24"/>
          <w:szCs w:val="24"/>
        </w:rPr>
        <w:t>more than 2</w:t>
      </w:r>
      <w:r w:rsidRPr="008A6C65">
        <w:rPr>
          <w:rFonts w:ascii="Calibri" w:hAnsi="Calibri" w:cs="Calibri"/>
          <w:sz w:val="24"/>
          <w:szCs w:val="24"/>
        </w:rPr>
        <w:t>,</w:t>
      </w:r>
      <w:r w:rsidRPr="008A6C65">
        <w:rPr>
          <w:rFonts w:ascii="Calibri" w:hAnsi="Calibri" w:cs="Calibri"/>
          <w:sz w:val="24"/>
          <w:szCs w:val="24"/>
        </w:rPr>
        <w:t xml:space="preserve">800 households have their Universal Credit </w:t>
      </w:r>
      <w:r w:rsidRPr="008A6C65">
        <w:rPr>
          <w:rFonts w:ascii="Calibri" w:hAnsi="Calibri" w:cs="Calibri"/>
          <w:sz w:val="24"/>
          <w:szCs w:val="24"/>
        </w:rPr>
        <w:t xml:space="preserve">capped by the overall benefit cap. </w:t>
      </w:r>
      <w:r w:rsidRPr="008A6C65">
        <w:rPr>
          <w:rFonts w:ascii="Calibri" w:hAnsi="Calibri" w:cs="Calibri"/>
          <w:sz w:val="24"/>
          <w:szCs w:val="24"/>
        </w:rPr>
        <w:t xml:space="preserve">Almost all (98%) of these households are households with children. </w:t>
      </w:r>
      <w:r w:rsidRPr="008A6C65">
        <w:rPr>
          <w:rFonts w:ascii="Calibri" w:hAnsi="Calibri" w:cs="Calibri"/>
          <w:sz w:val="24"/>
          <w:szCs w:val="24"/>
        </w:rPr>
        <w:t>Better access to household-level social security data would enable Welsh local authorities to proactively target discretionary support to such households through the Crisis and Resilience Fund</w:t>
      </w:r>
      <w:r w:rsidRPr="008A6C65">
        <w:rPr>
          <w:rFonts w:ascii="Calibri" w:hAnsi="Calibri" w:cs="Calibri"/>
          <w:sz w:val="24"/>
          <w:szCs w:val="24"/>
        </w:rPr>
        <w:t xml:space="preserve"> and local welfare schemes. </w:t>
      </w:r>
    </w:p>
    <w:p w:rsidR="008A6C65" w:rsidRPr="008A6C65">
      <w:pPr>
        <w:rPr>
          <w:rFonts w:ascii="Calibri" w:hAnsi="Calibri" w:cs="Calibri"/>
          <w:sz w:val="24"/>
          <w:szCs w:val="24"/>
        </w:rPr>
      </w:pPr>
      <w:r w:rsidRPr="008A6C65">
        <w:rPr>
          <w:rFonts w:ascii="Calibri" w:hAnsi="Calibri" w:cs="Calibri"/>
          <w:sz w:val="24"/>
          <w:szCs w:val="24"/>
        </w:rPr>
        <w:t xml:space="preserve">As already discussed, improved access to UK </w:t>
      </w:r>
      <w:r w:rsidRPr="008A6C65">
        <w:rPr>
          <w:rFonts w:ascii="Calibri" w:hAnsi="Calibri" w:cs="Calibri"/>
          <w:sz w:val="24"/>
          <w:szCs w:val="24"/>
        </w:rPr>
        <w:t xml:space="preserve">government departments’ data would allow local authorities to identify households at risk of </w:t>
      </w:r>
      <w:r w:rsidRPr="008A6C65">
        <w:rPr>
          <w:rFonts w:ascii="Calibri" w:hAnsi="Calibri" w:cs="Calibri"/>
          <w:sz w:val="24"/>
          <w:szCs w:val="24"/>
        </w:rPr>
        <w:t>poverty, target support and intervention at an earlier stage and prioritise ‘at risk’ group</w:t>
      </w:r>
      <w:r w:rsidRPr="008A6C65">
        <w:rPr>
          <w:rFonts w:ascii="Calibri" w:hAnsi="Calibri" w:cs="Calibri"/>
          <w:sz w:val="24"/>
          <w:szCs w:val="24"/>
        </w:rPr>
        <w:t>s</w:t>
      </w:r>
      <w:r w:rsidRPr="008A6C65">
        <w:rPr>
          <w:rFonts w:ascii="Calibri" w:hAnsi="Calibri" w:cs="Calibri"/>
          <w:sz w:val="24"/>
          <w:szCs w:val="24"/>
        </w:rPr>
        <w:t xml:space="preserve">. This would support a transition from crisis response to early intervention. </w:t>
      </w:r>
    </w:p>
    <w:p w:rsidR="008A6C65" w:rsidRPr="008A6C65">
      <w:pPr>
        <w:rPr>
          <w:rFonts w:ascii="Calibri" w:hAnsi="Calibri" w:cs="Calibri"/>
          <w:sz w:val="24"/>
          <w:szCs w:val="24"/>
        </w:rPr>
      </w:pPr>
    </w:p>
    <w:p w:rsidR="008A6C65" w:rsidRPr="008A6C65">
      <w:pPr>
        <w:rPr>
          <w:rFonts w:ascii="Calibri" w:hAnsi="Calibri" w:cs="Calibri"/>
          <w:sz w:val="24"/>
          <w:szCs w:val="24"/>
        </w:rPr>
      </w:pPr>
    </w:p>
    <w:p w:rsidR="008A6C65" w:rsidRPr="008A6C65">
      <w:pPr>
        <w:rPr>
          <w:rFonts w:ascii="Calibri" w:hAnsi="Calibri" w:cs="Calibri"/>
          <w:b/>
          <w:bCs/>
          <w:sz w:val="24"/>
          <w:szCs w:val="24"/>
        </w:rPr>
      </w:pPr>
      <w:r w:rsidRPr="008A6C65">
        <w:rPr>
          <w:rFonts w:ascii="Calibri" w:hAnsi="Calibri" w:cs="Calibri"/>
          <w:b/>
          <w:bCs/>
          <w:sz w:val="24"/>
          <w:szCs w:val="24"/>
        </w:rPr>
        <w:t>References:</w:t>
      </w:r>
    </w:p>
    <w:p w:rsidR="008A6C65" w:rsidRPr="008A6C65">
      <w:pPr>
        <w:rPr>
          <w:rFonts w:ascii="Calibri" w:hAnsi="Calibri" w:cs="Calibri"/>
          <w:sz w:val="24"/>
          <w:szCs w:val="24"/>
        </w:rPr>
      </w:pPr>
      <w:r w:rsidRPr="008A6C65">
        <w:rPr>
          <w:rFonts w:ascii="Calibri" w:hAnsi="Calibri" w:cs="Calibri"/>
          <w:sz w:val="24"/>
          <w:szCs w:val="24"/>
        </w:rPr>
        <w:t xml:space="preserve">Joseph Rowntree Foundation (2026) </w:t>
      </w:r>
      <w:r w:rsidRPr="008A6C65">
        <w:rPr>
          <w:rFonts w:ascii="Calibri" w:hAnsi="Calibri" w:cs="Calibri"/>
          <w:i/>
          <w:iCs/>
          <w:sz w:val="24"/>
          <w:szCs w:val="24"/>
        </w:rPr>
        <w:t xml:space="preserve">Guarantee our Essentials: Reforming Universal Credit to </w:t>
      </w:r>
      <w:r w:rsidRPr="008A6C65">
        <w:rPr>
          <w:rFonts w:ascii="Calibri" w:hAnsi="Calibri" w:cs="Calibri"/>
          <w:i/>
          <w:iCs/>
          <w:sz w:val="24"/>
          <w:szCs w:val="24"/>
        </w:rPr>
        <w:t>esnure</w:t>
      </w:r>
      <w:r w:rsidRPr="008A6C65">
        <w:rPr>
          <w:rFonts w:ascii="Calibri" w:hAnsi="Calibri" w:cs="Calibri"/>
          <w:i/>
          <w:iCs/>
          <w:sz w:val="24"/>
          <w:szCs w:val="24"/>
        </w:rPr>
        <w:t xml:space="preserve"> we can all afford the essentials in hard times. </w:t>
      </w:r>
      <w:r w:rsidRPr="008A6C65">
        <w:rPr>
          <w:rFonts w:ascii="Calibri" w:hAnsi="Calibri" w:cs="Calibri"/>
          <w:sz w:val="24"/>
          <w:szCs w:val="24"/>
        </w:rPr>
        <w:t xml:space="preserve">Available at: </w:t>
      </w:r>
      <w:r>
        <w:fldChar w:fldCharType="begin"/>
      </w:r>
      <w:r>
        <w:instrText xml:space="preserve"> HYPERLINK "https://www.jrf.org.uk/social-security/guarantee-our-essentials-reforming-universal-credit-to-ensure-we-can-all-afford-the" </w:instrText>
      </w:r>
      <w:r>
        <w:fldChar w:fldCharType="separate"/>
      </w:r>
      <w:r w:rsidRPr="008A6C65">
        <w:rPr>
          <w:rStyle w:val="Hyperlink"/>
          <w:rFonts w:ascii="Calibri" w:hAnsi="Calibri" w:cs="Calibri"/>
          <w:sz w:val="24"/>
          <w:szCs w:val="24"/>
        </w:rPr>
        <w:t>https://www.jrf.org.uk/social-security/guarantee-our-essentials-reforming-universal-credit-to-ensure-we-can-all-afford-the</w:t>
      </w:r>
      <w:r>
        <w:fldChar w:fldCharType="end"/>
      </w:r>
      <w:r w:rsidRPr="008A6C65">
        <w:rPr>
          <w:rFonts w:ascii="Calibri" w:hAnsi="Calibri" w:cs="Calibri"/>
          <w:sz w:val="24"/>
          <w:szCs w:val="24"/>
        </w:rPr>
        <w:t xml:space="preserve"> . (Accessed 30 April 2026). </w:t>
      </w:r>
    </w:p>
    <w:p w:rsidR="008A6C65" w:rsidRPr="008A6C65">
      <w:pPr>
        <w:rPr>
          <w:rFonts w:ascii="Calibri" w:hAnsi="Calibri" w:cs="Calibri"/>
          <w:sz w:val="24"/>
          <w:szCs w:val="24"/>
        </w:rPr>
      </w:pPr>
      <w:r w:rsidRPr="008A6C65">
        <w:rPr>
          <w:rFonts w:ascii="Calibri" w:hAnsi="Calibri" w:cs="Calibri"/>
          <w:sz w:val="24"/>
          <w:szCs w:val="24"/>
        </w:rPr>
        <w:t xml:space="preserve">Joseph Rowntree Foundation (2026) </w:t>
      </w:r>
      <w:r w:rsidRPr="008A6C65">
        <w:rPr>
          <w:rFonts w:ascii="Calibri" w:hAnsi="Calibri" w:cs="Calibri"/>
          <w:i/>
          <w:iCs/>
          <w:sz w:val="24"/>
          <w:szCs w:val="24"/>
        </w:rPr>
        <w:t xml:space="preserve">Overall poverty rates for children, working-age adults and pensioners. </w:t>
      </w:r>
      <w:r w:rsidRPr="008A6C65">
        <w:rPr>
          <w:rFonts w:ascii="Calibri" w:hAnsi="Calibri" w:cs="Calibri"/>
          <w:sz w:val="24"/>
          <w:szCs w:val="24"/>
        </w:rPr>
        <w:t xml:space="preserve">Available at: </w:t>
      </w:r>
      <w:r>
        <w:fldChar w:fldCharType="begin"/>
      </w:r>
      <w:r>
        <w:instrText xml:space="preserve"> HYPERLINK "https://www.jrf.org.uk/uk-poverty-statistics/overall-poverty-rates-for-children-working-age-adults-and-pensioners#:~:text=Single%20working%2Dage%20adults%2C%20no,as%20pensioners%20in%20couple%20households" </w:instrText>
      </w:r>
      <w:r>
        <w:fldChar w:fldCharType="separate"/>
      </w:r>
      <w:r w:rsidRPr="008A6C65">
        <w:rPr>
          <w:rStyle w:val="Hyperlink"/>
          <w:rFonts w:ascii="Calibri" w:hAnsi="Calibri" w:cs="Calibri"/>
          <w:sz w:val="24"/>
          <w:szCs w:val="24"/>
        </w:rPr>
        <w:t>https://www.jrf.org.uk/uk-poverty-statistics/overall-poverty-rates-for-children-working-age-adults-and-pensioners#:~:text=Single%20working%2Dage%20adults%2C%20no,as%20pensioners%20in%20couple%20households</w:t>
      </w:r>
      <w:r>
        <w:fldChar w:fldCharType="end"/>
      </w:r>
      <w:r w:rsidRPr="008A6C65">
        <w:rPr>
          <w:rFonts w:ascii="Calibri" w:hAnsi="Calibri" w:cs="Calibri"/>
          <w:sz w:val="24"/>
          <w:szCs w:val="24"/>
        </w:rPr>
        <w:t xml:space="preserve">. (Accessed 30 April 2026). </w:t>
      </w:r>
    </w:p>
    <w:p w:rsidR="008A6C65" w:rsidRPr="008A6C65" w:rsidP="6AF43081">
      <w:pPr>
        <w:rPr>
          <w:rFonts w:ascii="Calibri" w:hAnsi="Calibri" w:cs="Calibri"/>
          <w:sz w:val="24"/>
          <w:szCs w:val="24"/>
        </w:rPr>
      </w:pPr>
      <w:r w:rsidRPr="008A6C65">
        <w:rPr>
          <w:rFonts w:ascii="Calibri" w:hAnsi="Calibri" w:cs="Calibri"/>
          <w:sz w:val="24"/>
          <w:szCs w:val="24"/>
        </w:rPr>
        <w:t xml:space="preserve">Resolve Poverty and LOCALE (2025) </w:t>
      </w:r>
      <w:r w:rsidRPr="008A6C65">
        <w:rPr>
          <w:rFonts w:ascii="Calibri" w:hAnsi="Calibri" w:cs="Calibri"/>
          <w:i/>
          <w:iCs/>
          <w:sz w:val="24"/>
          <w:szCs w:val="24"/>
        </w:rPr>
        <w:t xml:space="preserve">Mission Critical: The role of English regions and localities in a whole-system approach to tackling poverty. </w:t>
      </w:r>
      <w:r w:rsidRPr="008A6C65">
        <w:rPr>
          <w:rFonts w:ascii="Calibri" w:hAnsi="Calibri" w:cs="Calibri"/>
          <w:sz w:val="24"/>
          <w:szCs w:val="24"/>
        </w:rPr>
        <w:t xml:space="preserve">Available at: </w:t>
      </w:r>
      <w:r>
        <w:fldChar w:fldCharType="begin"/>
      </w:r>
      <w:r>
        <w:instrText xml:space="preserve"> HYPERLINK "https://resolvepoverty.org/mission-critical-the-role-of-english-and-localities-in-a-whole-system-approach-to-tackling-poverty/" </w:instrText>
      </w:r>
      <w:r>
        <w:fldChar w:fldCharType="separate"/>
      </w:r>
      <w:r w:rsidRPr="008A6C65">
        <w:rPr>
          <w:rStyle w:val="Hyperlink"/>
          <w:rFonts w:ascii="Calibri" w:eastAsia="Aptos" w:hAnsi="Calibri" w:cs="Calibri"/>
          <w:sz w:val="24"/>
          <w:szCs w:val="24"/>
        </w:rPr>
        <w:t>https://resolvepoverty.org/mission-critical-the-role-of-english-and-localities-in-a-whole-system-approach-to-tackling-poverty/</w:t>
      </w:r>
      <w:r>
        <w:fldChar w:fldCharType="end"/>
      </w:r>
      <w:r w:rsidRPr="008A6C65">
        <w:rPr>
          <w:rFonts w:ascii="Calibri" w:eastAsia="Aptos" w:hAnsi="Calibri" w:cs="Calibri"/>
          <w:sz w:val="24"/>
          <w:szCs w:val="24"/>
        </w:rPr>
        <w:t xml:space="preserve">. (Accessed 30 April 2026). </w:t>
      </w:r>
    </w:p>
    <w:p w:rsidR="008A6C65" w:rsidRPr="008A6C65">
      <w:pPr>
        <w:rPr>
          <w:rFonts w:ascii="Calibri" w:hAnsi="Calibri" w:cs="Calibri"/>
          <w:sz w:val="24"/>
          <w:szCs w:val="24"/>
        </w:rPr>
      </w:pPr>
    </w:p>
    <w:p w:rsidR="008A6C65" w:rsidRPr="008A6C65">
      <w:pPr>
        <w:rPr>
          <w:rFonts w:ascii="Calibri" w:hAnsi="Calibri" w:cs="Calibri"/>
          <w:i/>
          <w:iCs/>
          <w:sz w:val="24"/>
          <w:szCs w:val="24"/>
        </w:rPr>
      </w:pPr>
      <w:r w:rsidRPr="008A6C65">
        <w:rPr>
          <w:rFonts w:ascii="Calibri" w:hAnsi="Calibri" w:cs="Calibri"/>
          <w:i/>
          <w:iCs/>
          <w:sz w:val="24"/>
          <w:szCs w:val="24"/>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D115ED"/>
    <w:multiLevelType w:val="multilevel"/>
    <w:tmpl w:val="A57C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D6BD2"/>
    <w:multiLevelType w:val="multilevel"/>
    <w:tmpl w:val="6162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07B4A"/>
    <w:multiLevelType w:val="multilevel"/>
    <w:tmpl w:val="494A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993E45"/>
    <w:multiLevelType w:val="multilevel"/>
    <w:tmpl w:val="560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FB1077"/>
    <w:multiLevelType w:val="multilevel"/>
    <w:tmpl w:val="C296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D785F"/>
    <w:multiLevelType w:val="multilevel"/>
    <w:tmpl w:val="7184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154A87"/>
    <w:multiLevelType w:val="multilevel"/>
    <w:tmpl w:val="C71C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D94423"/>
    <w:multiLevelType w:val="multilevel"/>
    <w:tmpl w:val="7AA4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A14A09"/>
    <w:multiLevelType w:val="hybridMultilevel"/>
    <w:tmpl w:val="1F50A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587BAC"/>
    <w:multiLevelType w:val="multilevel"/>
    <w:tmpl w:val="A926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F3168"/>
    <w:multiLevelType w:val="multilevel"/>
    <w:tmpl w:val="2E92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510D8B"/>
    <w:multiLevelType w:val="multilevel"/>
    <w:tmpl w:val="5C4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7F1D43"/>
    <w:multiLevelType w:val="hybridMultilevel"/>
    <w:tmpl w:val="D0FC02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6F3A4FB3"/>
    <w:multiLevelType w:val="multilevel"/>
    <w:tmpl w:val="91FA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E9B07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nsid w:val="7D65554B"/>
    <w:multiLevelType w:val="multilevel"/>
    <w:tmpl w:val="DFCC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6"/>
  </w:num>
  <w:num w:numId="4">
    <w:abstractNumId w:val="10"/>
  </w:num>
  <w:num w:numId="5">
    <w:abstractNumId w:val="4"/>
  </w:num>
  <w:num w:numId="6">
    <w:abstractNumId w:val="11"/>
  </w:num>
  <w:num w:numId="7">
    <w:abstractNumId w:val="7"/>
  </w:num>
  <w:num w:numId="8">
    <w:abstractNumId w:val="15"/>
  </w:num>
  <w:num w:numId="9">
    <w:abstractNumId w:val="3"/>
  </w:num>
  <w:num w:numId="10">
    <w:abstractNumId w:val="9"/>
  </w:num>
  <w:num w:numId="11">
    <w:abstractNumId w:val="5"/>
  </w:num>
  <w:num w:numId="12">
    <w:abstractNumId w:val="13"/>
  </w:num>
  <w:num w:numId="13">
    <w:abstractNumId w:val="2"/>
  </w:num>
  <w:num w:numId="14">
    <w:abstractNumId w:val="0"/>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62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5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5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5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5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51C"/>
    <w:rPr>
      <w:rFonts w:eastAsiaTheme="majorEastAsia" w:cstheme="majorBidi"/>
      <w:color w:val="272727" w:themeColor="text1" w:themeTint="D8"/>
    </w:rPr>
  </w:style>
  <w:style w:type="paragraph" w:styleId="Title">
    <w:name w:val="Title"/>
    <w:basedOn w:val="Normal"/>
    <w:next w:val="Normal"/>
    <w:link w:val="TitleChar"/>
    <w:uiPriority w:val="10"/>
    <w:qFormat/>
    <w:rsid w:val="00462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5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51C"/>
    <w:pPr>
      <w:spacing w:before="160"/>
      <w:jc w:val="center"/>
    </w:pPr>
    <w:rPr>
      <w:i/>
      <w:iCs/>
      <w:color w:val="404040" w:themeColor="text1" w:themeTint="BF"/>
    </w:rPr>
  </w:style>
  <w:style w:type="character" w:customStyle="1" w:styleId="QuoteChar">
    <w:name w:val="Quote Char"/>
    <w:basedOn w:val="DefaultParagraphFont"/>
    <w:link w:val="Quote"/>
    <w:uiPriority w:val="29"/>
    <w:rsid w:val="0046251C"/>
    <w:rPr>
      <w:i/>
      <w:iCs/>
      <w:color w:val="404040" w:themeColor="text1" w:themeTint="BF"/>
    </w:rPr>
  </w:style>
  <w:style w:type="paragraph" w:styleId="ListParagraph">
    <w:name w:val="List Paragraph"/>
    <w:basedOn w:val="Normal"/>
    <w:uiPriority w:val="34"/>
    <w:qFormat/>
    <w:rsid w:val="0046251C"/>
    <w:pPr>
      <w:ind w:left="720"/>
      <w:contextualSpacing/>
    </w:pPr>
  </w:style>
  <w:style w:type="character" w:styleId="IntenseEmphasis">
    <w:name w:val="Intense Emphasis"/>
    <w:basedOn w:val="DefaultParagraphFont"/>
    <w:uiPriority w:val="21"/>
    <w:qFormat/>
    <w:rsid w:val="0046251C"/>
    <w:rPr>
      <w:i/>
      <w:iCs/>
      <w:color w:val="0F4761" w:themeColor="accent1" w:themeShade="BF"/>
    </w:rPr>
  </w:style>
  <w:style w:type="paragraph" w:styleId="IntenseQuote">
    <w:name w:val="Intense Quote"/>
    <w:basedOn w:val="Normal"/>
    <w:next w:val="Normal"/>
    <w:link w:val="IntenseQuoteChar"/>
    <w:uiPriority w:val="30"/>
    <w:qFormat/>
    <w:rsid w:val="00462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51C"/>
    <w:rPr>
      <w:i/>
      <w:iCs/>
      <w:color w:val="0F4761" w:themeColor="accent1" w:themeShade="BF"/>
    </w:rPr>
  </w:style>
  <w:style w:type="character" w:styleId="IntenseReference">
    <w:name w:val="Intense Reference"/>
    <w:basedOn w:val="DefaultParagraphFont"/>
    <w:uiPriority w:val="32"/>
    <w:qFormat/>
    <w:rsid w:val="0046251C"/>
    <w:rPr>
      <w:b/>
      <w:bCs/>
      <w:smallCaps/>
      <w:color w:val="0F4761" w:themeColor="accent1" w:themeShade="BF"/>
      <w:spacing w:val="5"/>
    </w:rPr>
  </w:style>
  <w:style w:type="paragraph" w:customStyle="1" w:styleId="paragraph">
    <w:name w:val="paragraph"/>
    <w:basedOn w:val="Normal"/>
    <w:rsid w:val="0046251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46251C"/>
  </w:style>
  <w:style w:type="character" w:customStyle="1" w:styleId="eop">
    <w:name w:val="eop"/>
    <w:basedOn w:val="DefaultParagraphFont"/>
    <w:rsid w:val="0046251C"/>
  </w:style>
  <w:style w:type="character" w:styleId="Hyperlink">
    <w:name w:val="Hyperlink"/>
    <w:basedOn w:val="DefaultParagraphFont"/>
    <w:uiPriority w:val="99"/>
    <w:unhideWhenUsed/>
    <w:rsid w:val="00271394"/>
    <w:rPr>
      <w:color w:val="467886" w:themeColor="hyperlink"/>
      <w:u w:val="single"/>
    </w:rPr>
  </w:style>
  <w:style w:type="character" w:customStyle="1" w:styleId="UnresolvedMention1">
    <w:name w:val="Unresolved Mention1"/>
    <w:basedOn w:val="DefaultParagraphFont"/>
    <w:uiPriority w:val="99"/>
    <w:semiHidden/>
    <w:unhideWhenUsed/>
    <w:rsid w:val="00271394"/>
    <w:rPr>
      <w:color w:val="605E5C"/>
      <w:shd w:val="clear" w:color="auto" w:fill="E1DFDD"/>
    </w:rPr>
  </w:style>
  <w:style w:type="character" w:styleId="CommentReference">
    <w:name w:val="annotation reference"/>
    <w:basedOn w:val="DefaultParagraphFont"/>
    <w:uiPriority w:val="99"/>
    <w:semiHidden/>
    <w:unhideWhenUsed/>
    <w:rsid w:val="006D28DD"/>
    <w:rPr>
      <w:sz w:val="16"/>
      <w:szCs w:val="16"/>
    </w:rPr>
  </w:style>
  <w:style w:type="paragraph" w:styleId="CommentText">
    <w:name w:val="annotation text"/>
    <w:basedOn w:val="Normal"/>
    <w:link w:val="CommentTextChar"/>
    <w:uiPriority w:val="99"/>
    <w:unhideWhenUsed/>
    <w:rsid w:val="006D28DD"/>
    <w:pPr>
      <w:spacing w:line="240" w:lineRule="auto"/>
    </w:pPr>
    <w:rPr>
      <w:sz w:val="20"/>
      <w:szCs w:val="20"/>
    </w:rPr>
  </w:style>
  <w:style w:type="character" w:customStyle="1" w:styleId="CommentTextChar">
    <w:name w:val="Comment Text Char"/>
    <w:basedOn w:val="DefaultParagraphFont"/>
    <w:link w:val="CommentText"/>
    <w:uiPriority w:val="99"/>
    <w:rsid w:val="006D28DD"/>
    <w:rPr>
      <w:sz w:val="20"/>
      <w:szCs w:val="20"/>
    </w:rPr>
  </w:style>
  <w:style w:type="paragraph" w:styleId="CommentSubject">
    <w:name w:val="annotation subject"/>
    <w:basedOn w:val="CommentText"/>
    <w:next w:val="CommentText"/>
    <w:link w:val="CommentSubjectChar"/>
    <w:uiPriority w:val="99"/>
    <w:semiHidden/>
    <w:unhideWhenUsed/>
    <w:rsid w:val="006D28DD"/>
    <w:rPr>
      <w:b/>
      <w:bCs/>
    </w:rPr>
  </w:style>
  <w:style w:type="character" w:customStyle="1" w:styleId="CommentSubjectChar">
    <w:name w:val="Comment Subject Char"/>
    <w:basedOn w:val="CommentTextChar"/>
    <w:link w:val="CommentSubject"/>
    <w:uiPriority w:val="99"/>
    <w:semiHidden/>
    <w:rsid w:val="006D28DD"/>
    <w:rPr>
      <w:b/>
      <w:bCs/>
      <w:sz w:val="20"/>
      <w:szCs w:val="20"/>
    </w:rPr>
  </w:style>
  <w:style w:type="paragraph" w:styleId="Revision">
    <w:name w:val="Revision"/>
    <w:hidden/>
    <w:uiPriority w:val="99"/>
    <w:semiHidden/>
    <w:rsid w:val="004579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7e34e7-1e2f-4604-8e8a-a0279fc7d154">
      <Terms xmlns="http://schemas.microsoft.com/office/infopath/2007/PartnerControls"/>
    </lcf76f155ced4ddcb4097134ff3c332f>
    <TaxCatchAll xmlns="cfea85b3-2098-4fa4-87eb-3e6395985b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1FB70624CDDD47B1721683FEB72D2E" ma:contentTypeVersion="18" ma:contentTypeDescription="Create a new document." ma:contentTypeScope="" ma:versionID="3a4b08628f9dcc31db6a8856005a737c">
  <xsd:schema xmlns:xsd="http://www.w3.org/2001/XMLSchema" xmlns:xs="http://www.w3.org/2001/XMLSchema" xmlns:p="http://schemas.microsoft.com/office/2006/metadata/properties" xmlns:ns2="137e34e7-1e2f-4604-8e8a-a0279fc7d154" xmlns:ns3="cfea85b3-2098-4fa4-87eb-3e6395985b77" targetNamespace="http://schemas.microsoft.com/office/2006/metadata/properties" ma:root="true" ma:fieldsID="7ee03c7355cd568f1f05ea591e3bbfec" ns2:_="" ns3:_="">
    <xsd:import namespace="137e34e7-1e2f-4604-8e8a-a0279fc7d154"/>
    <xsd:import namespace="cfea85b3-2098-4fa4-87eb-3e6395985b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e34e7-1e2f-4604-8e8a-a0279fc7d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1a55f9-1ac4-40d9-b353-9d78fca136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a85b3-2098-4fa4-87eb-3e6395985b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3231341-4e77-42af-8e2c-df141e7e59b0}" ma:internalName="TaxCatchAll" ma:showField="CatchAllData" ma:web="cfea85b3-2098-4fa4-87eb-3e6395985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CD77B-D3D5-4556-839C-290F3D5B1BD0}">
  <ds:schemaRefs>
    <ds:schemaRef ds:uri="http://schemas.microsoft.com/sharepoint/v3/contenttype/forms"/>
  </ds:schemaRefs>
</ds:datastoreItem>
</file>

<file path=customXml/itemProps2.xml><?xml version="1.0" encoding="utf-8"?>
<ds:datastoreItem xmlns:ds="http://schemas.openxmlformats.org/officeDocument/2006/customXml" ds:itemID="{6A087EA2-BD0E-4E82-8D72-C6190E4B92FE}">
  <ds:schemaRefs>
    <ds:schemaRef ds:uri="http://schemas.openxmlformats.org/officeDocument/2006/bibliography"/>
  </ds:schemaRefs>
</ds:datastoreItem>
</file>

<file path=customXml/itemProps3.xml><?xml version="1.0" encoding="utf-8"?>
<ds:datastoreItem xmlns:ds="http://schemas.openxmlformats.org/officeDocument/2006/customXml" ds:itemID="{5B30492B-00E5-41F0-9E43-7BF698003A20}">
  <ds:schemaRefs>
    <ds:schemaRef ds:uri="http://schemas.microsoft.com/office/2006/metadata/properties"/>
    <ds:schemaRef ds:uri="http://schemas.microsoft.com/office/infopath/2007/PartnerControls"/>
    <ds:schemaRef ds:uri="137e34e7-1e2f-4604-8e8a-a0279fc7d154"/>
    <ds:schemaRef ds:uri="cfea85b3-2098-4fa4-87eb-3e6395985b77"/>
  </ds:schemaRefs>
</ds:datastoreItem>
</file>

<file path=customXml/itemProps4.xml><?xml version="1.0" encoding="utf-8"?>
<ds:datastoreItem xmlns:ds="http://schemas.openxmlformats.org/officeDocument/2006/customXml" ds:itemID="{D09394F2-2D07-400A-8D65-2A8DB5450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e34e7-1e2f-4604-8e8a-a0279fc7d154"/>
    <ds:schemaRef ds:uri="cfea85b3-2098-4fa4-87eb-3e6395985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CPW0006</dc:title>
  <cp:revision>0</cp:revision>
</cp:coreProperties>
</file>