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B14FE" w:rsidRPr="00740660" w:rsidP="00740660">
      <w:pPr>
        <w:spacing w:line="480" w:lineRule="auto"/>
        <w:rPr>
          <w:rFonts w:ascii="Verdana" w:hAnsi="Verdana" w:cs="Arial"/>
          <w:b/>
          <w:bCs/>
          <w:color w:val="000000"/>
          <w:sz w:val="28"/>
          <w:szCs w:val="28"/>
        </w:rPr>
      </w:pPr>
      <w:r w:rsidRPr="00740660">
        <w:rPr>
          <w:rFonts w:ascii="Verdana" w:hAnsi="Verdana" w:cs="Arial"/>
          <w:b/>
          <w:bCs/>
          <w:color w:val="000000"/>
          <w:sz w:val="28"/>
          <w:szCs w:val="28"/>
        </w:rPr>
        <w:t>Professor Naoki Fujiwara, Professor in Faculty of Regional Development Studies at Faculty of Regional Development Studies, Otemon Gakuin University, and Professor Andy Pike, Henry Daysh Professor of Regional Development Studies at Centre for Urban and Regional Development Studies (CURDS), Newcastle University</w:t>
      </w:r>
      <w:r>
        <w:rPr>
          <w:rFonts w:ascii="Verdana" w:hAnsi="Verdana" w:cs="Arial"/>
          <w:b/>
          <w:bCs/>
          <w:color w:val="000000"/>
          <w:sz w:val="28"/>
          <w:szCs w:val="28"/>
        </w:rPr>
        <w:t xml:space="preserve"> – Written evidence FDE0001</w:t>
      </w:r>
    </w:p>
    <w:p w:rsidR="00740660" w:rsidRPr="00740660" w:rsidP="00740660">
      <w:pPr>
        <w:spacing w:line="480" w:lineRule="auto"/>
        <w:rPr>
          <w:rFonts w:ascii="Verdana" w:hAnsi="Verdana" w:cs="Arial"/>
          <w:color w:val="000000"/>
        </w:rPr>
      </w:pPr>
    </w:p>
    <w:p w:rsidR="00740660" w:rsidRPr="00740660" w:rsidP="00740660">
      <w:pPr>
        <w:spacing w:line="480" w:lineRule="auto"/>
        <w:rPr>
          <w:rFonts w:ascii="Verdana" w:hAnsi="Verdana" w:cs="Arial"/>
          <w:b/>
          <w:bCs/>
          <w:color w:val="1A1521"/>
          <w:spacing w:val="-2"/>
        </w:rPr>
      </w:pPr>
      <w:r w:rsidRPr="00740660">
        <w:rPr>
          <w:rFonts w:ascii="Verdana" w:hAnsi="Verdana" w:cs="Arial"/>
          <w:color w:val="000000"/>
        </w:rPr>
        <w:t>Naoki Fujiwara and Andy Pike</w:t>
      </w:r>
      <w:r>
        <w:rPr>
          <w:rStyle w:val="FootnoteReference"/>
          <w:rFonts w:ascii="Verdana" w:hAnsi="Verdana" w:cs="Arial"/>
          <w:color w:val="000000"/>
        </w:rPr>
        <w:footnoteReference w:id="2"/>
      </w:r>
      <w:r w:rsidRPr="00740660">
        <w:rPr>
          <w:rFonts w:ascii="Verdana" w:hAnsi="Verdana" w:cs="Arial"/>
          <w:color w:val="000000"/>
        </w:rPr>
        <w:br/>
      </w:r>
    </w:p>
    <w:p w:rsidR="002B14FE" w:rsidRPr="00740660" w:rsidP="00740660">
      <w:pPr>
        <w:spacing w:line="480" w:lineRule="auto"/>
        <w:rPr>
          <w:rFonts w:ascii="Verdana" w:hAnsi="Verdana" w:cs="Arial"/>
          <w:color w:val="1A1521"/>
          <w:spacing w:val="-2"/>
        </w:rPr>
      </w:pPr>
      <w:r w:rsidRPr="00740660">
        <w:rPr>
          <w:rFonts w:ascii="Verdana" w:hAnsi="Verdana" w:cs="Arial"/>
          <w:b/>
          <w:bCs/>
          <w:color w:val="1A1521"/>
          <w:spacing w:val="-2"/>
        </w:rPr>
        <w:t>The purpose of fiscal devolution in England</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Fiscal devolution is </w:t>
      </w:r>
      <w:r w:rsidRPr="00740660">
        <w:rPr>
          <w:rFonts w:ascii="Verdana" w:hAnsi="Verdana" w:cs="Arial"/>
          <w:color w:val="1A1521"/>
          <w:spacing w:val="-2"/>
        </w:rPr>
        <w:t>the assignment of tax raising and spending powers to lower levels of government by national government.</w:t>
      </w:r>
      <w:r w:rsidRPr="00740660">
        <w:rPr>
          <w:rFonts w:ascii="Verdana" w:hAnsi="Verdana" w:cs="Arial"/>
          <w:color w:val="1A1521"/>
          <w:spacing w:val="-2"/>
        </w:rPr>
        <w:t xml:space="preserve"> </w:t>
      </w:r>
      <w:r w:rsidRPr="00740660">
        <w:rPr>
          <w:rFonts w:ascii="Verdana" w:hAnsi="Verdana" w:cs="Arial"/>
          <w:color w:val="1A1521"/>
          <w:spacing w:val="-2"/>
        </w:rPr>
        <w:t xml:space="preserve">There are </w:t>
      </w:r>
      <w:r w:rsidRPr="00740660">
        <w:rPr>
          <w:rFonts w:ascii="Verdana" w:hAnsi="Verdana" w:cs="Arial"/>
          <w:color w:val="1A1521"/>
          <w:spacing w:val="-2"/>
        </w:rPr>
        <w:t xml:space="preserve">several </w:t>
      </w:r>
      <w:r w:rsidRPr="00740660">
        <w:rPr>
          <w:rFonts w:ascii="Verdana" w:hAnsi="Verdana" w:cs="Arial"/>
          <w:color w:val="1A1521"/>
          <w:spacing w:val="-2"/>
        </w:rPr>
        <w:t>types of fiscal devolution</w:t>
      </w:r>
      <w:r w:rsidRPr="00740660">
        <w:rPr>
          <w:rFonts w:ascii="Verdana" w:hAnsi="Verdana" w:cs="Arial"/>
          <w:color w:val="1A1521"/>
          <w:spacing w:val="-2"/>
        </w:rPr>
        <w:t>:</w:t>
      </w:r>
    </w:p>
    <w:p w:rsidR="002B14FE" w:rsidRPr="00740660" w:rsidP="00740660">
      <w:pPr>
        <w:pStyle w:val="ListParagraph"/>
        <w:numPr>
          <w:ilvl w:val="0"/>
          <w:numId w:val="9"/>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Flexibility over existing local taxes</w:t>
      </w:r>
    </w:p>
    <w:p w:rsidR="002B14FE" w:rsidRPr="00740660" w:rsidP="00740660">
      <w:pPr>
        <w:pStyle w:val="ListParagraph"/>
        <w:numPr>
          <w:ilvl w:val="0"/>
          <w:numId w:val="9"/>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Flexibility over funding from national government </w:t>
      </w:r>
    </w:p>
    <w:p w:rsidR="002B14FE" w:rsidRPr="00740660" w:rsidP="00740660">
      <w:pPr>
        <w:pStyle w:val="ListParagraph"/>
        <w:numPr>
          <w:ilvl w:val="0"/>
          <w:numId w:val="9"/>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Local retention of shares of national taxes</w:t>
      </w:r>
    </w:p>
    <w:p w:rsidR="002B14FE" w:rsidRPr="00740660" w:rsidP="00740660">
      <w:pPr>
        <w:pStyle w:val="ListParagraph"/>
        <w:numPr>
          <w:ilvl w:val="0"/>
          <w:numId w:val="9"/>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New local taxes</w:t>
      </w:r>
    </w:p>
    <w:p w:rsidR="002B14FE" w:rsidRPr="00740660" w:rsidP="00740660">
      <w:pPr>
        <w:pStyle w:val="ListParagraph"/>
        <w:numPr>
          <w:ilvl w:val="0"/>
          <w:numId w:val="9"/>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Borrowing and investment powers.</w:t>
      </w:r>
      <w:r>
        <w:rPr>
          <w:rStyle w:val="FootnoteReference"/>
          <w:rFonts w:ascii="Verdana" w:hAnsi="Verdana" w:cs="Arial"/>
          <w:color w:val="1A1521"/>
          <w:spacing w:val="-2"/>
        </w:rPr>
        <w:footnoteReference w:id="3"/>
      </w:r>
      <w:r w:rsidRPr="00740660">
        <w:rPr>
          <w:rFonts w:ascii="Verdana" w:hAnsi="Verdana" w:cs="Arial"/>
          <w:color w:val="1A1521"/>
          <w:spacing w:val="-2"/>
        </w:rPr>
        <w:t xml:space="preserve"> </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For the </w:t>
      </w:r>
      <w:r w:rsidRPr="00740660">
        <w:rPr>
          <w:rFonts w:ascii="Verdana" w:hAnsi="Verdana" w:cs="Arial"/>
          <w:color w:val="1A1521"/>
          <w:spacing w:val="-2"/>
        </w:rPr>
        <w:t>particular context</w:t>
      </w:r>
      <w:r w:rsidRPr="00740660">
        <w:rPr>
          <w:rFonts w:ascii="Verdana" w:hAnsi="Verdana" w:cs="Arial"/>
          <w:color w:val="1A1521"/>
          <w:spacing w:val="-2"/>
        </w:rPr>
        <w:t xml:space="preserve"> of local </w:t>
      </w:r>
      <w:r w:rsidRPr="00740660">
        <w:rPr>
          <w:rFonts w:ascii="Verdana" w:hAnsi="Verdana" w:cs="Arial"/>
          <w:color w:val="1A1521"/>
          <w:spacing w:val="-2"/>
        </w:rPr>
        <w:t>governments</w:t>
      </w:r>
      <w:r w:rsidRPr="00740660">
        <w:rPr>
          <w:rFonts w:ascii="Verdana" w:hAnsi="Verdana" w:cs="Arial"/>
          <w:color w:val="1A1521"/>
          <w:spacing w:val="-2"/>
        </w:rPr>
        <w:t xml:space="preserve"> </w:t>
      </w:r>
      <w:r w:rsidRPr="00740660">
        <w:rPr>
          <w:rFonts w:ascii="Verdana" w:hAnsi="Verdana" w:cs="Arial"/>
          <w:color w:val="1A1521"/>
          <w:spacing w:val="-2"/>
        </w:rPr>
        <w:t xml:space="preserve">in England in 2026, the </w:t>
      </w:r>
      <w:r w:rsidRPr="00740660">
        <w:rPr>
          <w:rFonts w:ascii="Verdana" w:hAnsi="Verdana" w:cs="Arial"/>
          <w:i/>
          <w:iCs/>
          <w:color w:val="1A1521"/>
          <w:spacing w:val="-2"/>
        </w:rPr>
        <w:t>main</w:t>
      </w:r>
      <w:r w:rsidRPr="00740660">
        <w:rPr>
          <w:rFonts w:ascii="Verdana" w:hAnsi="Verdana" w:cs="Arial"/>
          <w:color w:val="1A1521"/>
          <w:spacing w:val="-2"/>
        </w:rPr>
        <w:t xml:space="preserve"> purpose of fiscal devolution is provid</w:t>
      </w:r>
      <w:r w:rsidRPr="00740660">
        <w:rPr>
          <w:rFonts w:ascii="Verdana" w:hAnsi="Verdana" w:cs="Arial"/>
          <w:color w:val="1A1521"/>
          <w:spacing w:val="-2"/>
        </w:rPr>
        <w:t>ing</w:t>
      </w:r>
      <w:r w:rsidRPr="00740660">
        <w:rPr>
          <w:rFonts w:ascii="Verdana" w:hAnsi="Verdana" w:cs="Arial"/>
          <w:color w:val="1A1521"/>
          <w:spacing w:val="-2"/>
        </w:rPr>
        <w:t xml:space="preserve"> additional powers</w:t>
      </w:r>
      <w:r w:rsidRPr="00740660">
        <w:rPr>
          <w:rFonts w:ascii="Verdana" w:hAnsi="Verdana" w:cs="Arial"/>
          <w:color w:val="1A1521"/>
          <w:spacing w:val="-2"/>
        </w:rPr>
        <w:t xml:space="preserve"> to increase their autonomy over expenditure and income and improve their financial condition, sustainability, and resilience</w:t>
      </w:r>
      <w:r w:rsidRPr="00740660">
        <w:rPr>
          <w:rFonts w:ascii="Verdana" w:hAnsi="Verdana" w:cs="Arial"/>
          <w:color w:val="1A1521"/>
          <w:spacing w:val="-2"/>
        </w:rPr>
        <w:t>.</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When compared internationally, l</w:t>
      </w:r>
      <w:r w:rsidRPr="00740660">
        <w:rPr>
          <w:rFonts w:ascii="Verdana" w:hAnsi="Verdana" w:cs="Arial"/>
          <w:color w:val="1A1521"/>
          <w:spacing w:val="-2"/>
        </w:rPr>
        <w:t xml:space="preserve">ocal </w:t>
      </w:r>
      <w:r w:rsidRPr="00740660">
        <w:rPr>
          <w:rFonts w:ascii="Verdana" w:hAnsi="Verdana" w:cs="Arial"/>
          <w:color w:val="1A1521"/>
          <w:spacing w:val="-2"/>
        </w:rPr>
        <w:t>government</w:t>
      </w:r>
      <w:r w:rsidRPr="00740660">
        <w:rPr>
          <w:rFonts w:ascii="Verdana" w:hAnsi="Verdana" w:cs="Arial"/>
          <w:color w:val="1A1521"/>
          <w:spacing w:val="-2"/>
        </w:rPr>
        <w:t>s in England operate in a highly centralised governance and funding system with a structural gap between their expenditure and income</w:t>
      </w:r>
      <w:r w:rsidRPr="00740660">
        <w:rPr>
          <w:rFonts w:ascii="Verdana" w:hAnsi="Verdana" w:cs="Arial"/>
          <w:color w:val="1A1521"/>
          <w:spacing w:val="-2"/>
        </w:rPr>
        <w:t>.</w:t>
      </w:r>
      <w:r>
        <w:rPr>
          <w:rStyle w:val="FootnoteReference"/>
          <w:rFonts w:ascii="Verdana" w:hAnsi="Verdana" w:cs="Arial"/>
          <w:color w:val="1A1521"/>
          <w:spacing w:val="-2"/>
        </w:rPr>
        <w:footnoteReference w:id="4"/>
      </w:r>
      <w:r w:rsidRPr="00740660">
        <w:rPr>
          <w:rFonts w:ascii="Verdana" w:hAnsi="Verdana" w:cs="Arial"/>
          <w:color w:val="1A1521"/>
          <w:spacing w:val="-2"/>
        </w:rPr>
        <w:t xml:space="preserve"> They have unfunded mandates: </w:t>
      </w:r>
      <w:r w:rsidRPr="00740660">
        <w:rPr>
          <w:rFonts w:ascii="Verdana" w:hAnsi="Verdana" w:cs="Arial"/>
          <w:color w:val="1A1521"/>
          <w:spacing w:val="-2"/>
        </w:rPr>
        <w:t>their statutory responsibilities are not matched with corresponding levels of funding for their delivery.</w:t>
      </w:r>
      <w:r w:rsidRPr="00740660">
        <w:rPr>
          <w:rFonts w:ascii="Verdana" w:hAnsi="Verdana" w:cs="Arial"/>
          <w:color w:val="1A1521"/>
          <w:spacing w:val="-2"/>
        </w:rPr>
        <w:t xml:space="preserve"> While acute in </w:t>
      </w:r>
      <w:r w:rsidRPr="00740660">
        <w:rPr>
          <w:rFonts w:ascii="Verdana" w:hAnsi="Verdana" w:cs="Arial"/>
          <w:color w:val="1A1521"/>
          <w:spacing w:val="-2"/>
        </w:rPr>
        <w:t>Engla</w:t>
      </w:r>
      <w:r w:rsidRPr="00740660">
        <w:rPr>
          <w:rFonts w:ascii="Verdana" w:hAnsi="Verdana" w:cs="Arial"/>
          <w:color w:val="1A1521"/>
          <w:spacing w:val="-2"/>
        </w:rPr>
        <w:t>n</w:t>
      </w:r>
      <w:r w:rsidRPr="00740660">
        <w:rPr>
          <w:rFonts w:ascii="Verdana" w:hAnsi="Verdana" w:cs="Arial"/>
          <w:color w:val="1A1521"/>
          <w:spacing w:val="-2"/>
        </w:rPr>
        <w:t xml:space="preserve">d, it is an international problem with </w:t>
      </w:r>
      <w:r w:rsidRPr="00740660">
        <w:rPr>
          <w:rFonts w:ascii="Verdana" w:hAnsi="Verdana" w:cs="Arial"/>
          <w:color w:val="1A1521"/>
          <w:spacing w:val="-2"/>
        </w:rPr>
        <w:t xml:space="preserve">local governments in </w:t>
      </w:r>
      <w:r w:rsidRPr="00740660">
        <w:rPr>
          <w:rFonts w:ascii="Verdana" w:hAnsi="Verdana" w:cs="Arial"/>
          <w:color w:val="1A1521"/>
          <w:spacing w:val="-2"/>
        </w:rPr>
        <w:t xml:space="preserve">only 10 of 28 European countries registering positive balances between </w:t>
      </w:r>
      <w:r w:rsidRPr="00740660">
        <w:rPr>
          <w:rFonts w:ascii="Verdana" w:hAnsi="Verdana" w:cs="Arial"/>
          <w:color w:val="1A1521"/>
          <w:spacing w:val="-2"/>
        </w:rPr>
        <w:t xml:space="preserve">expenditure and </w:t>
      </w:r>
      <w:r w:rsidRPr="00740660">
        <w:rPr>
          <w:rFonts w:ascii="Verdana" w:hAnsi="Verdana" w:cs="Arial"/>
          <w:color w:val="1A1521"/>
          <w:spacing w:val="-2"/>
        </w:rPr>
        <w:t>income in 2024.</w:t>
      </w:r>
      <w:r>
        <w:rPr>
          <w:rStyle w:val="FootnoteReference"/>
          <w:rFonts w:ascii="Verdana" w:hAnsi="Verdana" w:cs="Arial"/>
          <w:color w:val="1A1521"/>
          <w:spacing w:val="-2"/>
        </w:rPr>
        <w:footnoteReference w:id="5"/>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From 2010, </w:t>
      </w:r>
      <w:r w:rsidRPr="00740660">
        <w:rPr>
          <w:rFonts w:ascii="Verdana" w:hAnsi="Verdana" w:cs="Arial"/>
          <w:color w:val="1A1521"/>
          <w:spacing w:val="-2"/>
        </w:rPr>
        <w:t>the UK</w:t>
      </w:r>
      <w:r w:rsidRPr="00740660">
        <w:rPr>
          <w:rFonts w:ascii="Verdana" w:hAnsi="Verdana" w:cs="Arial"/>
          <w:color w:val="1A1521"/>
          <w:spacing w:val="-2"/>
        </w:rPr>
        <w:t xml:space="preserve"> </w:t>
      </w:r>
      <w:r w:rsidRPr="00740660">
        <w:rPr>
          <w:rFonts w:ascii="Verdana" w:hAnsi="Verdana" w:cs="Arial"/>
          <w:color w:val="1A1521"/>
          <w:spacing w:val="-2"/>
        </w:rPr>
        <w:t>government introduced austerity and</w:t>
      </w:r>
      <w:r w:rsidRPr="00740660">
        <w:rPr>
          <w:rFonts w:ascii="Verdana" w:hAnsi="Verdana" w:cs="Arial"/>
          <w:color w:val="1A1521"/>
          <w:spacing w:val="-2"/>
        </w:rPr>
        <w:t xml:space="preserve"> forced local </w:t>
      </w:r>
      <w:r w:rsidRPr="00740660">
        <w:rPr>
          <w:rFonts w:ascii="Verdana" w:hAnsi="Verdana" w:cs="Arial"/>
          <w:color w:val="1A1521"/>
          <w:spacing w:val="-2"/>
        </w:rPr>
        <w:t>government</w:t>
      </w:r>
      <w:r w:rsidRPr="00740660">
        <w:rPr>
          <w:rFonts w:ascii="Verdana" w:hAnsi="Verdana" w:cs="Arial"/>
          <w:color w:val="1A1521"/>
          <w:spacing w:val="-2"/>
        </w:rPr>
        <w:t>s</w:t>
      </w:r>
      <w:r w:rsidRPr="00740660">
        <w:rPr>
          <w:rFonts w:ascii="Verdana" w:hAnsi="Verdana" w:cs="Arial"/>
          <w:color w:val="1A1521"/>
          <w:spacing w:val="-2"/>
        </w:rPr>
        <w:t xml:space="preserve"> in England</w:t>
      </w:r>
      <w:r w:rsidRPr="00740660">
        <w:rPr>
          <w:rFonts w:ascii="Verdana" w:hAnsi="Verdana" w:cs="Arial"/>
          <w:color w:val="1A1521"/>
          <w:spacing w:val="-2"/>
        </w:rPr>
        <w:t xml:space="preserve"> to make </w:t>
      </w:r>
      <w:r w:rsidRPr="00740660">
        <w:rPr>
          <w:rFonts w:ascii="Verdana" w:hAnsi="Verdana" w:cs="Arial"/>
          <w:color w:val="1A1521"/>
          <w:spacing w:val="-2"/>
        </w:rPr>
        <w:t>savings and generate additional income</w:t>
      </w:r>
      <w:r w:rsidRPr="00740660">
        <w:rPr>
          <w:rFonts w:ascii="Verdana" w:hAnsi="Verdana" w:cs="Arial"/>
          <w:color w:val="1A1521"/>
          <w:spacing w:val="-2"/>
        </w:rPr>
        <w:t>. Th</w:t>
      </w:r>
      <w:r w:rsidRPr="00740660">
        <w:rPr>
          <w:rFonts w:ascii="Verdana" w:hAnsi="Verdana" w:cs="Arial"/>
          <w:color w:val="1A1521"/>
          <w:spacing w:val="-2"/>
        </w:rPr>
        <w:t>is</w:t>
      </w:r>
      <w:r w:rsidRPr="00740660">
        <w:rPr>
          <w:rFonts w:ascii="Verdana" w:hAnsi="Verdana" w:cs="Arial"/>
          <w:color w:val="1A1521"/>
          <w:spacing w:val="-2"/>
        </w:rPr>
        <w:t xml:space="preserve"> agenda </w:t>
      </w:r>
      <w:r w:rsidRPr="00740660">
        <w:rPr>
          <w:rFonts w:ascii="Verdana" w:hAnsi="Verdana" w:cs="Arial"/>
          <w:color w:val="1A1521"/>
          <w:spacing w:val="-2"/>
        </w:rPr>
        <w:t>sought</w:t>
      </w:r>
      <w:r w:rsidRPr="00740660">
        <w:rPr>
          <w:rFonts w:ascii="Verdana" w:hAnsi="Verdana" w:cs="Arial"/>
          <w:color w:val="1A1521"/>
          <w:spacing w:val="-2"/>
        </w:rPr>
        <w:t xml:space="preserve"> to make </w:t>
      </w:r>
      <w:r w:rsidRPr="00740660">
        <w:rPr>
          <w:rFonts w:ascii="Verdana" w:hAnsi="Verdana" w:cs="Arial"/>
          <w:color w:val="1A1521"/>
          <w:spacing w:val="-2"/>
        </w:rPr>
        <w:t>local government</w:t>
      </w:r>
      <w:r w:rsidRPr="00740660">
        <w:rPr>
          <w:rFonts w:ascii="Verdana" w:hAnsi="Verdana" w:cs="Arial"/>
          <w:color w:val="1A1521"/>
          <w:spacing w:val="-2"/>
        </w:rPr>
        <w:t xml:space="preserve">s more </w:t>
      </w:r>
      <w:r w:rsidRPr="00740660">
        <w:rPr>
          <w:rFonts w:ascii="Verdana" w:hAnsi="Verdana" w:cs="Arial"/>
          <w:color w:val="1A1521"/>
          <w:spacing w:val="-2"/>
        </w:rPr>
        <w:t>financially self-sufficient and less dependent upon transfers from national government.</w:t>
      </w:r>
      <w:r>
        <w:rPr>
          <w:rStyle w:val="FootnoteReference"/>
          <w:rFonts w:ascii="Verdana" w:hAnsi="Verdana" w:cs="Arial"/>
          <w:color w:val="1A1521"/>
          <w:spacing w:val="-2"/>
        </w:rPr>
        <w:footnoteReference w:id="6"/>
      </w:r>
      <w:r w:rsidRPr="00740660">
        <w:rPr>
          <w:rFonts w:ascii="Verdana" w:hAnsi="Verdana" w:cs="Arial"/>
          <w:color w:val="1A1521"/>
          <w:spacing w:val="-2"/>
        </w:rPr>
        <w:t xml:space="preserve"> However, when compared internationally, in the current system</w:t>
      </w:r>
      <w:r w:rsidRPr="00740660">
        <w:rPr>
          <w:rFonts w:ascii="Verdana" w:hAnsi="Verdana" w:cs="Arial"/>
          <w:color w:val="1A1521"/>
          <w:spacing w:val="-2"/>
        </w:rPr>
        <w:t xml:space="preserve"> local </w:t>
      </w:r>
      <w:r w:rsidRPr="00740660">
        <w:rPr>
          <w:rFonts w:ascii="Verdana" w:hAnsi="Verdana" w:cs="Arial"/>
          <w:color w:val="1A1521"/>
          <w:spacing w:val="-2"/>
        </w:rPr>
        <w:t>government</w:t>
      </w:r>
      <w:r w:rsidRPr="00740660">
        <w:rPr>
          <w:rFonts w:ascii="Verdana" w:hAnsi="Verdana" w:cs="Arial"/>
          <w:color w:val="1A1521"/>
          <w:spacing w:val="-2"/>
        </w:rPr>
        <w:t>s rely more on grants from national government and less on locally controlled or shared taxes.</w:t>
      </w:r>
      <w:r>
        <w:rPr>
          <w:rStyle w:val="FootnoteReference"/>
          <w:rFonts w:ascii="Verdana" w:hAnsi="Verdana" w:cs="Arial"/>
          <w:color w:val="1A1521"/>
          <w:spacing w:val="-2"/>
        </w:rPr>
        <w:footnoteReference w:id="7"/>
      </w:r>
      <w:r w:rsidRPr="00740660">
        <w:rPr>
          <w:rFonts w:ascii="Verdana" w:hAnsi="Verdana" w:cs="Arial"/>
          <w:color w:val="1A1521"/>
          <w:spacing w:val="-2"/>
        </w:rPr>
        <w:t xml:space="preserve"> </w:t>
      </w:r>
      <w:r w:rsidRPr="00740660">
        <w:rPr>
          <w:rFonts w:ascii="Verdana" w:hAnsi="Verdana" w:cs="Arial"/>
          <w:color w:val="1A1521"/>
          <w:spacing w:val="-2"/>
        </w:rPr>
        <w:t>In other countries, local governments have relatively higher shares of local taxes in their total revenues. This difference demonstrates their relatively higher levels of fiscal autonomy and accountability, stronger base of own-resources, and clearer link between local policy priorities and their local funding. Moreover, greater tax autonomy is associated with stronger economic performance.</w:t>
      </w:r>
      <w:r>
        <w:rPr>
          <w:rStyle w:val="FootnoteReference"/>
          <w:rFonts w:ascii="Verdana" w:hAnsi="Verdana" w:cs="Arial"/>
          <w:color w:val="1A1521"/>
          <w:spacing w:val="-2"/>
        </w:rPr>
        <w:footnoteReference w:id="8"/>
      </w:r>
      <w:r w:rsidRPr="00740660">
        <w:rPr>
          <w:rFonts w:ascii="Verdana" w:hAnsi="Verdana" w:cs="Arial"/>
          <w:color w:val="1A1521"/>
          <w:spacing w:val="-2"/>
        </w:rPr>
        <w:t xml:space="preserve"> Lower shares reflect </w:t>
      </w:r>
      <w:r w:rsidRPr="00740660">
        <w:rPr>
          <w:rFonts w:ascii="Verdana" w:hAnsi="Verdana" w:cs="Arial"/>
        </w:rPr>
        <w:t>greater dependence on transfers and shared resources, reducing room for</w:t>
      </w:r>
      <w:r w:rsidRPr="00740660">
        <w:rPr>
          <w:rFonts w:ascii="Verdana" w:hAnsi="Verdana" w:cs="Arial"/>
          <w:color w:val="1A1521"/>
          <w:spacing w:val="-2"/>
        </w:rPr>
        <w:t xml:space="preserve"> </w:t>
      </w:r>
      <w:r w:rsidRPr="00740660">
        <w:rPr>
          <w:rFonts w:ascii="Verdana" w:hAnsi="Verdana" w:cs="Arial"/>
        </w:rPr>
        <w:t>manoeuvre, and increasing local government dependence upon national government rules and allocation decisions.</w:t>
      </w:r>
      <w:r>
        <w:rPr>
          <w:rStyle w:val="FootnoteReference"/>
          <w:rFonts w:ascii="Verdana" w:hAnsi="Verdana" w:cs="Arial"/>
        </w:rPr>
        <w:footnoteReference w:id="9"/>
      </w:r>
      <w:r w:rsidRPr="00740660">
        <w:rPr>
          <w:rFonts w:ascii="Verdana" w:hAnsi="Verdana" w:cs="Arial"/>
        </w:rPr>
        <w:t xml:space="preserve"> </w:t>
      </w:r>
      <w:r w:rsidRPr="00740660">
        <w:rPr>
          <w:rFonts w:ascii="Verdana" w:hAnsi="Verdana" w:cs="Arial"/>
          <w:color w:val="1A1521"/>
          <w:spacing w:val="-2"/>
        </w:rPr>
        <w:t xml:space="preserve">In addition, </w:t>
      </w:r>
      <w:r w:rsidRPr="00740660">
        <w:rPr>
          <w:rFonts w:ascii="Verdana" w:hAnsi="Verdana" w:cs="Arial"/>
          <w:color w:val="1A1521"/>
          <w:spacing w:val="-2"/>
        </w:rPr>
        <w:t xml:space="preserve">local </w:t>
      </w:r>
      <w:r w:rsidRPr="00740660">
        <w:rPr>
          <w:rFonts w:ascii="Verdana" w:hAnsi="Verdana" w:cs="Arial"/>
          <w:color w:val="1A1521"/>
          <w:spacing w:val="-2"/>
        </w:rPr>
        <w:t>government</w:t>
      </w:r>
      <w:r w:rsidRPr="00740660">
        <w:rPr>
          <w:rFonts w:ascii="Verdana" w:hAnsi="Verdana" w:cs="Arial"/>
          <w:color w:val="1A1521"/>
          <w:spacing w:val="-2"/>
        </w:rPr>
        <w:t>s</w:t>
      </w:r>
      <w:r w:rsidRPr="00740660">
        <w:rPr>
          <w:rFonts w:ascii="Verdana" w:hAnsi="Verdana" w:cs="Arial"/>
          <w:color w:val="1A1521"/>
          <w:spacing w:val="-2"/>
        </w:rPr>
        <w:t xml:space="preserve"> in England</w:t>
      </w:r>
      <w:r w:rsidRPr="00740660">
        <w:rPr>
          <w:rFonts w:ascii="Verdana" w:hAnsi="Verdana" w:cs="Arial"/>
          <w:color w:val="1A1521"/>
          <w:spacing w:val="-2"/>
        </w:rPr>
        <w:t xml:space="preserve"> have only a relatively limited number of tax raising tools and limited autonomy in their operation. </w:t>
      </w:r>
      <w:r w:rsidRPr="00740660">
        <w:rPr>
          <w:rFonts w:ascii="Verdana" w:hAnsi="Verdana" w:cs="Arial"/>
          <w:color w:val="1A1521"/>
          <w:spacing w:val="-2"/>
        </w:rPr>
        <w:t xml:space="preserve">They are </w:t>
      </w:r>
      <w:r w:rsidRPr="00740660">
        <w:rPr>
          <w:rFonts w:ascii="Verdana" w:hAnsi="Verdana" w:cs="Arial"/>
          <w:color w:val="1A1521"/>
          <w:spacing w:val="-2"/>
        </w:rPr>
        <w:t xml:space="preserve">effectively </w:t>
      </w:r>
      <w:r w:rsidRPr="00740660">
        <w:rPr>
          <w:rFonts w:ascii="Verdana" w:hAnsi="Verdana" w:cs="Arial"/>
          <w:color w:val="1A1521"/>
          <w:spacing w:val="-2"/>
        </w:rPr>
        <w:t>confined to t</w:t>
      </w:r>
      <w:r w:rsidRPr="00740660">
        <w:rPr>
          <w:rFonts w:ascii="Verdana" w:hAnsi="Verdana" w:cs="Arial"/>
          <w:color w:val="1A1521"/>
          <w:spacing w:val="-2"/>
        </w:rPr>
        <w:t xml:space="preserve">wo local property taxes – </w:t>
      </w:r>
      <w:r w:rsidRPr="00740660">
        <w:rPr>
          <w:rFonts w:ascii="Verdana" w:hAnsi="Verdana" w:cs="Arial"/>
          <w:color w:val="1A1521"/>
          <w:spacing w:val="-2"/>
        </w:rPr>
        <w:t>Government</w:t>
      </w:r>
      <w:r w:rsidRPr="00740660">
        <w:rPr>
          <w:rFonts w:ascii="Verdana" w:hAnsi="Verdana" w:cs="Arial"/>
          <w:color w:val="1A1521"/>
          <w:spacing w:val="-2"/>
        </w:rPr>
        <w:t xml:space="preserve"> Tax (residential) and Business Rates (non-residential), both of which are largely controlled and capped by national government.</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Local </w:t>
      </w:r>
      <w:r w:rsidRPr="00740660">
        <w:rPr>
          <w:rFonts w:ascii="Verdana" w:hAnsi="Verdana" w:cs="Arial"/>
          <w:color w:val="1A1521"/>
          <w:spacing w:val="-2"/>
        </w:rPr>
        <w:t>government</w:t>
      </w:r>
      <w:r w:rsidRPr="00740660">
        <w:rPr>
          <w:rFonts w:ascii="Verdana" w:hAnsi="Verdana" w:cs="Arial"/>
          <w:color w:val="1A1521"/>
          <w:spacing w:val="-2"/>
        </w:rPr>
        <w:t>s</w:t>
      </w:r>
      <w:r w:rsidRPr="00740660">
        <w:rPr>
          <w:rFonts w:ascii="Verdana" w:hAnsi="Verdana" w:cs="Arial"/>
          <w:color w:val="1A1521"/>
          <w:spacing w:val="-2"/>
        </w:rPr>
        <w:t>’</w:t>
      </w:r>
      <w:r w:rsidRPr="00740660">
        <w:rPr>
          <w:rFonts w:ascii="Verdana" w:hAnsi="Verdana" w:cs="Arial"/>
          <w:color w:val="1A1521"/>
          <w:spacing w:val="-2"/>
        </w:rPr>
        <w:t xml:space="preserve"> lack of local fiscal tools to raise revenues compelled them to use their relatively more flexible borrowing and capital expenditure powers to invest in commercial activities and acquire assets and their revenues streams.</w:t>
      </w:r>
      <w:r>
        <w:rPr>
          <w:rStyle w:val="FootnoteReference"/>
          <w:rFonts w:ascii="Verdana" w:hAnsi="Verdana" w:cs="Arial"/>
          <w:color w:val="1A1521"/>
          <w:spacing w:val="-2"/>
        </w:rPr>
        <w:footnoteReference w:id="10"/>
      </w:r>
      <w:r w:rsidRPr="00740660">
        <w:rPr>
          <w:rFonts w:ascii="Verdana" w:hAnsi="Verdana" w:cs="Arial"/>
          <w:color w:val="1A1521"/>
          <w:spacing w:val="-2"/>
        </w:rPr>
        <w:t xml:space="preserve"> Such activities have involved </w:t>
      </w:r>
      <w:r w:rsidRPr="00740660">
        <w:rPr>
          <w:rFonts w:ascii="Verdana" w:hAnsi="Verdana" w:cs="Arial"/>
          <w:color w:val="1A1521"/>
          <w:spacing w:val="-2"/>
        </w:rPr>
        <w:t xml:space="preserve">untried and untested approaches, </w:t>
      </w:r>
      <w:r w:rsidRPr="00740660">
        <w:rPr>
          <w:rFonts w:ascii="Verdana" w:hAnsi="Verdana" w:cs="Arial"/>
          <w:color w:val="1A1521"/>
          <w:spacing w:val="-2"/>
        </w:rPr>
        <w:t>higher levels of risk and</w:t>
      </w:r>
      <w:r w:rsidRPr="00740660">
        <w:rPr>
          <w:rFonts w:ascii="Verdana" w:hAnsi="Verdana" w:cs="Arial"/>
          <w:color w:val="1A1521"/>
          <w:spacing w:val="-2"/>
        </w:rPr>
        <w:t>,</w:t>
      </w:r>
      <w:r w:rsidRPr="00740660">
        <w:rPr>
          <w:rFonts w:ascii="Verdana" w:hAnsi="Verdana" w:cs="Arial"/>
          <w:color w:val="1A1521"/>
          <w:spacing w:val="-2"/>
        </w:rPr>
        <w:t xml:space="preserve"> in particular circumstances</w:t>
      </w:r>
      <w:r w:rsidRPr="00740660">
        <w:rPr>
          <w:rFonts w:ascii="Verdana" w:hAnsi="Verdana" w:cs="Arial"/>
          <w:color w:val="1A1521"/>
          <w:spacing w:val="-2"/>
        </w:rPr>
        <w:t>,</w:t>
      </w:r>
      <w:r w:rsidRPr="00740660">
        <w:rPr>
          <w:rFonts w:ascii="Verdana" w:hAnsi="Verdana" w:cs="Arial"/>
          <w:color w:val="1A1521"/>
          <w:spacing w:val="-2"/>
        </w:rPr>
        <w:t xml:space="preserve"> resulted in liabilities and losses rather than assets and gains. </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In </w:t>
      </w:r>
      <w:r w:rsidRPr="00740660">
        <w:rPr>
          <w:rFonts w:ascii="Verdana" w:hAnsi="Verdana" w:cs="Arial"/>
          <w:color w:val="1A1521"/>
          <w:spacing w:val="-2"/>
        </w:rPr>
        <w:t>theory</w:t>
      </w:r>
      <w:r w:rsidRPr="00740660">
        <w:rPr>
          <w:rFonts w:ascii="Verdana" w:hAnsi="Verdana" w:cs="Arial"/>
          <w:color w:val="1A1521"/>
          <w:spacing w:val="-2"/>
        </w:rPr>
        <w:t>,</w:t>
      </w:r>
      <w:r w:rsidRPr="00740660">
        <w:rPr>
          <w:rFonts w:ascii="Verdana" w:hAnsi="Verdana" w:cs="Arial"/>
          <w:color w:val="1A1521"/>
          <w:spacing w:val="-2"/>
        </w:rPr>
        <w:t xml:space="preserve"> fiscal devolution may generate benefits including</w:t>
      </w:r>
      <w:r w:rsidRPr="00740660">
        <w:rPr>
          <w:rFonts w:ascii="Verdana" w:hAnsi="Verdana" w:cs="Arial"/>
          <w:color w:val="1A1521"/>
          <w:spacing w:val="-2"/>
        </w:rPr>
        <w:t>:</w:t>
      </w:r>
    </w:p>
    <w:p w:rsidR="002B14FE" w:rsidRPr="00740660" w:rsidP="00740660">
      <w:pPr>
        <w:pStyle w:val="ListParagraph"/>
        <w:numPr>
          <w:ilvl w:val="0"/>
          <w:numId w:val="14"/>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increased local autonomy</w:t>
      </w:r>
      <w:r w:rsidRPr="00740660">
        <w:rPr>
          <w:rFonts w:ascii="Verdana" w:hAnsi="Verdana" w:cs="Arial"/>
          <w:color w:val="1A1521"/>
          <w:spacing w:val="-2"/>
        </w:rPr>
        <w:t>, discretion,</w:t>
      </w:r>
      <w:r w:rsidRPr="00740660">
        <w:rPr>
          <w:rFonts w:ascii="Verdana" w:hAnsi="Verdana" w:cs="Arial"/>
          <w:color w:val="1A1521"/>
          <w:spacing w:val="-2"/>
        </w:rPr>
        <w:t xml:space="preserve"> and flexibility in raising and spending local revenues</w:t>
      </w:r>
    </w:p>
    <w:p w:rsidR="002B14FE" w:rsidRPr="00740660" w:rsidP="00740660">
      <w:pPr>
        <w:pStyle w:val="ListParagraph"/>
        <w:numPr>
          <w:ilvl w:val="0"/>
          <w:numId w:val="14"/>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growing their local tax base</w:t>
      </w:r>
      <w:r w:rsidRPr="00740660">
        <w:rPr>
          <w:rFonts w:ascii="Verdana" w:hAnsi="Verdana" w:cs="Arial"/>
          <w:color w:val="1A1521"/>
          <w:spacing w:val="-2"/>
        </w:rPr>
        <w:t xml:space="preserve"> and generating additional revenues</w:t>
      </w:r>
    </w:p>
    <w:p w:rsidR="002B14FE" w:rsidRPr="00740660" w:rsidP="00740660">
      <w:pPr>
        <w:pStyle w:val="ListParagraph"/>
        <w:numPr>
          <w:ilvl w:val="0"/>
          <w:numId w:val="14"/>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more closely aligning</w:t>
      </w:r>
      <w:r w:rsidRPr="00740660">
        <w:rPr>
          <w:rFonts w:ascii="Verdana" w:hAnsi="Verdana" w:cs="Arial"/>
          <w:color w:val="1A1521"/>
          <w:spacing w:val="-2"/>
        </w:rPr>
        <w:t xml:space="preserve"> incentives for</w:t>
      </w:r>
      <w:r w:rsidRPr="00740660">
        <w:rPr>
          <w:rFonts w:ascii="Verdana" w:hAnsi="Verdana" w:cs="Arial"/>
          <w:color w:val="1A1521"/>
          <w:spacing w:val="-2"/>
        </w:rPr>
        <w:t xml:space="preserve"> </w:t>
      </w:r>
      <w:r w:rsidRPr="00740660">
        <w:rPr>
          <w:rFonts w:ascii="Verdana" w:hAnsi="Verdana" w:cs="Arial"/>
          <w:color w:val="1A1521"/>
          <w:spacing w:val="-2"/>
        </w:rPr>
        <w:t xml:space="preserve">local economic growth to local </w:t>
      </w:r>
      <w:r w:rsidRPr="00740660">
        <w:rPr>
          <w:rFonts w:ascii="Verdana" w:hAnsi="Verdana" w:cs="Arial"/>
          <w:color w:val="1A1521"/>
          <w:spacing w:val="-2"/>
        </w:rPr>
        <w:t>public goods and services provision</w:t>
      </w:r>
      <w:r w:rsidRPr="00740660">
        <w:rPr>
          <w:rFonts w:ascii="Verdana" w:hAnsi="Verdana" w:cs="Arial"/>
          <w:color w:val="1A1521"/>
          <w:spacing w:val="-2"/>
        </w:rPr>
        <w:t xml:space="preserve"> and their funding</w:t>
      </w:r>
    </w:p>
    <w:p w:rsidR="002B14FE" w:rsidRPr="00740660" w:rsidP="00740660">
      <w:pPr>
        <w:pStyle w:val="ListParagraph"/>
        <w:numPr>
          <w:ilvl w:val="0"/>
          <w:numId w:val="14"/>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better matching local preferences of residents and </w:t>
      </w:r>
      <w:r w:rsidRPr="00740660">
        <w:rPr>
          <w:rFonts w:ascii="Verdana" w:hAnsi="Verdana" w:cs="Arial"/>
          <w:color w:val="1A1521"/>
          <w:spacing w:val="-2"/>
        </w:rPr>
        <w:t>firms</w:t>
      </w:r>
      <w:r w:rsidRPr="00740660">
        <w:rPr>
          <w:rFonts w:ascii="Verdana" w:hAnsi="Verdana" w:cs="Arial"/>
          <w:color w:val="1A1521"/>
          <w:spacing w:val="-2"/>
        </w:rPr>
        <w:t xml:space="preserve"> and improved targeting by using local knowledge</w:t>
      </w:r>
    </w:p>
    <w:p w:rsidR="002B14FE" w:rsidRPr="00740660" w:rsidP="00740660">
      <w:pPr>
        <w:pStyle w:val="ListParagraph"/>
        <w:numPr>
          <w:ilvl w:val="0"/>
          <w:numId w:val="14"/>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enhancing local accountability</w:t>
      </w:r>
    </w:p>
    <w:p w:rsidR="002B14FE" w:rsidRPr="00740660" w:rsidP="00740660">
      <w:pPr>
        <w:pStyle w:val="ListParagraph"/>
        <w:numPr>
          <w:ilvl w:val="0"/>
          <w:numId w:val="14"/>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stimulating</w:t>
      </w:r>
      <w:r w:rsidRPr="00740660">
        <w:rPr>
          <w:rFonts w:ascii="Verdana" w:hAnsi="Verdana" w:cs="Arial"/>
          <w:color w:val="1A1521"/>
          <w:spacing w:val="-2"/>
        </w:rPr>
        <w:t xml:space="preserve"> policy innovations.</w:t>
      </w:r>
      <w:r>
        <w:rPr>
          <w:rStyle w:val="FootnoteReference"/>
          <w:rFonts w:ascii="Verdana" w:hAnsi="Verdana" w:cs="Arial"/>
          <w:color w:val="1A1521"/>
          <w:spacing w:val="-2"/>
        </w:rPr>
        <w:footnoteReference w:id="11"/>
      </w:r>
      <w:r w:rsidRPr="00740660">
        <w:rPr>
          <w:rFonts w:ascii="Verdana" w:hAnsi="Verdana" w:cs="Arial"/>
          <w:color w:val="1A1521"/>
          <w:spacing w:val="-2"/>
        </w:rPr>
        <w:t xml:space="preserve"> </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Potential costs include: </w:t>
      </w:r>
    </w:p>
    <w:p w:rsidR="002B14FE" w:rsidRPr="00740660" w:rsidP="00740660">
      <w:pPr>
        <w:pStyle w:val="ListParagraph"/>
        <w:numPr>
          <w:ilvl w:val="0"/>
          <w:numId w:val="15"/>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diseconomies of scale</w:t>
      </w:r>
    </w:p>
    <w:p w:rsidR="002B14FE" w:rsidRPr="00740660" w:rsidP="00740660">
      <w:pPr>
        <w:pStyle w:val="ListParagraph"/>
        <w:numPr>
          <w:ilvl w:val="0"/>
          <w:numId w:val="15"/>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greater complexity for </w:t>
      </w:r>
      <w:r w:rsidRPr="00740660">
        <w:rPr>
          <w:rFonts w:ascii="Verdana" w:hAnsi="Verdana" w:cs="Arial"/>
          <w:color w:val="1A1521"/>
          <w:spacing w:val="-2"/>
        </w:rPr>
        <w:t xml:space="preserve">individual and business </w:t>
      </w:r>
      <w:r w:rsidRPr="00740660">
        <w:rPr>
          <w:rFonts w:ascii="Verdana" w:hAnsi="Verdana" w:cs="Arial"/>
          <w:color w:val="1A1521"/>
          <w:spacing w:val="-2"/>
        </w:rPr>
        <w:t>taxpayers</w:t>
      </w:r>
    </w:p>
    <w:p w:rsidR="002B14FE" w:rsidRPr="00740660" w:rsidP="00740660">
      <w:pPr>
        <w:pStyle w:val="ListParagraph"/>
        <w:numPr>
          <w:ilvl w:val="0"/>
          <w:numId w:val="15"/>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amplifying geographical inequalities in local tax bases and the capacities to raise </w:t>
      </w:r>
      <w:r w:rsidRPr="00740660">
        <w:rPr>
          <w:rFonts w:ascii="Verdana" w:hAnsi="Verdana" w:cs="Arial"/>
          <w:color w:val="1A1521"/>
          <w:spacing w:val="-2"/>
        </w:rPr>
        <w:t>revenues locally</w:t>
      </w:r>
    </w:p>
    <w:p w:rsidR="002B14FE" w:rsidRPr="00740660" w:rsidP="00740660">
      <w:pPr>
        <w:pStyle w:val="ListParagraph"/>
        <w:numPr>
          <w:ilvl w:val="0"/>
          <w:numId w:val="15"/>
        </w:num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inefficiencies including tax-based competition between jurisdictions. </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Balances between </w:t>
      </w:r>
      <w:r w:rsidRPr="00740660">
        <w:rPr>
          <w:rFonts w:ascii="Verdana" w:hAnsi="Verdana" w:cs="Arial"/>
          <w:color w:val="1A1521"/>
          <w:spacing w:val="-2"/>
        </w:rPr>
        <w:t xml:space="preserve">these </w:t>
      </w:r>
      <w:r w:rsidRPr="00740660">
        <w:rPr>
          <w:rFonts w:ascii="Verdana" w:hAnsi="Verdana" w:cs="Arial"/>
          <w:color w:val="1A1521"/>
          <w:spacing w:val="-2"/>
        </w:rPr>
        <w:t xml:space="preserve">benefits and costs depend upon the nature and scope of the </w:t>
      </w:r>
      <w:r w:rsidRPr="00740660">
        <w:rPr>
          <w:rFonts w:ascii="Verdana" w:hAnsi="Verdana" w:cs="Arial"/>
          <w:color w:val="1A1521"/>
          <w:spacing w:val="-2"/>
        </w:rPr>
        <w:t xml:space="preserve">fiscal </w:t>
      </w:r>
      <w:r w:rsidRPr="00740660">
        <w:rPr>
          <w:rFonts w:ascii="Verdana" w:hAnsi="Verdana" w:cs="Arial"/>
          <w:color w:val="1A1521"/>
          <w:spacing w:val="-2"/>
        </w:rPr>
        <w:t>powers decentralised and their institutional arrangements.</w:t>
      </w:r>
      <w:r>
        <w:rPr>
          <w:rStyle w:val="FootnoteReference"/>
          <w:rFonts w:ascii="Verdana" w:hAnsi="Verdana" w:cs="Arial"/>
          <w:color w:val="1A1521"/>
          <w:spacing w:val="-2"/>
        </w:rPr>
        <w:footnoteReference w:id="12"/>
      </w:r>
      <w:r w:rsidRPr="00740660">
        <w:rPr>
          <w:rFonts w:ascii="Verdana" w:hAnsi="Verdana" w:cs="Arial"/>
          <w:color w:val="1A1521"/>
          <w:spacing w:val="-2"/>
        </w:rPr>
        <w:t xml:space="preserve"> </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In theory, local tax level variation would enable </w:t>
      </w:r>
      <w:r w:rsidRPr="00740660">
        <w:rPr>
          <w:rFonts w:ascii="Verdana" w:hAnsi="Verdana" w:cs="Arial"/>
          <w:color w:val="1A1521"/>
          <w:spacing w:val="-2"/>
        </w:rPr>
        <w:t>government</w:t>
      </w:r>
      <w:r w:rsidRPr="00740660">
        <w:rPr>
          <w:rFonts w:ascii="Verdana" w:hAnsi="Verdana" w:cs="Arial"/>
          <w:color w:val="1A1521"/>
          <w:spacing w:val="-2"/>
        </w:rPr>
        <w:t>s to vary their local tax levels to attract mobile firms and workers.</w:t>
      </w:r>
      <w:r>
        <w:rPr>
          <w:rStyle w:val="FootnoteReference"/>
          <w:rFonts w:ascii="Verdana" w:hAnsi="Verdana" w:cs="Arial"/>
          <w:color w:val="1A1521"/>
          <w:spacing w:val="-2"/>
        </w:rPr>
        <w:footnoteReference w:id="13"/>
      </w:r>
      <w:r w:rsidRPr="00740660">
        <w:rPr>
          <w:rFonts w:ascii="Verdana" w:hAnsi="Verdana" w:cs="Arial"/>
          <w:color w:val="1A1521"/>
          <w:spacing w:val="-2"/>
        </w:rPr>
        <w:t xml:space="preserve"> </w:t>
      </w:r>
      <w:r w:rsidRPr="00740660">
        <w:rPr>
          <w:rFonts w:ascii="Verdana" w:hAnsi="Verdana" w:cs="Arial"/>
          <w:color w:val="1A1521"/>
          <w:spacing w:val="-2"/>
        </w:rPr>
        <w:t>Attracting firms would lead to increased local investment</w:t>
      </w:r>
      <w:r w:rsidRPr="00740660">
        <w:rPr>
          <w:rFonts w:ascii="Verdana" w:hAnsi="Verdana" w:cs="Arial"/>
          <w:color w:val="1A1521"/>
          <w:spacing w:val="-2"/>
        </w:rPr>
        <w:t>, more taxes being paid,</w:t>
      </w:r>
      <w:r w:rsidRPr="00740660">
        <w:rPr>
          <w:rFonts w:ascii="Verdana" w:hAnsi="Verdana" w:cs="Arial"/>
          <w:color w:val="1A1521"/>
          <w:spacing w:val="-2"/>
        </w:rPr>
        <w:t xml:space="preserve"> and positive economic multipliers</w:t>
      </w:r>
      <w:r w:rsidRPr="00740660">
        <w:rPr>
          <w:rFonts w:ascii="Verdana" w:hAnsi="Verdana" w:cs="Arial"/>
          <w:color w:val="1A1521"/>
          <w:spacing w:val="-2"/>
        </w:rPr>
        <w:t xml:space="preserve"> through supply chains</w:t>
      </w:r>
      <w:r w:rsidRPr="00740660">
        <w:rPr>
          <w:rFonts w:ascii="Verdana" w:hAnsi="Verdana" w:cs="Arial"/>
          <w:color w:val="1A1521"/>
          <w:spacing w:val="-2"/>
        </w:rPr>
        <w:t xml:space="preserve">. Attracting employees earning wages, paying taxes, and spending money locally would </w:t>
      </w:r>
      <w:r w:rsidRPr="00740660">
        <w:rPr>
          <w:rFonts w:ascii="Verdana" w:hAnsi="Verdana" w:cs="Arial"/>
          <w:color w:val="1A1521"/>
          <w:spacing w:val="-2"/>
        </w:rPr>
        <w:t xml:space="preserve">also </w:t>
      </w:r>
      <w:r w:rsidRPr="00740660">
        <w:rPr>
          <w:rFonts w:ascii="Verdana" w:hAnsi="Verdana" w:cs="Arial"/>
          <w:color w:val="1A1521"/>
          <w:spacing w:val="-2"/>
        </w:rPr>
        <w:t xml:space="preserve">generate positive multipliers. </w:t>
      </w:r>
      <w:r w:rsidRPr="00740660">
        <w:rPr>
          <w:rFonts w:ascii="Verdana" w:hAnsi="Verdana" w:cs="Arial"/>
          <w:color w:val="1A1521"/>
          <w:spacing w:val="-2"/>
        </w:rPr>
        <w:t>Conversely, m</w:t>
      </w:r>
      <w:r w:rsidRPr="00740660">
        <w:rPr>
          <w:rFonts w:ascii="Verdana" w:hAnsi="Verdana" w:cs="Arial"/>
          <w:color w:val="1A1521"/>
          <w:spacing w:val="-2"/>
        </w:rPr>
        <w:t>ore firms and employees locally would also increase demand and pressure on local infrastructure and services.</w:t>
      </w:r>
      <w:r w:rsidRPr="00740660">
        <w:rPr>
          <w:rFonts w:ascii="Verdana" w:hAnsi="Verdana" w:cs="Arial"/>
          <w:color w:val="1A1521"/>
          <w:spacing w:val="-2"/>
        </w:rPr>
        <w:t xml:space="preserve"> L</w:t>
      </w:r>
      <w:r w:rsidRPr="00740660">
        <w:rPr>
          <w:rFonts w:ascii="Verdana" w:hAnsi="Verdana" w:cs="Arial"/>
          <w:color w:val="1A1521"/>
          <w:spacing w:val="-2"/>
        </w:rPr>
        <w:t>ocal tax</w:t>
      </w:r>
      <w:r w:rsidRPr="00740660">
        <w:rPr>
          <w:rFonts w:ascii="Verdana" w:hAnsi="Verdana" w:cs="Arial"/>
          <w:color w:val="1A1521"/>
          <w:spacing w:val="-2"/>
        </w:rPr>
        <w:t xml:space="preserve"> variation can lead to</w:t>
      </w:r>
      <w:r w:rsidRPr="00740660">
        <w:rPr>
          <w:rFonts w:ascii="Verdana" w:hAnsi="Verdana" w:cs="Arial"/>
          <w:color w:val="1A1521"/>
          <w:spacing w:val="-2"/>
        </w:rPr>
        <w:t xml:space="preserve"> arbitrage and competition between areas </w:t>
      </w:r>
      <w:r w:rsidRPr="00740660">
        <w:rPr>
          <w:rFonts w:ascii="Verdana" w:hAnsi="Verdana" w:cs="Arial"/>
          <w:color w:val="1A1521"/>
          <w:spacing w:val="-2"/>
        </w:rPr>
        <w:t xml:space="preserve">which </w:t>
      </w:r>
      <w:r w:rsidRPr="00740660">
        <w:rPr>
          <w:rFonts w:ascii="Verdana" w:hAnsi="Verdana" w:cs="Arial"/>
          <w:color w:val="1A1521"/>
          <w:spacing w:val="-2"/>
        </w:rPr>
        <w:t>occurs in other countries, such as the US</w:t>
      </w:r>
      <w:r w:rsidRPr="00740660">
        <w:rPr>
          <w:rFonts w:ascii="Verdana" w:hAnsi="Verdana" w:cs="Arial"/>
          <w:color w:val="1A1521"/>
          <w:spacing w:val="-2"/>
        </w:rPr>
        <w:t xml:space="preserve">. </w:t>
      </w:r>
      <w:r w:rsidRPr="00740660">
        <w:rPr>
          <w:rFonts w:ascii="Verdana" w:hAnsi="Verdana" w:cs="Arial"/>
          <w:color w:val="1A1521"/>
          <w:spacing w:val="-2"/>
        </w:rPr>
        <w:t>F</w:t>
      </w:r>
      <w:r w:rsidRPr="00740660">
        <w:rPr>
          <w:rFonts w:ascii="Verdana" w:hAnsi="Verdana" w:cs="Arial"/>
          <w:color w:val="1A1521"/>
          <w:spacing w:val="-2"/>
        </w:rPr>
        <w:t xml:space="preserve">iscal devolution can create </w:t>
      </w:r>
      <w:r w:rsidRPr="00740660">
        <w:rPr>
          <w:rFonts w:ascii="Verdana" w:hAnsi="Verdana" w:cs="Arial"/>
          <w:color w:val="1A1521"/>
          <w:spacing w:val="-2"/>
        </w:rPr>
        <w:t xml:space="preserve">a ‘race to the bottom’ as local </w:t>
      </w:r>
      <w:r w:rsidRPr="00740660">
        <w:rPr>
          <w:rFonts w:ascii="Verdana" w:hAnsi="Verdana" w:cs="Arial"/>
          <w:color w:val="1A1521"/>
          <w:spacing w:val="-2"/>
        </w:rPr>
        <w:t>government</w:t>
      </w:r>
      <w:r w:rsidRPr="00740660">
        <w:rPr>
          <w:rFonts w:ascii="Verdana" w:hAnsi="Verdana" w:cs="Arial"/>
          <w:color w:val="1A1521"/>
          <w:spacing w:val="-2"/>
        </w:rPr>
        <w:t>s compete to reduce local taxes</w:t>
      </w:r>
      <w:r w:rsidRPr="00740660">
        <w:rPr>
          <w:rFonts w:ascii="Verdana" w:hAnsi="Verdana" w:cs="Arial"/>
          <w:color w:val="1A1521"/>
          <w:spacing w:val="-2"/>
        </w:rPr>
        <w:t xml:space="preserve"> to attrac</w:t>
      </w:r>
      <w:r w:rsidRPr="00740660">
        <w:rPr>
          <w:rFonts w:ascii="Verdana" w:hAnsi="Verdana" w:cs="Arial"/>
          <w:color w:val="1A1521"/>
          <w:spacing w:val="-2"/>
        </w:rPr>
        <w:t>t</w:t>
      </w:r>
      <w:r w:rsidRPr="00740660">
        <w:rPr>
          <w:rFonts w:ascii="Verdana" w:hAnsi="Verdana" w:cs="Arial"/>
          <w:color w:val="1A1521"/>
          <w:spacing w:val="-2"/>
        </w:rPr>
        <w:t xml:space="preserve"> firms and employees but </w:t>
      </w:r>
      <w:r w:rsidRPr="00740660">
        <w:rPr>
          <w:rFonts w:ascii="Verdana" w:hAnsi="Verdana" w:cs="Arial"/>
          <w:color w:val="1A1521"/>
          <w:spacing w:val="-2"/>
        </w:rPr>
        <w:t>reduce th</w:t>
      </w:r>
      <w:r w:rsidRPr="00740660">
        <w:rPr>
          <w:rFonts w:ascii="Verdana" w:hAnsi="Verdana" w:cs="Arial"/>
          <w:color w:val="1A1521"/>
          <w:spacing w:val="-2"/>
        </w:rPr>
        <w:t xml:space="preserve">e </w:t>
      </w:r>
      <w:r w:rsidRPr="00740660">
        <w:rPr>
          <w:rFonts w:ascii="Verdana" w:hAnsi="Verdana" w:cs="Arial"/>
          <w:color w:val="1A1521"/>
          <w:spacing w:val="-2"/>
        </w:rPr>
        <w:t>revenues available for local public services</w:t>
      </w:r>
      <w:r w:rsidRPr="00740660">
        <w:rPr>
          <w:rFonts w:ascii="Verdana" w:hAnsi="Verdana" w:cs="Arial"/>
          <w:color w:val="1A1521"/>
          <w:spacing w:val="-2"/>
        </w:rPr>
        <w:t xml:space="preserve"> leading </w:t>
      </w:r>
      <w:r w:rsidRPr="00740660">
        <w:rPr>
          <w:rFonts w:ascii="Verdana" w:hAnsi="Verdana" w:cs="Arial"/>
          <w:color w:val="1A1521"/>
          <w:spacing w:val="-2"/>
        </w:rPr>
        <w:t xml:space="preserve">to </w:t>
      </w:r>
      <w:r w:rsidRPr="00740660">
        <w:rPr>
          <w:rFonts w:ascii="Verdana" w:hAnsi="Verdana" w:cs="Arial"/>
          <w:color w:val="1A1521"/>
          <w:spacing w:val="-2"/>
        </w:rPr>
        <w:t xml:space="preserve">firms and people </w:t>
      </w:r>
      <w:r w:rsidRPr="00740660">
        <w:rPr>
          <w:rFonts w:ascii="Verdana" w:hAnsi="Verdana" w:cs="Arial"/>
          <w:color w:val="1A1521"/>
          <w:spacing w:val="-2"/>
        </w:rPr>
        <w:t xml:space="preserve">being </w:t>
      </w:r>
      <w:r w:rsidRPr="00740660">
        <w:rPr>
          <w:rFonts w:ascii="Verdana" w:hAnsi="Verdana" w:cs="Arial"/>
          <w:color w:val="1A1521"/>
          <w:spacing w:val="-2"/>
        </w:rPr>
        <w:t>under-served</w:t>
      </w:r>
      <w:r w:rsidRPr="00740660">
        <w:rPr>
          <w:rFonts w:ascii="Verdana" w:hAnsi="Verdana" w:cs="Arial"/>
          <w:color w:val="1A1521"/>
          <w:spacing w:val="-2"/>
        </w:rPr>
        <w:t xml:space="preserve">. </w:t>
      </w:r>
      <w:r w:rsidRPr="00740660">
        <w:rPr>
          <w:rFonts w:ascii="Verdana" w:hAnsi="Verdana" w:cs="Arial"/>
          <w:color w:val="1A1521"/>
          <w:spacing w:val="-2"/>
        </w:rPr>
        <w:t xml:space="preserve">The aim is to generate higher revenues from the enlarged tax base to offset the impact of reduced tax rates. </w:t>
      </w:r>
      <w:r w:rsidRPr="00740660">
        <w:rPr>
          <w:rFonts w:ascii="Verdana" w:hAnsi="Verdana" w:cs="Arial"/>
          <w:color w:val="1A1521"/>
          <w:spacing w:val="-2"/>
        </w:rPr>
        <w:t xml:space="preserve">To function effectively, </w:t>
      </w:r>
      <w:r w:rsidRPr="00740660">
        <w:rPr>
          <w:rFonts w:ascii="Verdana" w:hAnsi="Verdana" w:cs="Arial"/>
          <w:color w:val="1A1521"/>
          <w:spacing w:val="-2"/>
        </w:rPr>
        <w:t xml:space="preserve">local tax variation </w:t>
      </w:r>
      <w:r w:rsidRPr="00740660">
        <w:rPr>
          <w:rFonts w:ascii="Verdana" w:hAnsi="Verdana" w:cs="Arial"/>
          <w:color w:val="1A1521"/>
          <w:spacing w:val="-2"/>
        </w:rPr>
        <w:t xml:space="preserve">relies upon the local </w:t>
      </w:r>
      <w:r w:rsidRPr="00740660">
        <w:rPr>
          <w:rFonts w:ascii="Verdana" w:hAnsi="Verdana" w:cs="Arial"/>
          <w:color w:val="1A1521"/>
          <w:spacing w:val="-2"/>
        </w:rPr>
        <w:t>government</w:t>
      </w:r>
      <w:r w:rsidRPr="00740660">
        <w:rPr>
          <w:rFonts w:ascii="Verdana" w:hAnsi="Verdana" w:cs="Arial"/>
          <w:color w:val="1A1521"/>
          <w:spacing w:val="-2"/>
        </w:rPr>
        <w:t xml:space="preserve">s being able to raise and retain the local tax revenues from the increased numbers of firms and </w:t>
      </w:r>
      <w:r w:rsidRPr="00740660">
        <w:rPr>
          <w:rFonts w:ascii="Verdana" w:hAnsi="Verdana" w:cs="Arial"/>
          <w:color w:val="1A1521"/>
          <w:spacing w:val="-2"/>
        </w:rPr>
        <w:t xml:space="preserve">employees </w:t>
      </w:r>
      <w:r w:rsidRPr="00740660">
        <w:rPr>
          <w:rFonts w:ascii="Verdana" w:hAnsi="Verdana" w:cs="Arial"/>
          <w:color w:val="1A1521"/>
          <w:spacing w:val="-2"/>
        </w:rPr>
        <w:t>in their area.</w:t>
      </w:r>
    </w:p>
    <w:p w:rsidR="002B14FE"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Fiscal devolution can increase geographical and socio-spatial inequalities</w:t>
      </w:r>
      <w:r w:rsidRPr="00740660">
        <w:rPr>
          <w:rFonts w:ascii="Verdana" w:hAnsi="Verdana" w:cs="Arial"/>
          <w:color w:val="1A1521"/>
          <w:spacing w:val="-2"/>
        </w:rPr>
        <w:t>.</w:t>
      </w:r>
      <w:r w:rsidRPr="00740660">
        <w:rPr>
          <w:rFonts w:ascii="Verdana" w:hAnsi="Verdana" w:cs="Arial"/>
          <w:color w:val="1A1521"/>
          <w:spacing w:val="-2"/>
        </w:rPr>
        <w:t xml:space="preserve"> </w:t>
      </w:r>
      <w:r w:rsidRPr="00740660">
        <w:rPr>
          <w:rFonts w:ascii="Verdana" w:hAnsi="Verdana" w:cs="Arial"/>
          <w:color w:val="1A1521"/>
          <w:spacing w:val="-2"/>
        </w:rPr>
        <w:t>W</w:t>
      </w:r>
      <w:r w:rsidRPr="00740660">
        <w:rPr>
          <w:rFonts w:ascii="Verdana" w:hAnsi="Verdana" w:cs="Arial"/>
          <w:color w:val="1A1521"/>
          <w:spacing w:val="-2"/>
        </w:rPr>
        <w:t>hen</w:t>
      </w:r>
      <w:r w:rsidRPr="00740660">
        <w:rPr>
          <w:rFonts w:ascii="Verdana" w:hAnsi="Verdana" w:cs="Arial"/>
          <w:color w:val="1A1521"/>
          <w:spacing w:val="-2"/>
        </w:rPr>
        <w:t xml:space="preserve"> </w:t>
      </w:r>
      <w:r w:rsidRPr="00740660">
        <w:rPr>
          <w:rFonts w:ascii="Verdana" w:hAnsi="Verdana" w:cs="Arial"/>
          <w:color w:val="1A1521"/>
          <w:spacing w:val="-2"/>
        </w:rPr>
        <w:t xml:space="preserve">local </w:t>
      </w:r>
      <w:r w:rsidRPr="00740660">
        <w:rPr>
          <w:rFonts w:ascii="Verdana" w:hAnsi="Verdana" w:cs="Arial"/>
          <w:color w:val="1A1521"/>
          <w:spacing w:val="-2"/>
        </w:rPr>
        <w:t>government</w:t>
      </w:r>
      <w:r w:rsidRPr="00740660">
        <w:rPr>
          <w:rFonts w:ascii="Verdana" w:hAnsi="Verdana" w:cs="Arial"/>
          <w:color w:val="1A1521"/>
          <w:spacing w:val="-2"/>
        </w:rPr>
        <w:t xml:space="preserve">s </w:t>
      </w:r>
      <w:r w:rsidRPr="00740660">
        <w:rPr>
          <w:rFonts w:ascii="Verdana" w:hAnsi="Verdana" w:cs="Arial"/>
          <w:color w:val="1A1521"/>
          <w:spacing w:val="-2"/>
        </w:rPr>
        <w:t xml:space="preserve">are </w:t>
      </w:r>
      <w:r w:rsidRPr="00740660">
        <w:rPr>
          <w:rFonts w:ascii="Verdana" w:hAnsi="Verdana" w:cs="Arial"/>
          <w:color w:val="1A1521"/>
          <w:spacing w:val="-2"/>
        </w:rPr>
        <w:t>given a wider range of local tax raising powers some areas would benefit more than others by growing their tax base and increasing their revenues compared to others less able or unable to expand their tax base and increase their revenues. Such local differences in tax revenue generation underpin the need for equalisation to redistribute the gains between richer and poorer areas.</w:t>
      </w:r>
      <w:r w:rsidRPr="00740660">
        <w:rPr>
          <w:rFonts w:ascii="Verdana" w:hAnsi="Verdana" w:cs="Arial"/>
          <w:color w:val="1A1521"/>
          <w:spacing w:val="-2"/>
        </w:rPr>
        <w:t xml:space="preserve"> </w:t>
      </w:r>
      <w:r w:rsidRPr="00740660">
        <w:rPr>
          <w:rFonts w:ascii="Verdana" w:hAnsi="Verdana" w:cs="Arial"/>
          <w:color w:val="1A1521"/>
          <w:spacing w:val="-2"/>
        </w:rPr>
        <w:t>Fiscal devolution can decrease geographical and socio-spatial inequalities</w:t>
      </w:r>
      <w:r w:rsidRPr="00740660">
        <w:rPr>
          <w:rFonts w:ascii="Verdana" w:hAnsi="Verdana" w:cs="Arial"/>
          <w:color w:val="1A1521"/>
          <w:spacing w:val="-2"/>
        </w:rPr>
        <w:t xml:space="preserve"> when</w:t>
      </w:r>
      <w:r w:rsidRPr="00740660">
        <w:rPr>
          <w:rFonts w:ascii="Verdana" w:hAnsi="Verdana" w:cs="Arial"/>
          <w:color w:val="1A1521"/>
          <w:spacing w:val="-2"/>
        </w:rPr>
        <w:t xml:space="preserve"> it enables local </w:t>
      </w:r>
      <w:r w:rsidRPr="00740660">
        <w:rPr>
          <w:rFonts w:ascii="Verdana" w:hAnsi="Verdana" w:cs="Arial"/>
          <w:color w:val="1A1521"/>
          <w:spacing w:val="-2"/>
        </w:rPr>
        <w:t>gove</w:t>
      </w:r>
      <w:r w:rsidRPr="00740660">
        <w:rPr>
          <w:rFonts w:ascii="Verdana" w:hAnsi="Verdana" w:cs="Arial"/>
          <w:color w:val="1A1521"/>
          <w:spacing w:val="-2"/>
        </w:rPr>
        <w:t>rnment</w:t>
      </w:r>
      <w:r w:rsidRPr="00740660">
        <w:rPr>
          <w:rFonts w:ascii="Verdana" w:hAnsi="Verdana" w:cs="Arial"/>
          <w:color w:val="1A1521"/>
          <w:spacing w:val="-2"/>
        </w:rPr>
        <w:t xml:space="preserve">s to reduce their reliance upon national government funding and raise and spend </w:t>
      </w:r>
      <w:r w:rsidRPr="00740660">
        <w:rPr>
          <w:rFonts w:ascii="Verdana" w:hAnsi="Verdana" w:cs="Arial"/>
          <w:color w:val="1A1521"/>
          <w:spacing w:val="-2"/>
        </w:rPr>
        <w:t xml:space="preserve">more </w:t>
      </w:r>
      <w:r w:rsidRPr="00740660">
        <w:rPr>
          <w:rFonts w:ascii="Verdana" w:hAnsi="Verdana" w:cs="Arial"/>
          <w:color w:val="1A1521"/>
          <w:spacing w:val="-2"/>
        </w:rPr>
        <w:t>of their own resources.</w:t>
      </w:r>
    </w:p>
    <w:p w:rsidR="00740660" w:rsidRPr="00740660" w:rsidP="00740660">
      <w:pPr>
        <w:spacing w:before="100" w:beforeAutospacing="1" w:after="100" w:afterAutospacing="1" w:line="480" w:lineRule="auto"/>
        <w:rPr>
          <w:rFonts w:ascii="Verdana" w:hAnsi="Verdana" w:cs="Arial"/>
          <w:color w:val="1A1521"/>
          <w:spacing w:val="-2"/>
        </w:rPr>
      </w:pP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b/>
          <w:bCs/>
          <w:color w:val="1A1521"/>
          <w:spacing w:val="-2"/>
        </w:rPr>
        <w:t>Fiscal powers </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The Chancellor’s statement signals the continuation of centralised governance and funding for local </w:t>
      </w:r>
      <w:r w:rsidRPr="00740660">
        <w:rPr>
          <w:rFonts w:ascii="Verdana" w:hAnsi="Verdana" w:cs="Arial"/>
          <w:color w:val="1A1521"/>
          <w:spacing w:val="-2"/>
        </w:rPr>
        <w:t>government</w:t>
      </w:r>
      <w:r w:rsidRPr="00740660">
        <w:rPr>
          <w:rFonts w:ascii="Verdana" w:hAnsi="Verdana" w:cs="Arial"/>
          <w:color w:val="1A1521"/>
          <w:spacing w:val="-2"/>
        </w:rPr>
        <w:t>s in England. National government and HM</w:t>
      </w:r>
      <w:r w:rsidRPr="00740660">
        <w:rPr>
          <w:rFonts w:ascii="Verdana" w:hAnsi="Verdana" w:cs="Arial"/>
          <w:color w:val="1A1521"/>
          <w:spacing w:val="-2"/>
        </w:rPr>
        <w:t xml:space="preserve"> Treasury</w:t>
      </w:r>
      <w:r w:rsidRPr="00740660">
        <w:rPr>
          <w:rFonts w:ascii="Verdana" w:hAnsi="Verdana" w:cs="Arial"/>
          <w:color w:val="1A1521"/>
          <w:spacing w:val="-2"/>
        </w:rPr>
        <w:t xml:space="preserve"> will decide upon the road map, what shares of what national taxes, and which places are deemed to have the capacity to deliver them and potential to benefit.</w:t>
      </w:r>
      <w:r w:rsidRPr="00740660">
        <w:rPr>
          <w:rFonts w:ascii="Verdana" w:hAnsi="Verdana" w:cs="Arial"/>
          <w:color w:val="1A1521"/>
          <w:spacing w:val="-2"/>
        </w:rPr>
        <w:t xml:space="preserve"> </w:t>
      </w:r>
      <w:r w:rsidRPr="00740660">
        <w:rPr>
          <w:rFonts w:ascii="Verdana" w:hAnsi="Verdana" w:cs="Arial"/>
          <w:color w:val="1A1521"/>
          <w:spacing w:val="-2"/>
        </w:rPr>
        <w:t xml:space="preserve">There is, to date, no criteria for making such decisions in a transparent and accountable way or detail on how the </w:t>
      </w:r>
      <w:r w:rsidRPr="00740660">
        <w:rPr>
          <w:rFonts w:ascii="Verdana" w:hAnsi="Verdana" w:cs="Arial"/>
          <w:color w:val="1A1521"/>
          <w:spacing w:val="-2"/>
        </w:rPr>
        <w:t xml:space="preserve">voices of </w:t>
      </w:r>
      <w:r w:rsidRPr="00740660">
        <w:rPr>
          <w:rFonts w:ascii="Verdana" w:hAnsi="Verdana" w:cs="Arial"/>
          <w:color w:val="1A1521"/>
          <w:spacing w:val="-2"/>
        </w:rPr>
        <w:t xml:space="preserve">local </w:t>
      </w:r>
      <w:r w:rsidRPr="00740660">
        <w:rPr>
          <w:rFonts w:ascii="Verdana" w:hAnsi="Verdana" w:cs="Arial"/>
          <w:color w:val="1A1521"/>
          <w:spacing w:val="-2"/>
        </w:rPr>
        <w:t>government</w:t>
      </w:r>
      <w:r w:rsidRPr="00740660">
        <w:rPr>
          <w:rFonts w:ascii="Verdana" w:hAnsi="Verdana" w:cs="Arial"/>
          <w:color w:val="1A1521"/>
          <w:spacing w:val="-2"/>
        </w:rPr>
        <w:t>s</w:t>
      </w:r>
      <w:r w:rsidRPr="00740660">
        <w:rPr>
          <w:rFonts w:ascii="Verdana" w:hAnsi="Verdana" w:cs="Arial"/>
          <w:color w:val="1A1521"/>
          <w:spacing w:val="-2"/>
        </w:rPr>
        <w:t xml:space="preserve"> </w:t>
      </w:r>
      <w:r w:rsidRPr="00740660">
        <w:rPr>
          <w:rFonts w:ascii="Verdana" w:hAnsi="Verdana" w:cs="Arial"/>
          <w:color w:val="1A1521"/>
          <w:spacing w:val="-2"/>
        </w:rPr>
        <w:t xml:space="preserve">and their residents </w:t>
      </w:r>
      <w:r w:rsidRPr="00740660">
        <w:rPr>
          <w:rFonts w:ascii="Verdana" w:hAnsi="Verdana" w:cs="Arial"/>
          <w:color w:val="1A1521"/>
          <w:spacing w:val="-2"/>
        </w:rPr>
        <w:t xml:space="preserve">will be </w:t>
      </w:r>
      <w:r w:rsidRPr="00740660">
        <w:rPr>
          <w:rFonts w:ascii="Verdana" w:hAnsi="Verdana" w:cs="Arial"/>
          <w:color w:val="1A1521"/>
          <w:spacing w:val="-2"/>
        </w:rPr>
        <w:t>taken into account</w:t>
      </w:r>
      <w:r w:rsidRPr="00740660">
        <w:rPr>
          <w:rFonts w:ascii="Verdana" w:hAnsi="Verdana" w:cs="Arial"/>
          <w:color w:val="1A1521"/>
          <w:spacing w:val="-2"/>
        </w:rPr>
        <w:t>.</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In </w:t>
      </w:r>
      <w:r w:rsidRPr="00740660">
        <w:rPr>
          <w:rFonts w:ascii="Verdana" w:hAnsi="Verdana" w:cs="Arial"/>
          <w:color w:val="1A1521"/>
          <w:spacing w:val="-2"/>
        </w:rPr>
        <w:t>addition</w:t>
      </w:r>
      <w:r w:rsidRPr="00740660">
        <w:rPr>
          <w:rFonts w:ascii="Verdana" w:hAnsi="Verdana" w:cs="Arial"/>
          <w:color w:val="1A1521"/>
          <w:spacing w:val="-2"/>
        </w:rPr>
        <w:t xml:space="preserve"> and again continuing the centralised and top-down governance of the system, the Chancellor has ruled out new taxes and higher tax rates in favour of ‘fiscal neutrality’. This economic concept </w:t>
      </w:r>
      <w:r w:rsidRPr="00740660">
        <w:rPr>
          <w:rFonts w:ascii="Verdana" w:hAnsi="Verdana" w:cs="Arial"/>
          <w:color w:val="1A1521"/>
          <w:spacing w:val="-2"/>
        </w:rPr>
        <w:t>aims</w:t>
      </w:r>
      <w:r w:rsidRPr="00740660">
        <w:rPr>
          <w:rFonts w:ascii="Verdana" w:hAnsi="Verdana" w:cs="Arial"/>
          <w:color w:val="1A1521"/>
          <w:spacing w:val="-2"/>
        </w:rPr>
        <w:t xml:space="preserve"> to avoid situations where government taxing and spending distort</w:t>
      </w:r>
      <w:r w:rsidRPr="00740660">
        <w:rPr>
          <w:rFonts w:ascii="Verdana" w:hAnsi="Verdana" w:cs="Arial"/>
          <w:color w:val="1A1521"/>
          <w:spacing w:val="-2"/>
        </w:rPr>
        <w:t>s</w:t>
      </w:r>
      <w:r w:rsidRPr="00740660">
        <w:rPr>
          <w:rFonts w:ascii="Verdana" w:hAnsi="Verdana" w:cs="Arial"/>
          <w:color w:val="1A1521"/>
          <w:spacing w:val="-2"/>
        </w:rPr>
        <w:t xml:space="preserve"> the choices of economic actors, influence</w:t>
      </w:r>
      <w:r w:rsidRPr="00740660">
        <w:rPr>
          <w:rFonts w:ascii="Verdana" w:hAnsi="Verdana" w:cs="Arial"/>
          <w:color w:val="1A1521"/>
          <w:spacing w:val="-2"/>
        </w:rPr>
        <w:t>s</w:t>
      </w:r>
      <w:r w:rsidRPr="00740660">
        <w:rPr>
          <w:rFonts w:ascii="Verdana" w:hAnsi="Verdana" w:cs="Arial"/>
          <w:color w:val="1A1521"/>
          <w:spacing w:val="-2"/>
        </w:rPr>
        <w:t xml:space="preserve"> the behaviour of taxpayers, or affect</w:t>
      </w:r>
      <w:r w:rsidRPr="00740660">
        <w:rPr>
          <w:rFonts w:ascii="Verdana" w:hAnsi="Verdana" w:cs="Arial"/>
          <w:color w:val="1A1521"/>
          <w:spacing w:val="-2"/>
        </w:rPr>
        <w:t>s</w:t>
      </w:r>
      <w:r w:rsidRPr="00740660">
        <w:rPr>
          <w:rFonts w:ascii="Verdana" w:hAnsi="Verdana" w:cs="Arial"/>
          <w:color w:val="1A1521"/>
          <w:spacing w:val="-2"/>
        </w:rPr>
        <w:t xml:space="preserve"> aggregate demand within the economy</w:t>
      </w:r>
      <w:r w:rsidRPr="00740660">
        <w:rPr>
          <w:rFonts w:ascii="Verdana" w:hAnsi="Verdana" w:cs="Arial"/>
          <w:color w:val="1A1521"/>
          <w:spacing w:val="-2"/>
        </w:rPr>
        <w:t xml:space="preserve">. It also seeks to achieve budgetary balance </w:t>
      </w:r>
      <w:r w:rsidRPr="00740660">
        <w:rPr>
          <w:rFonts w:ascii="Verdana" w:hAnsi="Verdana" w:cs="Arial"/>
          <w:color w:val="1A1521"/>
          <w:spacing w:val="-2"/>
        </w:rPr>
        <w:t xml:space="preserve">with tax revenue equalling expenditure. For local </w:t>
      </w:r>
      <w:r w:rsidRPr="00740660">
        <w:rPr>
          <w:rFonts w:ascii="Verdana" w:hAnsi="Verdana" w:cs="Arial"/>
          <w:color w:val="1A1521"/>
          <w:spacing w:val="-2"/>
        </w:rPr>
        <w:t xml:space="preserve">governments </w:t>
      </w:r>
      <w:r w:rsidRPr="00740660">
        <w:rPr>
          <w:rFonts w:ascii="Verdana" w:hAnsi="Verdana" w:cs="Arial"/>
          <w:color w:val="1A1521"/>
          <w:spacing w:val="-2"/>
        </w:rPr>
        <w:t>facing structura</w:t>
      </w:r>
      <w:r w:rsidRPr="00740660">
        <w:rPr>
          <w:rFonts w:ascii="Verdana" w:hAnsi="Verdana" w:cs="Arial"/>
          <w:color w:val="1A1521"/>
          <w:spacing w:val="-2"/>
        </w:rPr>
        <w:t>l deficits between expenditure and income, and seeking to influence economic actors, taxpayers, and demand in their local economies, ‘fiscal neutrality’ is a constrain</w:t>
      </w:r>
      <w:r w:rsidRPr="00740660">
        <w:rPr>
          <w:rFonts w:ascii="Verdana" w:hAnsi="Verdana" w:cs="Arial"/>
          <w:color w:val="1A1521"/>
          <w:spacing w:val="-2"/>
        </w:rPr>
        <w:t>t</w:t>
      </w:r>
      <w:r w:rsidRPr="00740660">
        <w:rPr>
          <w:rFonts w:ascii="Verdana" w:hAnsi="Verdana" w:cs="Arial"/>
          <w:color w:val="1A1521"/>
          <w:spacing w:val="-2"/>
        </w:rPr>
        <w:t>.</w:t>
      </w:r>
    </w:p>
    <w:p w:rsidR="002B14FE" w:rsidRPr="00740660" w:rsidP="00740660">
      <w:pPr>
        <w:spacing w:before="100" w:beforeAutospacing="1" w:after="100" w:afterAutospacing="1" w:line="480" w:lineRule="auto"/>
        <w:rPr>
          <w:rFonts w:ascii="Verdana" w:hAnsi="Verdana" w:cs="Arial"/>
          <w:color w:val="1A1521"/>
          <w:spacing w:val="-2"/>
        </w:rPr>
      </w:pP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Fiscal devolution in the Chancellor’s statement is limited to changing the shares of the tax revenues retained at different levels of government</w:t>
      </w:r>
      <w:r w:rsidRPr="00740660">
        <w:rPr>
          <w:rFonts w:ascii="Verdana" w:hAnsi="Verdana" w:cs="Arial"/>
          <w:color w:val="1A1521"/>
          <w:spacing w:val="-2"/>
        </w:rPr>
        <w:t xml:space="preserve">. It aims to </w:t>
      </w:r>
      <w:r w:rsidRPr="00740660">
        <w:rPr>
          <w:rFonts w:ascii="Verdana" w:hAnsi="Verdana" w:cs="Arial"/>
          <w:color w:val="1A1521"/>
          <w:spacing w:val="-2"/>
        </w:rPr>
        <w:t>incentivis</w:t>
      </w:r>
      <w:r w:rsidRPr="00740660">
        <w:rPr>
          <w:rFonts w:ascii="Verdana" w:hAnsi="Verdana" w:cs="Arial"/>
          <w:color w:val="1A1521"/>
          <w:spacing w:val="-2"/>
        </w:rPr>
        <w:t>e</w:t>
      </w:r>
      <w:r w:rsidRPr="00740660">
        <w:rPr>
          <w:rFonts w:ascii="Verdana" w:hAnsi="Verdana" w:cs="Arial"/>
          <w:color w:val="1A1521"/>
          <w:spacing w:val="-2"/>
        </w:rPr>
        <w:t xml:space="preserve"> places to generate </w:t>
      </w:r>
      <w:r w:rsidRPr="00740660">
        <w:rPr>
          <w:rFonts w:ascii="Verdana" w:hAnsi="Verdana" w:cs="Arial"/>
          <w:color w:val="1A1521"/>
          <w:spacing w:val="-2"/>
        </w:rPr>
        <w:t xml:space="preserve">local economic </w:t>
      </w:r>
      <w:r w:rsidRPr="00740660">
        <w:rPr>
          <w:rFonts w:ascii="Verdana" w:hAnsi="Verdana" w:cs="Arial"/>
          <w:color w:val="1A1521"/>
          <w:spacing w:val="-2"/>
        </w:rPr>
        <w:t>growth and benefit from its positive impact on local tax revenues i.e. keeping more of the tax revenues generated locally.</w:t>
      </w:r>
      <w:r w:rsidRPr="00740660">
        <w:rPr>
          <w:rFonts w:ascii="Verdana" w:hAnsi="Verdana" w:cs="Arial"/>
          <w:color w:val="1A1521"/>
          <w:spacing w:val="-2"/>
        </w:rPr>
        <w:t xml:space="preserve"> </w:t>
      </w:r>
      <w:r w:rsidRPr="00740660">
        <w:rPr>
          <w:rFonts w:ascii="Verdana" w:hAnsi="Verdana" w:cs="Arial"/>
          <w:color w:val="1A1521"/>
          <w:spacing w:val="-2"/>
        </w:rPr>
        <w:t xml:space="preserve">National government’s commitment to fiscal neutrality creates a constraint that would prevent local </w:t>
      </w:r>
      <w:r w:rsidRPr="00740660">
        <w:rPr>
          <w:rFonts w:ascii="Verdana" w:hAnsi="Verdana" w:cs="Arial"/>
          <w:color w:val="1A1521"/>
          <w:spacing w:val="-2"/>
        </w:rPr>
        <w:t>government</w:t>
      </w:r>
      <w:r w:rsidRPr="00740660">
        <w:rPr>
          <w:rFonts w:ascii="Verdana" w:hAnsi="Verdana" w:cs="Arial"/>
          <w:color w:val="1A1521"/>
          <w:spacing w:val="-2"/>
        </w:rPr>
        <w:t xml:space="preserve">s from generating the </w:t>
      </w:r>
      <w:r w:rsidRPr="00740660">
        <w:rPr>
          <w:rFonts w:ascii="Verdana" w:hAnsi="Verdana" w:cs="Arial"/>
          <w:i/>
          <w:iCs/>
          <w:color w:val="1A1521"/>
          <w:spacing w:val="-2"/>
        </w:rPr>
        <w:t>additional</w:t>
      </w:r>
      <w:r w:rsidRPr="00740660">
        <w:rPr>
          <w:rFonts w:ascii="Verdana" w:hAnsi="Verdana" w:cs="Arial"/>
          <w:color w:val="1A1521"/>
          <w:spacing w:val="-2"/>
        </w:rPr>
        <w:t xml:space="preserve"> revenues they need</w:t>
      </w:r>
      <w:r w:rsidRPr="00740660">
        <w:rPr>
          <w:rFonts w:ascii="Verdana" w:hAnsi="Verdana" w:cs="Arial"/>
          <w:color w:val="1A1521"/>
          <w:spacing w:val="-2"/>
        </w:rPr>
        <w:t xml:space="preserve"> from higher tax rates and new local taxes</w:t>
      </w:r>
      <w:r w:rsidRPr="00740660">
        <w:rPr>
          <w:rFonts w:ascii="Verdana" w:hAnsi="Verdana" w:cs="Arial"/>
          <w:color w:val="1A1521"/>
          <w:spacing w:val="-2"/>
        </w:rPr>
        <w:t xml:space="preserve"> to address their structural deficits between expenditure and income.</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As noted above, d</w:t>
      </w:r>
      <w:r w:rsidRPr="00740660">
        <w:rPr>
          <w:rFonts w:ascii="Verdana" w:hAnsi="Verdana" w:cs="Arial"/>
          <w:color w:val="1A1521"/>
          <w:spacing w:val="-2"/>
        </w:rPr>
        <w:t>evolving control over shares of national taxes is only one form of fiscal devolution</w:t>
      </w:r>
      <w:r w:rsidRPr="00740660">
        <w:rPr>
          <w:rFonts w:ascii="Verdana" w:hAnsi="Verdana" w:cs="Arial"/>
          <w:color w:val="1A1521"/>
          <w:spacing w:val="-2"/>
        </w:rPr>
        <w:t>.</w:t>
      </w:r>
      <w:r w:rsidRPr="00740660">
        <w:rPr>
          <w:rFonts w:ascii="Verdana" w:hAnsi="Verdana" w:cs="Arial"/>
          <w:color w:val="1A1521"/>
          <w:spacing w:val="-2"/>
        </w:rPr>
        <w:t xml:space="preserve"> Inspired by and drawing upon experience internationally, other fiscal powers that could usefully be devolved in England </w:t>
      </w:r>
      <w:r w:rsidRPr="00740660">
        <w:rPr>
          <w:rFonts w:ascii="Verdana" w:hAnsi="Verdana" w:cs="Arial"/>
          <w:color w:val="1A1521"/>
          <w:spacing w:val="-2"/>
        </w:rPr>
        <w:t>include</w:t>
      </w:r>
      <w:r w:rsidRPr="00740660">
        <w:rPr>
          <w:rFonts w:ascii="Verdana" w:hAnsi="Verdana" w:cs="Arial"/>
          <w:color w:val="1A1521"/>
          <w:spacing w:val="-2"/>
        </w:rPr>
        <w:t>:</w:t>
      </w:r>
      <w:r w:rsidRPr="00740660">
        <w:rPr>
          <w:rFonts w:ascii="Verdana" w:hAnsi="Verdana" w:cs="Arial"/>
          <w:color w:val="1A1521"/>
          <w:spacing w:val="-2"/>
        </w:rPr>
        <w:t xml:space="preserve"> greater control over </w:t>
      </w:r>
      <w:r w:rsidRPr="00740660">
        <w:rPr>
          <w:rFonts w:ascii="Verdana" w:hAnsi="Verdana" w:cs="Arial"/>
          <w:color w:val="1A1521"/>
          <w:spacing w:val="-2"/>
        </w:rPr>
        <w:t>Government</w:t>
      </w:r>
      <w:r w:rsidRPr="00740660">
        <w:rPr>
          <w:rFonts w:ascii="Verdana" w:hAnsi="Verdana" w:cs="Arial"/>
          <w:color w:val="1A1521"/>
          <w:spacing w:val="-2"/>
        </w:rPr>
        <w:t xml:space="preserve"> Tax</w:t>
      </w:r>
      <w:r w:rsidRPr="00740660">
        <w:rPr>
          <w:rFonts w:ascii="Verdana" w:hAnsi="Verdana" w:cs="Arial"/>
          <w:color w:val="1A1521"/>
          <w:spacing w:val="-2"/>
        </w:rPr>
        <w:t>;</w:t>
      </w:r>
      <w:r w:rsidRPr="00740660">
        <w:rPr>
          <w:rFonts w:ascii="Verdana" w:hAnsi="Verdana" w:cs="Arial"/>
          <w:color w:val="1A1521"/>
          <w:spacing w:val="-2"/>
        </w:rPr>
        <w:t xml:space="preserve"> enhanced retention of Business Rates; local shares of national taxes including income tax and stamp duty; and new taxes including tourism or transient visitor tax.  </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Other </w:t>
      </w:r>
      <w:r w:rsidRPr="00740660">
        <w:rPr>
          <w:rFonts w:ascii="Verdana" w:hAnsi="Verdana" w:cs="Arial"/>
          <w:color w:val="1A1521"/>
          <w:spacing w:val="-2"/>
        </w:rPr>
        <w:t xml:space="preserve">types of local </w:t>
      </w:r>
      <w:r w:rsidRPr="00740660">
        <w:rPr>
          <w:rFonts w:ascii="Verdana" w:hAnsi="Verdana" w:cs="Arial"/>
          <w:color w:val="1A1521"/>
          <w:spacing w:val="-2"/>
        </w:rPr>
        <w:t>taxes used in other countries</w:t>
      </w:r>
      <w:r w:rsidRPr="00740660">
        <w:rPr>
          <w:rFonts w:ascii="Verdana" w:hAnsi="Verdana" w:cs="Arial"/>
          <w:color w:val="1A1521"/>
          <w:spacing w:val="-2"/>
        </w:rPr>
        <w:t xml:space="preserve"> that could be considered</w:t>
      </w:r>
      <w:r w:rsidRPr="00740660">
        <w:rPr>
          <w:rFonts w:ascii="Verdana" w:hAnsi="Verdana" w:cs="Arial"/>
          <w:color w:val="1A1521"/>
          <w:spacing w:val="-2"/>
        </w:rPr>
        <w:t xml:space="preserve"> include </w:t>
      </w:r>
      <w:r w:rsidRPr="00740660">
        <w:rPr>
          <w:rFonts w:ascii="Verdana" w:hAnsi="Verdana" w:cs="Arial"/>
          <w:color w:val="1A1521"/>
          <w:spacing w:val="-2"/>
        </w:rPr>
        <w:t>those on</w:t>
      </w:r>
      <w:r w:rsidRPr="00740660">
        <w:rPr>
          <w:rFonts w:ascii="Verdana" w:hAnsi="Verdana" w:cs="Arial"/>
          <w:color w:val="1A1521"/>
          <w:spacing w:val="-2"/>
        </w:rPr>
        <w:t xml:space="preserve"> advertising, animal ownership,</w:t>
      </w:r>
      <w:r w:rsidRPr="00740660">
        <w:rPr>
          <w:rFonts w:ascii="Verdana" w:hAnsi="Verdana" w:cs="Arial"/>
          <w:color w:val="1A1521"/>
          <w:spacing w:val="-2"/>
        </w:rPr>
        <w:t xml:space="preserve"> </w:t>
      </w:r>
      <w:r w:rsidRPr="00740660">
        <w:rPr>
          <w:rFonts w:ascii="Verdana" w:hAnsi="Verdana" w:cs="Arial"/>
          <w:color w:val="1A1521"/>
          <w:spacing w:val="-2"/>
        </w:rPr>
        <w:t>firms</w:t>
      </w:r>
      <w:r w:rsidRPr="00740660">
        <w:rPr>
          <w:rFonts w:ascii="Verdana" w:hAnsi="Verdana" w:cs="Arial"/>
          <w:color w:val="1A1521"/>
          <w:spacing w:val="-2"/>
        </w:rPr>
        <w:t xml:space="preserve"> revenues and profits, income, consumption and </w:t>
      </w:r>
      <w:r w:rsidRPr="00740660">
        <w:rPr>
          <w:rFonts w:ascii="Verdana" w:hAnsi="Verdana" w:cs="Arial"/>
          <w:color w:val="1A1521"/>
          <w:spacing w:val="-2"/>
        </w:rPr>
        <w:t>sales</w:t>
      </w:r>
      <w:r w:rsidRPr="00740660">
        <w:rPr>
          <w:rFonts w:ascii="Verdana" w:hAnsi="Verdana" w:cs="Arial"/>
          <w:color w:val="1A1521"/>
          <w:spacing w:val="-2"/>
        </w:rPr>
        <w:t xml:space="preserve"> of goods and services</w:t>
      </w:r>
      <w:r w:rsidRPr="00740660">
        <w:rPr>
          <w:rFonts w:ascii="Verdana" w:hAnsi="Verdana" w:cs="Arial"/>
          <w:color w:val="1A1521"/>
          <w:spacing w:val="-2"/>
        </w:rPr>
        <w:t xml:space="preserve">, </w:t>
      </w:r>
      <w:r w:rsidRPr="00740660">
        <w:rPr>
          <w:rFonts w:ascii="Verdana" w:hAnsi="Verdana" w:cs="Arial"/>
          <w:color w:val="1A1521"/>
          <w:spacing w:val="-2"/>
        </w:rPr>
        <w:t xml:space="preserve">and </w:t>
      </w:r>
      <w:r w:rsidRPr="00740660">
        <w:rPr>
          <w:rFonts w:ascii="Verdana" w:hAnsi="Verdana" w:cs="Arial"/>
          <w:color w:val="1A1521"/>
          <w:spacing w:val="-2"/>
        </w:rPr>
        <w:t>vehicle licensing</w:t>
      </w:r>
      <w:r w:rsidRPr="00740660">
        <w:rPr>
          <w:rFonts w:ascii="Verdana" w:hAnsi="Verdana" w:cs="Arial"/>
          <w:color w:val="1A1521"/>
          <w:spacing w:val="-2"/>
        </w:rPr>
        <w:t>.</w:t>
      </w:r>
      <w:r w:rsidRPr="00740660">
        <w:rPr>
          <w:rFonts w:ascii="Verdana" w:hAnsi="Verdana" w:cs="Arial"/>
          <w:color w:val="1A1521"/>
          <w:spacing w:val="-2"/>
        </w:rPr>
        <w:t xml:space="preserve"> </w:t>
      </w:r>
      <w:r w:rsidRPr="00740660">
        <w:rPr>
          <w:rFonts w:ascii="Verdana" w:hAnsi="Verdana" w:cs="Arial"/>
          <w:color w:val="1A1521"/>
          <w:spacing w:val="-2"/>
        </w:rPr>
        <w:t>Pros and cons</w:t>
      </w:r>
      <w:r w:rsidRPr="00740660">
        <w:rPr>
          <w:rFonts w:ascii="Verdana" w:hAnsi="Verdana" w:cs="Arial"/>
          <w:color w:val="1A1521"/>
          <w:spacing w:val="-2"/>
        </w:rPr>
        <w:t xml:space="preserve"> exist for </w:t>
      </w:r>
      <w:r w:rsidRPr="00740660">
        <w:rPr>
          <w:rFonts w:ascii="Verdana" w:hAnsi="Verdana" w:cs="Arial"/>
          <w:color w:val="1A1521"/>
          <w:spacing w:val="-2"/>
        </w:rPr>
        <w:t xml:space="preserve">each </w:t>
      </w:r>
      <w:r w:rsidRPr="00740660">
        <w:rPr>
          <w:rFonts w:ascii="Verdana" w:hAnsi="Verdana" w:cs="Arial"/>
          <w:color w:val="1A1521"/>
          <w:spacing w:val="-2"/>
        </w:rPr>
        <w:t xml:space="preserve">type of local </w:t>
      </w:r>
      <w:r w:rsidRPr="00740660">
        <w:rPr>
          <w:rFonts w:ascii="Verdana" w:hAnsi="Verdana" w:cs="Arial"/>
          <w:color w:val="1A1521"/>
          <w:spacing w:val="-2"/>
        </w:rPr>
        <w:t>tax</w:t>
      </w:r>
      <w:r w:rsidRPr="00740660">
        <w:rPr>
          <w:rFonts w:ascii="Verdana" w:hAnsi="Verdana" w:cs="Arial"/>
          <w:color w:val="1A1521"/>
          <w:spacing w:val="-2"/>
        </w:rPr>
        <w:t xml:space="preserve"> </w:t>
      </w:r>
      <w:r w:rsidRPr="00740660">
        <w:rPr>
          <w:rFonts w:ascii="Verdana" w:hAnsi="Verdana" w:cs="Arial"/>
          <w:color w:val="1A1521"/>
          <w:spacing w:val="-2"/>
        </w:rPr>
        <w:t xml:space="preserve">and they would need </w:t>
      </w:r>
      <w:r w:rsidRPr="00740660">
        <w:rPr>
          <w:rFonts w:ascii="Verdana" w:hAnsi="Verdana" w:cs="Arial"/>
          <w:color w:val="1A1521"/>
          <w:spacing w:val="-2"/>
        </w:rPr>
        <w:t xml:space="preserve">assessing, </w:t>
      </w:r>
      <w:r w:rsidRPr="00740660">
        <w:rPr>
          <w:rFonts w:ascii="Verdana" w:hAnsi="Verdana" w:cs="Arial"/>
          <w:color w:val="1A1521"/>
          <w:spacing w:val="-2"/>
        </w:rPr>
        <w:t>trialling, monitoring, evaluating, and adapting before rolling out</w:t>
      </w:r>
      <w:r w:rsidRPr="00740660">
        <w:rPr>
          <w:rFonts w:ascii="Verdana" w:hAnsi="Verdana" w:cs="Arial"/>
          <w:color w:val="1A1521"/>
          <w:spacing w:val="-2"/>
        </w:rPr>
        <w:t xml:space="preserve"> across the 317 local </w:t>
      </w:r>
      <w:r w:rsidRPr="00740660">
        <w:rPr>
          <w:rFonts w:ascii="Verdana" w:hAnsi="Verdana" w:cs="Arial"/>
          <w:color w:val="1A1521"/>
          <w:spacing w:val="-2"/>
        </w:rPr>
        <w:t>government</w:t>
      </w:r>
      <w:r w:rsidRPr="00740660">
        <w:rPr>
          <w:rFonts w:ascii="Verdana" w:hAnsi="Verdana" w:cs="Arial"/>
          <w:color w:val="1A1521"/>
          <w:spacing w:val="-2"/>
        </w:rPr>
        <w:t>s in England.</w:t>
      </w:r>
    </w:p>
    <w:p w:rsidR="002B14FE" w:rsidRPr="00740660" w:rsidP="00740660">
      <w:pPr>
        <w:spacing w:before="100" w:beforeAutospacing="1" w:after="100" w:afterAutospacing="1" w:line="480" w:lineRule="auto"/>
        <w:rPr>
          <w:rFonts w:ascii="Verdana" w:hAnsi="Verdana" w:cs="Arial"/>
          <w:color w:val="1A1521"/>
          <w:spacing w:val="-2"/>
        </w:rPr>
      </w:pP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b/>
          <w:bCs/>
          <w:color w:val="1A1521"/>
          <w:spacing w:val="-2"/>
        </w:rPr>
        <w:t>The governance of fiscal devolution</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rPr>
        <w:t xml:space="preserve">Fiscal federalism theory identifies the </w:t>
      </w:r>
      <w:r w:rsidRPr="00740660">
        <w:rPr>
          <w:rFonts w:ascii="Verdana" w:hAnsi="Verdana" w:cs="Arial"/>
        </w:rPr>
        <w:t xml:space="preserve">key </w:t>
      </w:r>
      <w:r w:rsidRPr="00740660">
        <w:rPr>
          <w:rFonts w:ascii="Verdana" w:hAnsi="Verdana" w:cs="Arial"/>
        </w:rPr>
        <w:t xml:space="preserve">principles for fiscal devolution: </w:t>
      </w:r>
      <w:r w:rsidRPr="00740660">
        <w:rPr>
          <w:rFonts w:ascii="Verdana" w:hAnsi="Verdana" w:cs="Arial"/>
        </w:rPr>
        <w:t>efficiency, equity, accountability, responsiveness, stability, fiscal autonomy, and intergovernmental collaboration.</w:t>
      </w:r>
      <w:r>
        <w:rPr>
          <w:rStyle w:val="FootnoteReference"/>
          <w:rFonts w:ascii="Verdana" w:hAnsi="Verdana" w:cs="Arial"/>
        </w:rPr>
        <w:footnoteReference w:id="14"/>
      </w:r>
      <w:r w:rsidRPr="00740660">
        <w:rPr>
          <w:rFonts w:ascii="Verdana" w:hAnsi="Verdana" w:cs="Arial"/>
        </w:rPr>
        <w:t xml:space="preserve"> Further key principles are subsidiarity and transparency.</w:t>
      </w:r>
      <w:r>
        <w:rPr>
          <w:rStyle w:val="FootnoteReference"/>
          <w:rFonts w:ascii="Verdana" w:hAnsi="Verdana" w:cs="Arial"/>
        </w:rPr>
        <w:footnoteReference w:id="15"/>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Given local </w:t>
      </w:r>
      <w:r w:rsidRPr="00740660">
        <w:rPr>
          <w:rFonts w:ascii="Verdana" w:hAnsi="Verdana" w:cs="Arial"/>
          <w:color w:val="1A1521"/>
          <w:spacing w:val="-2"/>
        </w:rPr>
        <w:t>government</w:t>
      </w:r>
      <w:r w:rsidRPr="00740660">
        <w:rPr>
          <w:rFonts w:ascii="Verdana" w:hAnsi="Verdana" w:cs="Arial"/>
          <w:color w:val="1A1521"/>
          <w:spacing w:val="-2"/>
        </w:rPr>
        <w:t xml:space="preserve">s </w:t>
      </w:r>
      <w:r w:rsidRPr="00740660">
        <w:rPr>
          <w:rFonts w:ascii="Verdana" w:hAnsi="Verdana" w:cs="Arial"/>
          <w:color w:val="1A1521"/>
          <w:spacing w:val="-2"/>
        </w:rPr>
        <w:t xml:space="preserve">in England </w:t>
      </w:r>
      <w:r w:rsidRPr="00740660">
        <w:rPr>
          <w:rFonts w:ascii="Verdana" w:hAnsi="Verdana" w:cs="Arial"/>
          <w:color w:val="1A1521"/>
          <w:spacing w:val="-2"/>
        </w:rPr>
        <w:t xml:space="preserve">are creatures of the national parliament in Westminster, </w:t>
      </w:r>
      <w:r w:rsidRPr="00740660">
        <w:rPr>
          <w:rFonts w:ascii="Verdana" w:hAnsi="Verdana" w:cs="Arial"/>
          <w:color w:val="1A1521"/>
          <w:spacing w:val="-2"/>
        </w:rPr>
        <w:t xml:space="preserve">it is critical to </w:t>
      </w:r>
      <w:r w:rsidRPr="00740660">
        <w:rPr>
          <w:rFonts w:ascii="Verdana" w:hAnsi="Verdana" w:cs="Arial"/>
          <w:color w:val="1A1521"/>
          <w:spacing w:val="-2"/>
        </w:rPr>
        <w:t xml:space="preserve">establish a </w:t>
      </w:r>
      <w:r w:rsidRPr="00740660">
        <w:rPr>
          <w:rFonts w:ascii="Verdana" w:hAnsi="Verdana" w:cs="Arial"/>
          <w:color w:val="1A1521"/>
          <w:spacing w:val="-2"/>
        </w:rPr>
        <w:t>longer term</w:t>
      </w:r>
      <w:r w:rsidRPr="00740660">
        <w:rPr>
          <w:rFonts w:ascii="Verdana" w:hAnsi="Verdana" w:cs="Arial"/>
          <w:color w:val="1A1521"/>
          <w:spacing w:val="-2"/>
        </w:rPr>
        <w:t xml:space="preserve"> </w:t>
      </w:r>
      <w:r w:rsidRPr="00740660">
        <w:rPr>
          <w:rFonts w:ascii="Verdana" w:hAnsi="Verdana" w:cs="Arial"/>
          <w:color w:val="1A1521"/>
          <w:spacing w:val="-2"/>
        </w:rPr>
        <w:t>constitutional protection for local self-government in England based upon the European Charter. Principles can</w:t>
      </w:r>
      <w:r w:rsidRPr="00740660">
        <w:rPr>
          <w:rFonts w:ascii="Verdana" w:hAnsi="Verdana" w:cs="Arial"/>
          <w:color w:val="1A1521"/>
          <w:spacing w:val="-2"/>
        </w:rPr>
        <w:t xml:space="preserve"> then</w:t>
      </w:r>
      <w:r w:rsidRPr="00740660">
        <w:rPr>
          <w:rFonts w:ascii="Verdana" w:hAnsi="Verdana" w:cs="Arial"/>
          <w:color w:val="1A1521"/>
          <w:spacing w:val="-2"/>
        </w:rPr>
        <w:t xml:space="preserve"> underpin and guide policy, </w:t>
      </w:r>
      <w:r w:rsidRPr="00740660">
        <w:rPr>
          <w:rFonts w:ascii="Verdana" w:hAnsi="Verdana" w:cs="Arial"/>
          <w:color w:val="1A1521"/>
          <w:spacing w:val="-2"/>
        </w:rPr>
        <w:t>avoid</w:t>
      </w:r>
      <w:r w:rsidRPr="00740660">
        <w:rPr>
          <w:rFonts w:ascii="Verdana" w:hAnsi="Verdana" w:cs="Arial"/>
          <w:color w:val="1A1521"/>
          <w:spacing w:val="-2"/>
        </w:rPr>
        <w:t>ing</w:t>
      </w:r>
      <w:r w:rsidRPr="00740660">
        <w:rPr>
          <w:rFonts w:ascii="Verdana" w:hAnsi="Verdana" w:cs="Arial"/>
          <w:color w:val="1A1521"/>
          <w:spacing w:val="-2"/>
        </w:rPr>
        <w:t xml:space="preserve"> the policy churn and changes with the</w:t>
      </w:r>
      <w:r w:rsidRPr="00740660">
        <w:rPr>
          <w:rFonts w:ascii="Verdana" w:hAnsi="Verdana" w:cs="Arial"/>
          <w:color w:val="1A1521"/>
          <w:spacing w:val="-2"/>
        </w:rPr>
        <w:t xml:space="preserve"> </w:t>
      </w:r>
      <w:r w:rsidRPr="00740660">
        <w:rPr>
          <w:rFonts w:ascii="Verdana" w:hAnsi="Verdana" w:cs="Arial"/>
          <w:color w:val="1A1521"/>
          <w:spacing w:val="-2"/>
        </w:rPr>
        <w:t>five-year</w:t>
      </w:r>
      <w:r w:rsidRPr="00740660">
        <w:rPr>
          <w:rFonts w:ascii="Verdana" w:hAnsi="Verdana" w:cs="Arial"/>
          <w:color w:val="1A1521"/>
          <w:spacing w:val="-2"/>
        </w:rPr>
        <w:t xml:space="preserve"> political cycle of national governments</w:t>
      </w:r>
      <w:r w:rsidRPr="00740660">
        <w:rPr>
          <w:rFonts w:ascii="Verdana" w:hAnsi="Verdana" w:cs="Arial"/>
          <w:color w:val="1A1521"/>
          <w:spacing w:val="-2"/>
        </w:rPr>
        <w:t xml:space="preserve"> in the UK</w:t>
      </w:r>
      <w:r w:rsidRPr="00740660">
        <w:rPr>
          <w:rFonts w:ascii="Verdana" w:hAnsi="Verdana" w:cs="Arial"/>
          <w:color w:val="1A1521"/>
          <w:spacing w:val="-2"/>
        </w:rPr>
        <w:t>.</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Given the geographical inequalities in fiscal capacity and revenue generation noted above, robust, systematic, and transparent equalisation mechanisms are needed. Key is delivering equity by reducing inequalities between tax raising capacity and public expenditure needs to help provide comparable or uniform levels of public services across the country. Also important is maintaining a balance between incentivising places to use their expanded fiscal tools to generate revenues and avoiding penalising places w</w:t>
      </w:r>
      <w:r w:rsidRPr="00740660">
        <w:rPr>
          <w:rFonts w:ascii="Verdana" w:hAnsi="Verdana" w:cs="Arial"/>
          <w:color w:val="1A1521"/>
          <w:spacing w:val="-2"/>
        </w:rPr>
        <w:t>ith less fiscal capacity and potential revenue generation.</w:t>
      </w:r>
      <w:r w:rsidRPr="00740660">
        <w:rPr>
          <w:rFonts w:ascii="Verdana" w:hAnsi="Verdana" w:cs="Arial"/>
          <w:color w:val="1A1521"/>
          <w:spacing w:val="-2"/>
        </w:rPr>
        <w:t xml:space="preserve"> Many international examples exist, for example the </w:t>
      </w:r>
      <w:r w:rsidRPr="00740660">
        <w:rPr>
          <w:rFonts w:ascii="Verdana" w:hAnsi="Verdana" w:cs="Arial"/>
          <w:color w:val="1A1521"/>
          <w:spacing w:val="-2"/>
        </w:rPr>
        <w:t xml:space="preserve">horizontal </w:t>
      </w:r>
      <w:r w:rsidRPr="00740660">
        <w:rPr>
          <w:rFonts w:ascii="Verdana" w:hAnsi="Verdana" w:cs="Arial"/>
          <w:color w:val="1A1521"/>
          <w:spacing w:val="-2"/>
        </w:rPr>
        <w:t>re</w:t>
      </w:r>
      <w:r w:rsidRPr="00740660">
        <w:rPr>
          <w:rFonts w:ascii="Verdana" w:hAnsi="Verdana" w:cs="Arial"/>
          <w:color w:val="1A1521"/>
          <w:spacing w:val="-2"/>
        </w:rPr>
        <w:t>distribution</w:t>
      </w:r>
      <w:r w:rsidRPr="00740660">
        <w:rPr>
          <w:rFonts w:ascii="Verdana" w:hAnsi="Verdana" w:cs="Arial"/>
          <w:color w:val="1A1521"/>
          <w:spacing w:val="-2"/>
        </w:rPr>
        <w:t xml:space="preserve"> mechanisms</w:t>
      </w:r>
      <w:r w:rsidRPr="00740660">
        <w:rPr>
          <w:rFonts w:ascii="Verdana" w:hAnsi="Verdana" w:cs="Arial"/>
          <w:color w:val="1A1521"/>
          <w:spacing w:val="-2"/>
        </w:rPr>
        <w:t xml:space="preserve"> between states by the </w:t>
      </w:r>
      <w:r w:rsidRPr="00740660">
        <w:rPr>
          <w:rFonts w:ascii="Verdana" w:hAnsi="Verdana" w:cs="Arial"/>
          <w:color w:val="1A1521"/>
          <w:spacing w:val="-2"/>
        </w:rPr>
        <w:t xml:space="preserve">Commonwealth Grants Commission in </w:t>
      </w:r>
      <w:r w:rsidRPr="00740660">
        <w:rPr>
          <w:rFonts w:ascii="Verdana" w:hAnsi="Verdana" w:cs="Arial"/>
          <w:color w:val="1A1521"/>
          <w:spacing w:val="-2"/>
        </w:rPr>
        <w:t>Australia</w:t>
      </w:r>
      <w:r w:rsidRPr="00740660">
        <w:rPr>
          <w:rFonts w:ascii="Verdana" w:hAnsi="Verdana" w:cs="Arial"/>
          <w:color w:val="1A1521"/>
          <w:spacing w:val="-2"/>
        </w:rPr>
        <w:t xml:space="preserve">, </w:t>
      </w:r>
      <w:r w:rsidRPr="00740660">
        <w:rPr>
          <w:rFonts w:ascii="Verdana" w:hAnsi="Verdana" w:cs="Arial"/>
          <w:color w:val="1A1521"/>
          <w:spacing w:val="-2"/>
        </w:rPr>
        <w:t>the</w:t>
      </w:r>
      <w:r w:rsidRPr="00740660">
        <w:rPr>
          <w:rFonts w:ascii="Verdana" w:hAnsi="Verdana" w:cs="Arial"/>
          <w:color w:val="1A1521"/>
          <w:spacing w:val="-2"/>
        </w:rPr>
        <w:t xml:space="preserve"> Intermunicipal and Municipal Resource </w:t>
      </w:r>
      <w:r w:rsidRPr="00740660">
        <w:rPr>
          <w:rFonts w:ascii="Verdana" w:hAnsi="Verdana" w:cs="Arial"/>
          <w:color w:val="1A1521"/>
          <w:spacing w:val="-2"/>
        </w:rPr>
        <w:t>Equalisation</w:t>
      </w:r>
      <w:r w:rsidRPr="00740660">
        <w:rPr>
          <w:rFonts w:ascii="Verdana" w:hAnsi="Verdana" w:cs="Arial"/>
          <w:color w:val="1A1521"/>
          <w:spacing w:val="-2"/>
        </w:rPr>
        <w:t xml:space="preserve"> Fund and National Fund for Equalisation of Transfer Taxes</w:t>
      </w:r>
      <w:r w:rsidRPr="00740660">
        <w:rPr>
          <w:rFonts w:ascii="Verdana" w:hAnsi="Verdana" w:cs="Arial"/>
          <w:color w:val="1A1521"/>
          <w:spacing w:val="-2"/>
        </w:rPr>
        <w:t xml:space="preserve"> in </w:t>
      </w:r>
      <w:r w:rsidRPr="00740660">
        <w:rPr>
          <w:rFonts w:ascii="Verdana" w:hAnsi="Verdana" w:cs="Arial"/>
          <w:color w:val="1A1521"/>
          <w:spacing w:val="-2"/>
        </w:rPr>
        <w:t>France</w:t>
      </w:r>
      <w:r w:rsidRPr="00740660">
        <w:rPr>
          <w:rFonts w:ascii="Verdana" w:hAnsi="Verdana" w:cs="Arial"/>
          <w:color w:val="1A1521"/>
          <w:spacing w:val="-2"/>
        </w:rPr>
        <w:t xml:space="preserve">, and </w:t>
      </w:r>
      <w:r w:rsidRPr="00740660">
        <w:rPr>
          <w:rFonts w:ascii="Verdana" w:hAnsi="Verdana" w:cs="Arial"/>
          <w:color w:val="1A1521"/>
          <w:spacing w:val="-2"/>
        </w:rPr>
        <w:t>the Local Allocation Tax</w:t>
      </w:r>
      <w:r w:rsidRPr="00740660">
        <w:rPr>
          <w:rFonts w:ascii="Verdana" w:hAnsi="Verdana" w:cs="Arial"/>
          <w:color w:val="1A1521"/>
          <w:spacing w:val="-2"/>
        </w:rPr>
        <w:t xml:space="preserve"> in Japan</w:t>
      </w:r>
      <w:r w:rsidRPr="00740660">
        <w:rPr>
          <w:rFonts w:ascii="Verdana" w:hAnsi="Verdana" w:cs="Arial"/>
          <w:color w:val="1A1521"/>
          <w:spacing w:val="-2"/>
        </w:rPr>
        <w:t>.</w:t>
      </w:r>
      <w:r>
        <w:rPr>
          <w:rStyle w:val="FootnoteReference"/>
          <w:rFonts w:ascii="Verdana" w:hAnsi="Verdana" w:cs="Arial"/>
          <w:color w:val="1A1521"/>
          <w:spacing w:val="-2"/>
        </w:rPr>
        <w:footnoteReference w:id="16"/>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Multi-level governance between different tiers of government from the national to the community is common in other countries especially Europe. Given its long history and entrenched centralisation especially in England, </w:t>
      </w:r>
      <w:r w:rsidRPr="00740660">
        <w:rPr>
          <w:rFonts w:ascii="Verdana" w:hAnsi="Verdana" w:cs="Arial"/>
          <w:color w:val="1A1521"/>
          <w:spacing w:val="-2"/>
        </w:rPr>
        <w:t xml:space="preserve">multi-level governance </w:t>
      </w:r>
      <w:r w:rsidRPr="00740660">
        <w:rPr>
          <w:rFonts w:ascii="Verdana" w:hAnsi="Verdana" w:cs="Arial"/>
          <w:color w:val="1A1521"/>
          <w:spacing w:val="-2"/>
        </w:rPr>
        <w:t>is not established and embedded to the same degree</w:t>
      </w:r>
      <w:r w:rsidRPr="00740660">
        <w:rPr>
          <w:rFonts w:ascii="Verdana" w:hAnsi="Verdana" w:cs="Arial"/>
          <w:color w:val="1A1521"/>
          <w:spacing w:val="-2"/>
        </w:rPr>
        <w:t xml:space="preserve"> in the UK</w:t>
      </w:r>
      <w:r w:rsidRPr="00740660">
        <w:rPr>
          <w:rFonts w:ascii="Verdana" w:hAnsi="Verdana" w:cs="Arial"/>
          <w:color w:val="1A1521"/>
          <w:spacing w:val="-2"/>
        </w:rPr>
        <w:t xml:space="preserve">. The clear and complementary division of functions and powers </w:t>
      </w:r>
      <w:r w:rsidRPr="00740660">
        <w:rPr>
          <w:rFonts w:ascii="Verdana" w:hAnsi="Verdana" w:cs="Arial"/>
          <w:color w:val="1A1521"/>
          <w:spacing w:val="-2"/>
        </w:rPr>
        <w:t>between</w:t>
      </w:r>
      <w:r w:rsidRPr="00740660">
        <w:rPr>
          <w:rFonts w:ascii="Verdana" w:hAnsi="Verdana" w:cs="Arial"/>
          <w:color w:val="1A1521"/>
          <w:spacing w:val="-2"/>
        </w:rPr>
        <w:t xml:space="preserve"> the different </w:t>
      </w:r>
      <w:r w:rsidRPr="00740660">
        <w:rPr>
          <w:rFonts w:ascii="Verdana" w:hAnsi="Verdana" w:cs="Arial"/>
          <w:color w:val="1A1521"/>
          <w:spacing w:val="-2"/>
        </w:rPr>
        <w:t xml:space="preserve">tiers, </w:t>
      </w:r>
      <w:r w:rsidRPr="00740660">
        <w:rPr>
          <w:rFonts w:ascii="Verdana" w:hAnsi="Verdana" w:cs="Arial"/>
          <w:color w:val="1A1521"/>
          <w:spacing w:val="-2"/>
        </w:rPr>
        <w:t>and</w:t>
      </w:r>
      <w:r w:rsidRPr="00740660">
        <w:rPr>
          <w:rFonts w:ascii="Verdana" w:hAnsi="Verdana" w:cs="Arial"/>
          <w:color w:val="1A1521"/>
          <w:spacing w:val="-2"/>
        </w:rPr>
        <w:t xml:space="preserve"> </w:t>
      </w:r>
      <w:r w:rsidRPr="00740660">
        <w:rPr>
          <w:rFonts w:ascii="Verdana" w:hAnsi="Verdana" w:cs="Arial"/>
          <w:color w:val="1A1521"/>
          <w:spacing w:val="-2"/>
        </w:rPr>
        <w:t>avoiding the turf wars and ping-pong between levels eviden</w:t>
      </w:r>
      <w:r w:rsidRPr="00740660">
        <w:rPr>
          <w:rFonts w:ascii="Verdana" w:hAnsi="Verdana" w:cs="Arial"/>
          <w:color w:val="1A1521"/>
          <w:spacing w:val="-2"/>
        </w:rPr>
        <w:t>t</w:t>
      </w:r>
      <w:r w:rsidRPr="00740660">
        <w:rPr>
          <w:rFonts w:ascii="Verdana" w:hAnsi="Verdana" w:cs="Arial"/>
          <w:color w:val="1A1521"/>
          <w:spacing w:val="-2"/>
        </w:rPr>
        <w:t xml:space="preserve"> elsewhere</w:t>
      </w:r>
      <w:r w:rsidRPr="00740660">
        <w:rPr>
          <w:rFonts w:ascii="Verdana" w:hAnsi="Verdana" w:cs="Arial"/>
          <w:color w:val="1A1521"/>
          <w:spacing w:val="-2"/>
        </w:rPr>
        <w:t xml:space="preserve"> are </w:t>
      </w:r>
      <w:r w:rsidRPr="00740660">
        <w:rPr>
          <w:rFonts w:ascii="Verdana" w:hAnsi="Verdana" w:cs="Arial"/>
          <w:color w:val="1A1521"/>
          <w:spacing w:val="-2"/>
        </w:rPr>
        <w:t>less familar</w:t>
      </w:r>
      <w:r w:rsidRPr="00740660">
        <w:rPr>
          <w:rFonts w:ascii="Verdana" w:hAnsi="Verdana" w:cs="Arial"/>
          <w:color w:val="1A1521"/>
          <w:spacing w:val="-2"/>
        </w:rPr>
        <w:t>. There are signs</w:t>
      </w:r>
      <w:r w:rsidRPr="00740660">
        <w:rPr>
          <w:rFonts w:ascii="Verdana" w:hAnsi="Verdana" w:cs="Arial"/>
          <w:color w:val="1A1521"/>
          <w:spacing w:val="-2"/>
        </w:rPr>
        <w:t>, however,</w:t>
      </w:r>
      <w:r w:rsidRPr="00740660">
        <w:rPr>
          <w:rFonts w:ascii="Verdana" w:hAnsi="Verdana" w:cs="Arial"/>
          <w:color w:val="1A1521"/>
          <w:spacing w:val="-2"/>
        </w:rPr>
        <w:t xml:space="preserve"> </w:t>
      </w:r>
      <w:r w:rsidRPr="00740660">
        <w:rPr>
          <w:rFonts w:ascii="Verdana" w:hAnsi="Verdana" w:cs="Arial"/>
          <w:color w:val="1A1521"/>
          <w:spacing w:val="-2"/>
        </w:rPr>
        <w:t xml:space="preserve">that </w:t>
      </w:r>
      <w:r w:rsidRPr="00740660">
        <w:rPr>
          <w:rFonts w:ascii="Verdana" w:hAnsi="Verdana" w:cs="Arial"/>
          <w:color w:val="1A1521"/>
          <w:spacing w:val="-2"/>
        </w:rPr>
        <w:t>England is moving in this direction.</w:t>
      </w:r>
      <w:r>
        <w:rPr>
          <w:rStyle w:val="FootnoteReference"/>
          <w:rFonts w:ascii="Verdana" w:hAnsi="Verdana" w:cs="Arial"/>
          <w:color w:val="1A1521"/>
          <w:spacing w:val="-2"/>
        </w:rPr>
        <w:footnoteReference w:id="17"/>
      </w:r>
    </w:p>
    <w:p w:rsidR="002B14FE" w:rsidRPr="00740660" w:rsidP="00740660">
      <w:pPr>
        <w:spacing w:before="100" w:beforeAutospacing="1" w:after="100" w:afterAutospacing="1" w:line="480" w:lineRule="auto"/>
        <w:rPr>
          <w:rFonts w:ascii="Verdana" w:hAnsi="Verdana" w:cs="Arial"/>
          <w:color w:val="1A1521"/>
          <w:spacing w:val="-2"/>
        </w:rPr>
      </w:pP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b/>
          <w:bCs/>
          <w:color w:val="1A1521"/>
          <w:spacing w:val="-2"/>
        </w:rPr>
        <w:t>Delivering change</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Rebuilding capacity and capability in local </w:t>
      </w:r>
      <w:r w:rsidRPr="00740660">
        <w:rPr>
          <w:rFonts w:ascii="Verdana" w:hAnsi="Verdana" w:cs="Arial"/>
          <w:color w:val="1A1521"/>
          <w:spacing w:val="-2"/>
        </w:rPr>
        <w:t>government</w:t>
      </w:r>
      <w:r w:rsidRPr="00740660">
        <w:rPr>
          <w:rFonts w:ascii="Verdana" w:hAnsi="Verdana" w:cs="Arial"/>
          <w:color w:val="1A1521"/>
          <w:spacing w:val="-2"/>
        </w:rPr>
        <w:t>s is a central practical task. Austerity since 2010 has</w:t>
      </w:r>
      <w:r w:rsidRPr="00740660">
        <w:rPr>
          <w:rFonts w:ascii="Verdana" w:hAnsi="Verdana" w:cs="Arial"/>
          <w:color w:val="1A1521"/>
          <w:spacing w:val="-2"/>
        </w:rPr>
        <w:t xml:space="preserve"> seen local </w:t>
      </w:r>
      <w:r w:rsidRPr="00740660">
        <w:rPr>
          <w:rFonts w:ascii="Verdana" w:hAnsi="Verdana" w:cs="Arial"/>
          <w:color w:val="1A1521"/>
          <w:spacing w:val="-2"/>
        </w:rPr>
        <w:t>government</w:t>
      </w:r>
      <w:r w:rsidRPr="00740660">
        <w:rPr>
          <w:rFonts w:ascii="Verdana" w:hAnsi="Verdana" w:cs="Arial"/>
          <w:color w:val="1A1521"/>
          <w:spacing w:val="-2"/>
        </w:rPr>
        <w:t xml:space="preserve">s reduce </w:t>
      </w:r>
      <w:r w:rsidRPr="00740660">
        <w:rPr>
          <w:rFonts w:ascii="Verdana" w:hAnsi="Verdana" w:cs="Arial"/>
          <w:color w:val="212121"/>
        </w:rPr>
        <w:t xml:space="preserve">expenditure on central </w:t>
      </w:r>
      <w:r w:rsidRPr="00740660">
        <w:rPr>
          <w:rFonts w:ascii="Verdana" w:hAnsi="Verdana" w:cs="Arial"/>
          <w:color w:val="212121"/>
        </w:rPr>
        <w:t>government</w:t>
      </w:r>
      <w:r w:rsidRPr="00740660">
        <w:rPr>
          <w:rFonts w:ascii="Verdana" w:hAnsi="Verdana" w:cs="Arial"/>
          <w:color w:val="212121"/>
        </w:rPr>
        <w:t xml:space="preserve"> corporate and democratic support services by 34.2% overall in real terms between 2010-11 and 2017-18.</w:t>
      </w:r>
      <w:r>
        <w:rPr>
          <w:rStyle w:val="FootnoteReference"/>
          <w:rFonts w:ascii="Verdana" w:hAnsi="Verdana" w:cs="Arial"/>
          <w:color w:val="212121"/>
        </w:rPr>
        <w:footnoteReference w:id="18"/>
      </w:r>
      <w:r w:rsidRPr="00740660">
        <w:rPr>
          <w:rFonts w:ascii="Verdana" w:hAnsi="Verdana" w:cs="Arial"/>
          <w:color w:val="1A1521"/>
          <w:spacing w:val="-2"/>
        </w:rPr>
        <w:t xml:space="preserve"> Local </w:t>
      </w:r>
      <w:r w:rsidRPr="00740660">
        <w:rPr>
          <w:rFonts w:ascii="Verdana" w:hAnsi="Verdana" w:cs="Arial"/>
          <w:color w:val="1A1521"/>
          <w:spacing w:val="-2"/>
        </w:rPr>
        <w:t>government</w:t>
      </w:r>
      <w:r w:rsidRPr="00740660">
        <w:rPr>
          <w:rFonts w:ascii="Verdana" w:hAnsi="Verdana" w:cs="Arial"/>
          <w:color w:val="1A1521"/>
          <w:spacing w:val="-2"/>
        </w:rPr>
        <w:t>s need the capacity and capability to undertake research and analysis to develop strategies and plans for the short, medium and longer term</w:t>
      </w:r>
      <w:r w:rsidRPr="00740660">
        <w:rPr>
          <w:rFonts w:ascii="Verdana" w:hAnsi="Verdana" w:cs="Arial"/>
          <w:color w:val="1A1521"/>
          <w:spacing w:val="-2"/>
        </w:rPr>
        <w:t xml:space="preserve">. The period since 2010 has been marked by short-term, reactive </w:t>
      </w:r>
      <w:r w:rsidRPr="00740660">
        <w:rPr>
          <w:rFonts w:ascii="Verdana" w:hAnsi="Verdana" w:cs="Arial"/>
          <w:color w:val="1A1521"/>
          <w:spacing w:val="-2"/>
        </w:rPr>
        <w:t>firefighting</w:t>
      </w:r>
      <w:r w:rsidRPr="00740660">
        <w:rPr>
          <w:rFonts w:ascii="Verdana" w:hAnsi="Verdana" w:cs="Arial"/>
          <w:color w:val="1A1521"/>
          <w:spacing w:val="-2"/>
        </w:rPr>
        <w:t xml:space="preserve"> rather than medium and longer term, proactive deliberation and strategy building. In parallel, national government needs to develop its capacity and capability to support local </w:t>
      </w:r>
      <w:r w:rsidRPr="00740660">
        <w:rPr>
          <w:rFonts w:ascii="Verdana" w:hAnsi="Verdana" w:cs="Arial"/>
          <w:color w:val="1A1521"/>
          <w:spacing w:val="-2"/>
        </w:rPr>
        <w:t>government</w:t>
      </w:r>
      <w:r w:rsidRPr="00740660">
        <w:rPr>
          <w:rFonts w:ascii="Verdana" w:hAnsi="Verdana" w:cs="Arial"/>
          <w:color w:val="1A1521"/>
          <w:spacing w:val="-2"/>
        </w:rPr>
        <w:t>s in a rounded way across their governance and funding challenges.</w:t>
      </w:r>
    </w:p>
    <w:p w:rsidR="002B14FE" w:rsidRPr="00740660" w:rsidP="00740660">
      <w:pPr>
        <w:spacing w:before="100" w:beforeAutospacing="1" w:after="100" w:afterAutospacing="1" w:line="480" w:lineRule="auto"/>
        <w:rPr>
          <w:rFonts w:ascii="Verdana" w:hAnsi="Verdana" w:cs="Arial"/>
          <w:color w:val="1A1521"/>
          <w:spacing w:val="-2"/>
        </w:rPr>
      </w:pPr>
      <w:r w:rsidRPr="00740660">
        <w:rPr>
          <w:rFonts w:ascii="Verdana" w:hAnsi="Verdana" w:cs="Arial"/>
          <w:color w:val="1A1521"/>
          <w:spacing w:val="-2"/>
        </w:rPr>
        <w:t xml:space="preserve">Increasing fiscal devolution is a substantive policy change in any national setting. It is particularly challenging in the highly centralised system in England in the UK. </w:t>
      </w:r>
      <w:r w:rsidRPr="00740660">
        <w:rPr>
          <w:rFonts w:ascii="Verdana" w:hAnsi="Verdana" w:cs="Arial"/>
          <w:color w:val="1A1521"/>
          <w:spacing w:val="-2"/>
        </w:rPr>
        <w:t>Assessment, t</w:t>
      </w:r>
      <w:r w:rsidRPr="00740660">
        <w:rPr>
          <w:rFonts w:ascii="Verdana" w:hAnsi="Verdana" w:cs="Arial"/>
          <w:color w:val="1A1521"/>
          <w:spacing w:val="-2"/>
        </w:rPr>
        <w:t xml:space="preserve">rials, monitoring, evaluating, and adapting </w:t>
      </w:r>
      <w:r w:rsidRPr="00740660">
        <w:rPr>
          <w:rFonts w:ascii="Verdana" w:hAnsi="Verdana" w:cs="Arial"/>
          <w:color w:val="1A1521"/>
          <w:spacing w:val="-2"/>
        </w:rPr>
        <w:t>are</w:t>
      </w:r>
      <w:r w:rsidRPr="00740660">
        <w:rPr>
          <w:rFonts w:ascii="Verdana" w:hAnsi="Verdana" w:cs="Arial"/>
          <w:color w:val="1A1521"/>
          <w:spacing w:val="-2"/>
        </w:rPr>
        <w:t xml:space="preserve"> key. International evidence provides only a rough guide given the different settings. </w:t>
      </w:r>
    </w:p>
    <w:p w:rsidR="002B14FE" w:rsidRPr="00740660" w:rsidP="00740660">
      <w:pPr>
        <w:spacing w:before="100" w:beforeAutospacing="1" w:after="100" w:afterAutospacing="1" w:line="480" w:lineRule="auto"/>
        <w:rPr>
          <w:rFonts w:ascii="Verdana" w:hAnsi="Verdana" w:cs="Arial"/>
          <w:color w:val="1A1521"/>
          <w:spacing w:val="-2"/>
          <w:lang w:val="en-US"/>
        </w:rPr>
      </w:pPr>
      <w:r w:rsidRPr="00740660">
        <w:rPr>
          <w:rFonts w:ascii="Verdana" w:hAnsi="Verdana" w:cs="Arial"/>
          <w:color w:val="1A1521"/>
          <w:spacing w:val="-2"/>
          <w:lang w:val="en-US"/>
        </w:rPr>
        <w:t xml:space="preserve">In Japan, efforts to strengthen local fiscal capacity over recent decades have combined elements of decentralisation with robust equalisation arrangements, relatively stable local tax bases, and nationally coordinated minimum service standards. </w:t>
      </w:r>
    </w:p>
    <w:p w:rsidR="002B14FE" w:rsidRPr="00740660" w:rsidP="00740660">
      <w:pPr>
        <w:spacing w:before="100" w:beforeAutospacing="1" w:after="100" w:afterAutospacing="1" w:line="480" w:lineRule="auto"/>
        <w:rPr>
          <w:rFonts w:ascii="Verdana" w:hAnsi="Verdana" w:cs="Arial"/>
          <w:color w:val="1A1521"/>
          <w:spacing w:val="-2"/>
          <w:lang w:val="en-US"/>
        </w:rPr>
      </w:pPr>
      <w:r w:rsidRPr="00740660">
        <w:rPr>
          <w:rFonts w:ascii="Verdana" w:hAnsi="Verdana" w:cs="Arial"/>
          <w:color w:val="1A1521"/>
          <w:spacing w:val="-2"/>
          <w:lang w:val="en-US"/>
        </w:rPr>
        <w:t xml:space="preserve">First, Japan’s Local Allocation Tax (LAT) system provides a rules-based equalisation mechanism designed to address differences in fiscal capacity between local governments. The LAT is financed through fixed statutory shares of major national taxes, including income tax, corporate tax and consumption tax revenues. Rather than being viewed simply as a discretionary grant from central government, it is often understood as a quasi-local revenue pool collected nationally and redistributed according to objective </w:t>
      </w:r>
      <w:r w:rsidRPr="00740660">
        <w:rPr>
          <w:rFonts w:ascii="Verdana" w:hAnsi="Verdana" w:cs="Arial"/>
          <w:color w:val="1A1521"/>
          <w:spacing w:val="-2"/>
          <w:lang w:val="en-US"/>
        </w:rPr>
        <w:t xml:space="preserve">criteria of local fiscal need and revenue capacity. In practice, this system helps ensure that municipalities and prefectures across the country </w:t>
      </w:r>
      <w:r w:rsidRPr="00740660">
        <w:rPr>
          <w:rFonts w:ascii="Verdana" w:hAnsi="Verdana" w:cs="Arial"/>
          <w:color w:val="1A1521"/>
          <w:spacing w:val="-2"/>
          <w:lang w:val="en-US"/>
        </w:rPr>
        <w:t>are able to</w:t>
      </w:r>
      <w:r w:rsidRPr="00740660">
        <w:rPr>
          <w:rFonts w:ascii="Verdana" w:hAnsi="Verdana" w:cs="Arial"/>
          <w:color w:val="1A1521"/>
          <w:spacing w:val="-2"/>
          <w:lang w:val="en-US"/>
        </w:rPr>
        <w:t xml:space="preserve"> maintain a broadly comparable minimum standard of public services despite significant geographical differences in tax bases, ageing pressures and service costs. It also offers a relatively high degree of predictability compared with ad hoc or short-term bidding funds. In 2025, only 77 of Japan’s 1,741 local authorities were sufficiently affluent not to </w:t>
      </w:r>
      <w:r w:rsidRPr="00740660">
        <w:rPr>
          <w:rFonts w:ascii="Verdana" w:hAnsi="Verdana" w:cs="Arial"/>
          <w:color w:val="1A1521"/>
          <w:spacing w:val="-2"/>
          <w:lang w:val="en-US"/>
        </w:rPr>
        <w:t>receive LAT payments.</w:t>
      </w:r>
    </w:p>
    <w:p w:rsidR="002B14FE" w:rsidRPr="00740660" w:rsidP="00740660">
      <w:pPr>
        <w:spacing w:before="100" w:beforeAutospacing="1" w:after="100" w:afterAutospacing="1" w:line="480" w:lineRule="auto"/>
        <w:rPr>
          <w:rFonts w:ascii="Verdana" w:hAnsi="Verdana" w:cs="Arial"/>
          <w:color w:val="1A1521"/>
          <w:spacing w:val="-2"/>
          <w:lang w:val="en-US"/>
        </w:rPr>
      </w:pPr>
      <w:r w:rsidRPr="00740660">
        <w:rPr>
          <w:rFonts w:ascii="Verdana" w:hAnsi="Verdana" w:cs="Arial"/>
          <w:color w:val="1A1521"/>
          <w:spacing w:val="-2"/>
          <w:lang w:val="en-US"/>
        </w:rPr>
        <w:t>Second, Japanese municipalities benefit from a relatively stable recurrent property tax base through the fixed asset tax levied on land, buildings and certain business assets. This tax remains one of the core sources of own-source municipal revenue and accounts for a substantial share of local tax income. Because it is linked to immovable assets rather than highly mobile tax bases, revenues are generally less volatile than taxes closely tied to short-term economic cycles. This stability can support medium-t</w:t>
      </w:r>
      <w:r w:rsidRPr="00740660">
        <w:rPr>
          <w:rFonts w:ascii="Verdana" w:hAnsi="Verdana" w:cs="Arial"/>
          <w:color w:val="1A1521"/>
          <w:spacing w:val="-2"/>
          <w:lang w:val="en-US"/>
        </w:rPr>
        <w:t>erm budgeting, infrastructure maintenance and local service planning. In addition, local governments receive assigned shares of broader national consumption tax revenues, helping diversify their revenue sources beyond a narrow dependence on a single tax instrument.</w:t>
      </w:r>
    </w:p>
    <w:p w:rsidR="002B14FE" w:rsidRPr="00740660" w:rsidP="00740660">
      <w:pPr>
        <w:spacing w:before="100" w:beforeAutospacing="1" w:after="100" w:afterAutospacing="1" w:line="480" w:lineRule="auto"/>
        <w:rPr>
          <w:rFonts w:ascii="Verdana" w:hAnsi="Verdana" w:cs="Arial"/>
          <w:color w:val="1A1521"/>
          <w:spacing w:val="-2"/>
          <w:lang w:val="en-US"/>
        </w:rPr>
      </w:pPr>
      <w:r w:rsidRPr="00740660">
        <w:rPr>
          <w:rFonts w:ascii="Verdana" w:hAnsi="Verdana" w:cs="Arial"/>
          <w:color w:val="1A1521"/>
          <w:spacing w:val="-2"/>
          <w:lang w:val="en-US"/>
        </w:rPr>
        <w:t>Third, alongside local tax powers, Japan has also used competitive regional development funds and targeted grant programmes to support local growth strategies, infrastructure investment, industrial upgrading and innovation. These schemes are typically designed to encourage local initiative while aligning local projects with wider national priorities such as regional revitalisation, productivity growth and demographic resilience. In some cases, funding is provided on a multi-year co-financing basis, enabling</w:t>
      </w:r>
      <w:r w:rsidRPr="00740660">
        <w:rPr>
          <w:rFonts w:ascii="Verdana" w:hAnsi="Verdana" w:cs="Arial"/>
          <w:color w:val="1A1521"/>
          <w:spacing w:val="-2"/>
          <w:lang w:val="en-US"/>
        </w:rPr>
        <w:t xml:space="preserve"> local authorities to undertake more strategic planning rather than short-term reactive spending. This suggests that fiscal devolution need not rely solely on devolving tax powers: it can also be complemented by well-designed growth funds that incentivise local leadership and experimentation.</w:t>
      </w:r>
    </w:p>
    <w:p w:rsidR="002B14FE" w:rsidRPr="00740660" w:rsidP="00740660">
      <w:pPr>
        <w:spacing w:before="100" w:beforeAutospacing="1" w:after="100" w:afterAutospacing="1" w:line="480" w:lineRule="auto"/>
        <w:rPr>
          <w:rFonts w:ascii="Verdana" w:hAnsi="Verdana" w:cs="Arial"/>
          <w:color w:val="1A1521"/>
          <w:spacing w:val="-2"/>
          <w:lang w:val="en-US"/>
        </w:rPr>
      </w:pPr>
      <w:r w:rsidRPr="00740660">
        <w:rPr>
          <w:rFonts w:ascii="Verdana" w:hAnsi="Verdana" w:cs="Arial"/>
          <w:color w:val="1A1521"/>
          <w:spacing w:val="-2"/>
          <w:lang w:val="en-US"/>
        </w:rPr>
        <w:t>More broadly, the Japanese case illustrates that effective fiscal devolution depends upon combining three elements: local autonomy, transparent equalisation, and medium-term fiscal certainty. Expanding local revenue discretion without equalisation risks widening geographical inequalities, while redistribution without local incentives may weaken growth and accountability. Stable and predictable frameworks are therefore essential if local governments are to plan confidently, invest productively and respond to</w:t>
      </w:r>
      <w:r w:rsidRPr="00740660">
        <w:rPr>
          <w:rFonts w:ascii="Verdana" w:hAnsi="Verdana" w:cs="Arial"/>
          <w:color w:val="1A1521"/>
          <w:spacing w:val="-2"/>
          <w:lang w:val="en-US"/>
        </w:rPr>
        <w:t xml:space="preserve"> long-term social and economic challenges.</w:t>
      </w:r>
    </w:p>
    <w:p w:rsidR="002B14FE" w:rsidRPr="00740660" w:rsidP="00740660">
      <w:pPr>
        <w:spacing w:before="100" w:beforeAutospacing="1" w:after="100" w:afterAutospacing="1" w:line="480" w:lineRule="auto"/>
        <w:rPr>
          <w:rFonts w:ascii="Verdana" w:hAnsi="Verdana" w:cs="Arial"/>
          <w:i/>
          <w:iCs/>
          <w:color w:val="1A1521"/>
          <w:spacing w:val="-2"/>
        </w:rPr>
      </w:pPr>
      <w:r w:rsidRPr="00740660">
        <w:rPr>
          <w:rFonts w:ascii="Verdana" w:hAnsi="Verdana" w:cs="Arial"/>
          <w:i/>
          <w:iCs/>
          <w:color w:val="1A1521"/>
          <w:spacing w:val="-2"/>
          <w:lang w:val="en-US"/>
        </w:rPr>
        <w:t>29 April 2026</w:t>
      </w:r>
    </w:p>
    <w:sectPr>
      <w:footerReference w:type="even" r:id="rId6"/>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997471788"/>
      <w:docPartObj>
        <w:docPartGallery w:val="Page Numbers (Bottom of Page)"/>
        <w:docPartUnique/>
      </w:docPartObj>
    </w:sdtPr>
    <w:sdtEndPr>
      <w:rPr>
        <w:rStyle w:val="PageNumber"/>
      </w:rPr>
    </w:sdtEndPr>
    <w:sdtContent>
      <w:p w:rsidR="002B14FE" w:rsidP="00812D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2B14FE" w:rsidP="00236D0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14FE" w:rsidP="00236D0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B14FE" w:rsidP="00420DE9">
      <w:r>
        <w:separator/>
      </w:r>
    </w:p>
  </w:footnote>
  <w:footnote w:type="continuationSeparator" w:id="1">
    <w:p w:rsidR="002B14FE" w:rsidP="00420DE9">
      <w:r>
        <w:continuationSeparator/>
      </w:r>
    </w:p>
  </w:footnote>
  <w:footnote w:id="2">
    <w:p w:rsidR="002B14FE" w:rsidRPr="00740660">
      <w:pPr>
        <w:pStyle w:val="FootnoteText"/>
        <w:rPr>
          <w:rFonts w:ascii="Verdana" w:hAnsi="Verdana" w:cs="Arial"/>
        </w:rPr>
      </w:pPr>
      <w:r w:rsidRPr="00740660">
        <w:rPr>
          <w:rStyle w:val="FootnoteReference"/>
          <w:rFonts w:ascii="Verdana" w:hAnsi="Verdana" w:cs="Arial"/>
        </w:rPr>
        <w:footnoteRef/>
      </w:r>
      <w:r w:rsidRPr="00740660">
        <w:rPr>
          <w:rFonts w:ascii="Verdana" w:hAnsi="Verdana" w:cs="Arial"/>
        </w:rPr>
        <w:t xml:space="preserve"> </w:t>
      </w:r>
      <w:r w:rsidRPr="00740660">
        <w:rPr>
          <w:rFonts w:ascii="Verdana" w:hAnsi="Verdana" w:cs="Arial"/>
        </w:rPr>
        <w:t xml:space="preserve">Faculty of Regional Development Studies, </w:t>
      </w:r>
      <w:r w:rsidRPr="00740660">
        <w:rPr>
          <w:rFonts w:ascii="Verdana" w:hAnsi="Verdana" w:cs="Arial"/>
        </w:rPr>
        <w:t>Otemon Gak</w:t>
      </w:r>
      <w:r w:rsidRPr="00740660">
        <w:rPr>
          <w:rFonts w:ascii="Verdana" w:hAnsi="Verdana" w:cs="Arial"/>
        </w:rPr>
        <w:t>ui</w:t>
      </w:r>
      <w:r w:rsidRPr="00740660">
        <w:rPr>
          <w:rFonts w:ascii="Verdana" w:hAnsi="Verdana" w:cs="Arial"/>
        </w:rPr>
        <w:t>n</w:t>
      </w:r>
      <w:r w:rsidRPr="00740660">
        <w:rPr>
          <w:rFonts w:ascii="Verdana" w:hAnsi="Verdana" w:cs="Arial"/>
        </w:rPr>
        <w:t xml:space="preserve"> University, Osaka, Japan, and the Centre for Urban and Regional Development Studies (CURDS), Newcastle University, UK.</w:t>
      </w:r>
    </w:p>
  </w:footnote>
  <w:footnote w:id="3">
    <w:p w:rsidR="002B14FE" w:rsidRPr="004141C4">
      <w:pPr>
        <w:pStyle w:val="FootnoteText"/>
        <w:rPr>
          <w:rFonts w:ascii="Arial" w:hAnsi="Arial" w:cs="Arial"/>
        </w:rPr>
      </w:pPr>
      <w:r w:rsidRPr="00740660">
        <w:rPr>
          <w:rStyle w:val="FootnoteReference"/>
          <w:rFonts w:ascii="Verdana" w:hAnsi="Verdana" w:cs="Arial"/>
        </w:rPr>
        <w:footnoteRef/>
      </w:r>
      <w:r w:rsidRPr="00740660">
        <w:rPr>
          <w:rFonts w:ascii="Verdana" w:hAnsi="Verdana" w:cs="Arial"/>
        </w:rPr>
        <w:t xml:space="preserve"> LGA (</w:t>
      </w:r>
      <w:r w:rsidRPr="00740660">
        <w:rPr>
          <w:rFonts w:ascii="Verdana" w:hAnsi="Verdana" w:cs="Arial"/>
        </w:rPr>
        <w:t>2026</w:t>
      </w:r>
      <w:r w:rsidRPr="00740660">
        <w:rPr>
          <w:rFonts w:ascii="Verdana" w:hAnsi="Verdana" w:cs="Arial"/>
        </w:rPr>
        <w:t xml:space="preserve">) </w:t>
      </w:r>
      <w:r w:rsidRPr="00740660">
        <w:rPr>
          <w:rFonts w:ascii="Verdana" w:hAnsi="Verdana" w:cs="Arial"/>
          <w:u w:val="single"/>
        </w:rPr>
        <w:t>Fiscal Devolution</w:t>
      </w:r>
      <w:r w:rsidRPr="00740660">
        <w:rPr>
          <w:rFonts w:ascii="Verdana" w:hAnsi="Verdana" w:cs="Arial"/>
        </w:rPr>
        <w:t>, LGA: London.</w:t>
      </w:r>
    </w:p>
  </w:footnote>
  <w:footnote w:id="4">
    <w:p w:rsidR="002B14FE" w:rsidRPr="00740660" w:rsidP="004141C4">
      <w:pPr>
        <w:pStyle w:val="p1"/>
        <w:rPr>
          <w:rFonts w:ascii="Verdana" w:hAnsi="Verdana" w:cs="Arial"/>
          <w:sz w:val="20"/>
          <w:szCs w:val="20"/>
        </w:rPr>
      </w:pPr>
      <w:r w:rsidRPr="00740660">
        <w:rPr>
          <w:rStyle w:val="FootnoteReference"/>
          <w:rFonts w:ascii="Verdana" w:hAnsi="Verdana" w:cs="Arial"/>
          <w:sz w:val="20"/>
          <w:szCs w:val="20"/>
        </w:rPr>
        <w:footnoteRef/>
      </w:r>
      <w:r w:rsidRPr="00740660">
        <w:rPr>
          <w:rFonts w:ascii="Verdana" w:hAnsi="Verdana" w:cs="Arial"/>
          <w:sz w:val="20"/>
          <w:szCs w:val="20"/>
        </w:rPr>
        <w:t xml:space="preserve"> Pike</w:t>
      </w:r>
      <w:r w:rsidRPr="00740660">
        <w:rPr>
          <w:rFonts w:ascii="Verdana" w:hAnsi="Verdana" w:cs="Arial"/>
          <w:sz w:val="20"/>
          <w:szCs w:val="20"/>
        </w:rPr>
        <w:t>, A.</w:t>
      </w:r>
      <w:r w:rsidRPr="00740660">
        <w:rPr>
          <w:rFonts w:ascii="Verdana" w:hAnsi="Verdana" w:cs="Arial"/>
          <w:sz w:val="20"/>
          <w:szCs w:val="20"/>
        </w:rPr>
        <w:t xml:space="preserve"> and</w:t>
      </w:r>
      <w:r w:rsidRPr="00740660">
        <w:rPr>
          <w:rFonts w:ascii="Verdana" w:hAnsi="Verdana" w:cs="Arial"/>
          <w:sz w:val="20"/>
          <w:szCs w:val="20"/>
        </w:rPr>
        <w:t xml:space="preserve"> </w:t>
      </w:r>
      <w:r w:rsidRPr="00740660">
        <w:rPr>
          <w:rFonts w:ascii="Verdana" w:hAnsi="Verdana" w:cs="Arial"/>
          <w:sz w:val="20"/>
          <w:szCs w:val="20"/>
        </w:rPr>
        <w:t>Shaw</w:t>
      </w:r>
      <w:r w:rsidRPr="00740660">
        <w:rPr>
          <w:rFonts w:ascii="Verdana" w:hAnsi="Verdana" w:cs="Arial"/>
          <w:sz w:val="20"/>
          <w:szCs w:val="20"/>
        </w:rPr>
        <w:t xml:space="preserve">, J. (2024) </w:t>
      </w:r>
      <w:r w:rsidRPr="00740660">
        <w:rPr>
          <w:rFonts w:ascii="Verdana" w:hAnsi="Verdana" w:cs="Arial"/>
          <w:sz w:val="20"/>
          <w:szCs w:val="20"/>
          <w:u w:val="single"/>
        </w:rPr>
        <w:t>Mapping the Gaps: The Geography of Local Authority Financial Distress in England</w:t>
      </w:r>
      <w:r w:rsidRPr="00740660">
        <w:rPr>
          <w:rFonts w:ascii="Verdana" w:hAnsi="Verdana" w:cs="Arial"/>
          <w:sz w:val="20"/>
          <w:szCs w:val="20"/>
        </w:rPr>
        <w:t>, Bennett Institute, CURDS</w:t>
      </w:r>
      <w:r w:rsidRPr="00740660">
        <w:rPr>
          <w:rFonts w:ascii="Verdana" w:hAnsi="Verdana" w:cs="Arial"/>
          <w:sz w:val="20"/>
          <w:szCs w:val="20"/>
        </w:rPr>
        <w:t xml:space="preserve"> </w:t>
      </w:r>
      <w:r w:rsidRPr="00740660">
        <w:rPr>
          <w:rFonts w:ascii="Verdana" w:hAnsi="Verdana" w:cs="Arial"/>
          <w:sz w:val="20"/>
          <w:szCs w:val="20"/>
        </w:rPr>
        <w:t>and Insights North East, University of Cambridge</w:t>
      </w:r>
      <w:r w:rsidRPr="00740660">
        <w:rPr>
          <w:rFonts w:ascii="Verdana" w:hAnsi="Verdana" w:cs="Arial"/>
          <w:sz w:val="20"/>
          <w:szCs w:val="20"/>
        </w:rPr>
        <w:t xml:space="preserve"> </w:t>
      </w:r>
      <w:r w:rsidRPr="00740660">
        <w:rPr>
          <w:rFonts w:ascii="Verdana" w:hAnsi="Verdana" w:cs="Arial"/>
          <w:sz w:val="20"/>
          <w:szCs w:val="20"/>
        </w:rPr>
        <w:t>and Newcastle University, 2024.</w:t>
      </w:r>
    </w:p>
  </w:footnote>
  <w:footnote w:id="5">
    <w:p w:rsidR="002B14FE" w:rsidRPr="00740660" w:rsidP="004141C4">
      <w:pPr>
        <w:pStyle w:val="p1"/>
        <w:rPr>
          <w:rFonts w:ascii="Verdana" w:hAnsi="Verdana" w:cs="Arial"/>
          <w:sz w:val="20"/>
          <w:szCs w:val="20"/>
        </w:rPr>
      </w:pPr>
      <w:r w:rsidRPr="00740660">
        <w:rPr>
          <w:rStyle w:val="FootnoteReference"/>
          <w:rFonts w:ascii="Verdana" w:hAnsi="Verdana" w:cs="Arial"/>
          <w:sz w:val="20"/>
          <w:szCs w:val="20"/>
        </w:rPr>
        <w:footnoteRef/>
      </w:r>
      <w:r w:rsidRPr="00740660">
        <w:rPr>
          <w:rFonts w:ascii="Verdana" w:hAnsi="Verdana" w:cs="Arial"/>
          <w:sz w:val="20"/>
          <w:szCs w:val="20"/>
        </w:rPr>
        <w:t xml:space="preserve"> </w:t>
      </w:r>
      <w:r w:rsidRPr="00740660">
        <w:rPr>
          <w:rFonts w:ascii="Verdana" w:hAnsi="Verdana" w:cs="Arial"/>
          <w:sz w:val="20"/>
          <w:szCs w:val="20"/>
        </w:rPr>
        <w:t xml:space="preserve">Prorok, T. and Calzola, S. (2026) </w:t>
      </w:r>
      <w:r w:rsidRPr="00740660">
        <w:rPr>
          <w:rFonts w:ascii="Verdana" w:hAnsi="Verdana" w:cs="Arial"/>
          <w:sz w:val="20"/>
          <w:szCs w:val="20"/>
          <w:u w:val="single"/>
        </w:rPr>
        <w:t>European Local Government Report 2025</w:t>
      </w:r>
      <w:r w:rsidRPr="00740660">
        <w:rPr>
          <w:rFonts w:ascii="Verdana" w:hAnsi="Verdana" w:cs="Arial"/>
          <w:sz w:val="20"/>
          <w:szCs w:val="20"/>
        </w:rPr>
        <w:t>, KDZ – Centre for Public Administration Research: Vienna.</w:t>
      </w:r>
    </w:p>
  </w:footnote>
  <w:footnote w:id="6">
    <w:p w:rsidR="002B14FE" w:rsidRPr="00740660">
      <w:pPr>
        <w:pStyle w:val="FootnoteText"/>
        <w:rPr>
          <w:rFonts w:ascii="Verdana" w:hAnsi="Verdana" w:cs="Arial"/>
        </w:rPr>
      </w:pPr>
      <w:r w:rsidRPr="00740660">
        <w:rPr>
          <w:rStyle w:val="FootnoteReference"/>
          <w:rFonts w:ascii="Verdana" w:hAnsi="Verdana" w:cs="Arial"/>
        </w:rPr>
        <w:footnoteRef/>
      </w:r>
      <w:r w:rsidRPr="00740660">
        <w:rPr>
          <w:rFonts w:ascii="Verdana" w:hAnsi="Verdana" w:cs="Arial"/>
        </w:rPr>
        <w:t xml:space="preserve"> Pike</w:t>
      </w:r>
      <w:r w:rsidRPr="00740660">
        <w:rPr>
          <w:rFonts w:ascii="Verdana" w:hAnsi="Verdana" w:cs="Arial"/>
        </w:rPr>
        <w:t>, A.</w:t>
      </w:r>
      <w:r w:rsidRPr="00740660">
        <w:rPr>
          <w:rFonts w:ascii="Verdana" w:hAnsi="Verdana" w:cs="Arial"/>
        </w:rPr>
        <w:t xml:space="preserve"> (2023)</w:t>
      </w:r>
      <w:r w:rsidRPr="00740660">
        <w:rPr>
          <w:rFonts w:ascii="Verdana" w:hAnsi="Verdana" w:cs="Arial"/>
        </w:rPr>
        <w:t xml:space="preserve"> </w:t>
      </w:r>
      <w:r w:rsidRPr="00740660">
        <w:rPr>
          <w:rFonts w:ascii="Verdana" w:hAnsi="Verdana" w:cs="Arial"/>
          <w:u w:val="single"/>
        </w:rPr>
        <w:t>Financialization and Local Statecraft</w:t>
      </w:r>
      <w:r w:rsidRPr="00740660">
        <w:rPr>
          <w:rFonts w:ascii="Verdana" w:hAnsi="Verdana" w:cs="Arial"/>
        </w:rPr>
        <w:t>, Oxford University Press: Oxford.</w:t>
      </w:r>
    </w:p>
  </w:footnote>
  <w:footnote w:id="7">
    <w:p w:rsidR="002B14FE" w:rsidRPr="00791981">
      <w:pPr>
        <w:pStyle w:val="FootnoteText"/>
        <w:rPr>
          <w:rFonts w:ascii="Arial" w:hAnsi="Arial" w:cs="Arial"/>
        </w:rPr>
      </w:pPr>
      <w:r w:rsidRPr="00740660">
        <w:rPr>
          <w:rStyle w:val="FootnoteReference"/>
          <w:rFonts w:ascii="Verdana" w:hAnsi="Verdana" w:cs="Arial"/>
        </w:rPr>
        <w:footnoteRef/>
      </w:r>
      <w:r w:rsidRPr="00740660">
        <w:rPr>
          <w:rFonts w:ascii="Verdana" w:hAnsi="Verdana" w:cs="Arial"/>
        </w:rPr>
        <w:t xml:space="preserve"> Pope, T., Dalton, G. and Coggins, M. (2022) </w:t>
      </w:r>
      <w:r w:rsidRPr="00740660">
        <w:rPr>
          <w:rFonts w:ascii="Verdana" w:hAnsi="Verdana" w:cs="Arial"/>
          <w:u w:val="single"/>
        </w:rPr>
        <w:t>Subnational Government in England: An International Comparison</w:t>
      </w:r>
      <w:r w:rsidRPr="00740660">
        <w:rPr>
          <w:rFonts w:ascii="Verdana" w:hAnsi="Verdana" w:cs="Arial"/>
        </w:rPr>
        <w:t>, IfG: London.</w:t>
      </w:r>
    </w:p>
  </w:footnote>
  <w:footnote w:id="8">
    <w:p w:rsidR="002B14FE" w:rsidRPr="00740660" w:rsidP="00791981">
      <w:pPr>
        <w:pStyle w:val="FootnoteText"/>
        <w:rPr>
          <w:rFonts w:ascii="Verdana" w:hAnsi="Verdana" w:cs="Arial"/>
        </w:rPr>
      </w:pPr>
      <w:r w:rsidRPr="00740660">
        <w:rPr>
          <w:rStyle w:val="FootnoteReference"/>
          <w:rFonts w:ascii="Verdana" w:hAnsi="Verdana" w:cs="Arial"/>
        </w:rPr>
        <w:footnoteRef/>
      </w:r>
      <w:r w:rsidRPr="00740660">
        <w:rPr>
          <w:rFonts w:ascii="Verdana" w:hAnsi="Verdana" w:cs="Arial"/>
        </w:rPr>
        <w:t xml:space="preserve"> Dougherty, S., Harding, M. and Reschovsky, A. (2019) </w:t>
      </w:r>
      <w:r w:rsidRPr="00740660">
        <w:rPr>
          <w:rFonts w:ascii="Verdana" w:hAnsi="Verdana" w:cs="Arial"/>
          <w:u w:val="single"/>
        </w:rPr>
        <w:t>Twenty Years of Tax Autonomy Across</w:t>
      </w:r>
      <w:r w:rsidRPr="00740660">
        <w:rPr>
          <w:rFonts w:ascii="Verdana" w:hAnsi="Verdana" w:cs="Arial"/>
          <w:u w:val="single"/>
        </w:rPr>
        <w:t xml:space="preserve"> Levels of Government: Measurement and Applications</w:t>
      </w:r>
      <w:r w:rsidRPr="00740660">
        <w:rPr>
          <w:rFonts w:ascii="Verdana" w:hAnsi="Verdana" w:cs="Arial"/>
        </w:rPr>
        <w:t>, OECD Working Papers on Fiscal Federalism No. 29, OECD: Paris.</w:t>
      </w:r>
    </w:p>
  </w:footnote>
  <w:footnote w:id="9">
    <w:p w:rsidR="002B14FE" w:rsidRPr="00740660">
      <w:pPr>
        <w:pStyle w:val="FootnoteText"/>
        <w:rPr>
          <w:rFonts w:ascii="Verdana" w:hAnsi="Verdana" w:cs="Arial"/>
        </w:rPr>
      </w:pPr>
      <w:r w:rsidRPr="00740660">
        <w:rPr>
          <w:rStyle w:val="FootnoteReference"/>
          <w:rFonts w:ascii="Verdana" w:hAnsi="Verdana" w:cs="Arial"/>
        </w:rPr>
        <w:footnoteRef/>
      </w:r>
      <w:r w:rsidRPr="00740660">
        <w:rPr>
          <w:rFonts w:ascii="Verdana" w:hAnsi="Verdana" w:cs="Arial"/>
        </w:rPr>
        <w:t xml:space="preserve"> </w:t>
      </w:r>
      <w:r w:rsidRPr="00740660">
        <w:rPr>
          <w:rFonts w:ascii="Verdana" w:hAnsi="Verdana" w:cs="Arial"/>
        </w:rPr>
        <w:t xml:space="preserve">Prorok, T. and Calzola, S. (2026) </w:t>
      </w:r>
      <w:r w:rsidRPr="00740660">
        <w:rPr>
          <w:rFonts w:ascii="Verdana" w:hAnsi="Verdana" w:cs="Arial"/>
          <w:u w:val="single"/>
        </w:rPr>
        <w:t>European Local Government Report 2025</w:t>
      </w:r>
      <w:r w:rsidRPr="00740660">
        <w:rPr>
          <w:rFonts w:ascii="Verdana" w:hAnsi="Verdana" w:cs="Arial"/>
        </w:rPr>
        <w:t>, KDZ – Centre for Public Administration Research: Vienna.</w:t>
      </w:r>
    </w:p>
  </w:footnote>
  <w:footnote w:id="10">
    <w:p w:rsidR="002B14FE" w:rsidRPr="004141C4">
      <w:pPr>
        <w:pStyle w:val="FootnoteText"/>
        <w:rPr>
          <w:rFonts w:ascii="Arial" w:hAnsi="Arial" w:cs="Arial"/>
        </w:rPr>
      </w:pPr>
      <w:r w:rsidRPr="00740660">
        <w:rPr>
          <w:rStyle w:val="FootnoteReference"/>
          <w:rFonts w:ascii="Verdana" w:hAnsi="Verdana" w:cs="Arial"/>
        </w:rPr>
        <w:footnoteRef/>
      </w:r>
      <w:r w:rsidRPr="00740660">
        <w:rPr>
          <w:rFonts w:ascii="Verdana" w:hAnsi="Verdana" w:cs="Arial"/>
        </w:rPr>
        <w:t xml:space="preserve"> </w:t>
      </w:r>
      <w:r w:rsidRPr="00740660">
        <w:rPr>
          <w:rFonts w:ascii="Verdana" w:hAnsi="Verdana" w:cs="Arial"/>
        </w:rPr>
        <w:t xml:space="preserve">Muldoon Smith, K., Sandford, M., Stride, G. and Walker, A. (2024) </w:t>
      </w:r>
      <w:r w:rsidRPr="00740660">
        <w:rPr>
          <w:rFonts w:ascii="Verdana" w:hAnsi="Verdana" w:cs="Arial"/>
          <w:u w:val="single"/>
        </w:rPr>
        <w:t>Embedded Autonomy: Financing a Resilient Local Government Effectively</w:t>
      </w:r>
      <w:r w:rsidRPr="00740660">
        <w:rPr>
          <w:rFonts w:ascii="Verdana" w:hAnsi="Verdana" w:cs="Arial"/>
        </w:rPr>
        <w:t>, Palgrave Macmillan: London.</w:t>
      </w:r>
    </w:p>
  </w:footnote>
  <w:footnote w:id="11">
    <w:p w:rsidR="002B14FE" w:rsidRPr="00740660">
      <w:pPr>
        <w:pStyle w:val="FootnoteText"/>
        <w:rPr>
          <w:rFonts w:ascii="Verdana" w:hAnsi="Verdana" w:cs="Arial"/>
        </w:rPr>
      </w:pPr>
      <w:r w:rsidRPr="00740660">
        <w:rPr>
          <w:rStyle w:val="FootnoteReference"/>
          <w:rFonts w:ascii="Verdana" w:hAnsi="Verdana" w:cs="Arial"/>
        </w:rPr>
        <w:footnoteRef/>
      </w:r>
      <w:r w:rsidRPr="00740660">
        <w:rPr>
          <w:rFonts w:ascii="Verdana" w:hAnsi="Verdana" w:cs="Arial"/>
        </w:rPr>
        <w:t xml:space="preserve"> Tuck, P.</w:t>
      </w:r>
      <w:r w:rsidRPr="00740660">
        <w:rPr>
          <w:rFonts w:ascii="Verdana" w:hAnsi="Verdana" w:cs="Arial"/>
        </w:rPr>
        <w:t xml:space="preserve"> A. L., de Cogan, D. and Ormeño-Pérez, R. (2024) “Devolution, </w:t>
      </w:r>
      <w:r w:rsidRPr="00740660">
        <w:rPr>
          <w:rFonts w:ascii="Verdana" w:hAnsi="Verdana" w:cs="Arial"/>
        </w:rPr>
        <w:t>counter-conduct and territoriality: the case of tax business rates in the United Kingdom</w:t>
      </w:r>
      <w:r w:rsidRPr="00740660">
        <w:rPr>
          <w:rFonts w:ascii="Verdana" w:hAnsi="Verdana" w:cs="Arial"/>
        </w:rPr>
        <w:t>”,</w:t>
      </w:r>
      <w:r w:rsidRPr="00740660">
        <w:rPr>
          <w:rFonts w:ascii="Verdana" w:hAnsi="Verdana" w:cs="Arial"/>
        </w:rPr>
        <w:t xml:space="preserve"> </w:t>
      </w:r>
      <w:r w:rsidRPr="00740660">
        <w:rPr>
          <w:rFonts w:ascii="Verdana" w:hAnsi="Verdana" w:cs="Arial"/>
          <w:u w:val="single"/>
        </w:rPr>
        <w:t>The British Accounting Review</w:t>
      </w:r>
      <w:r w:rsidRPr="00740660">
        <w:rPr>
          <w:rFonts w:ascii="Verdana" w:hAnsi="Verdana" w:cs="Arial"/>
        </w:rPr>
        <w:t>, 56, 6, 1-18.</w:t>
      </w:r>
      <w:r w:rsidRPr="00740660">
        <w:rPr>
          <w:rFonts w:ascii="Verdana" w:hAnsi="Verdana" w:cs="Arial"/>
        </w:rPr>
        <w:t xml:space="preserve"> </w:t>
      </w:r>
    </w:p>
  </w:footnote>
  <w:footnote w:id="12">
    <w:p w:rsidR="002B14FE" w:rsidRPr="00740660">
      <w:pPr>
        <w:pStyle w:val="FootnoteText"/>
        <w:rPr>
          <w:rFonts w:ascii="Verdana" w:hAnsi="Verdana" w:cs="Arial"/>
        </w:rPr>
      </w:pPr>
      <w:r w:rsidRPr="00740660">
        <w:rPr>
          <w:rStyle w:val="FootnoteReference"/>
          <w:rFonts w:ascii="Verdana" w:hAnsi="Verdana" w:cs="Arial"/>
        </w:rPr>
        <w:footnoteRef/>
      </w:r>
      <w:r w:rsidRPr="00740660">
        <w:rPr>
          <w:rFonts w:ascii="Verdana" w:hAnsi="Verdana" w:cs="Arial"/>
        </w:rPr>
        <w:t xml:space="preserve"> </w:t>
      </w:r>
      <w:r w:rsidRPr="00740660">
        <w:rPr>
          <w:rFonts w:ascii="Verdana" w:hAnsi="Verdana" w:cs="Arial"/>
        </w:rPr>
        <w:t xml:space="preserve">Eiser, D. (2020) “Will the benefits of fiscal devolution outweigh the costs? Considering Scotland’s new fiscal framework”, </w:t>
      </w:r>
      <w:r w:rsidRPr="00740660">
        <w:rPr>
          <w:rFonts w:ascii="Verdana" w:hAnsi="Verdana" w:cs="Arial"/>
          <w:u w:val="single"/>
        </w:rPr>
        <w:t>Regional Studies</w:t>
      </w:r>
      <w:r w:rsidRPr="00740660">
        <w:rPr>
          <w:rFonts w:ascii="Verdana" w:hAnsi="Verdana" w:cs="Arial"/>
        </w:rPr>
        <w:t>, 54, 10, 1457-1468.</w:t>
      </w:r>
    </w:p>
  </w:footnote>
  <w:footnote w:id="13">
    <w:p w:rsidR="002B14FE">
      <w:pPr>
        <w:pStyle w:val="FootnoteText"/>
      </w:pPr>
      <w:r w:rsidRPr="00740660">
        <w:rPr>
          <w:rStyle w:val="FootnoteReference"/>
          <w:rFonts w:ascii="Verdana" w:hAnsi="Verdana"/>
        </w:rPr>
        <w:footnoteRef/>
      </w:r>
      <w:r w:rsidRPr="00740660">
        <w:rPr>
          <w:rFonts w:ascii="Verdana" w:hAnsi="Verdana"/>
        </w:rPr>
        <w:t xml:space="preserve"> </w:t>
      </w:r>
      <w:r w:rsidRPr="00740660">
        <w:rPr>
          <w:rFonts w:ascii="Verdana" w:hAnsi="Verdana" w:cs="Arial"/>
        </w:rPr>
        <w:t xml:space="preserve">Pike, A. (2025) </w:t>
      </w:r>
      <w:r w:rsidRPr="00740660">
        <w:rPr>
          <w:rFonts w:ascii="Verdana" w:hAnsi="Verdana" w:cs="Arial"/>
          <w:u w:val="single"/>
        </w:rPr>
        <w:t>Fiscal Federalism</w:t>
      </w:r>
      <w:r w:rsidRPr="00740660">
        <w:rPr>
          <w:rFonts w:ascii="Verdana" w:hAnsi="Verdana" w:cs="Arial"/>
        </w:rPr>
        <w:t>, City-REDI: University of Birmingham.</w:t>
      </w:r>
    </w:p>
  </w:footnote>
  <w:footnote w:id="14">
    <w:p w:rsidR="002B14FE" w:rsidRPr="00740660">
      <w:pPr>
        <w:pStyle w:val="FootnoteText"/>
        <w:rPr>
          <w:rFonts w:ascii="Verdana" w:hAnsi="Verdana" w:cs="Arial"/>
        </w:rPr>
      </w:pPr>
      <w:r w:rsidRPr="00740660">
        <w:rPr>
          <w:rStyle w:val="FootnoteReference"/>
          <w:rFonts w:ascii="Verdana" w:hAnsi="Verdana" w:cs="Arial"/>
        </w:rPr>
        <w:footnoteRef/>
      </w:r>
      <w:r w:rsidRPr="00740660">
        <w:rPr>
          <w:rFonts w:ascii="Verdana" w:hAnsi="Verdana" w:cs="Arial"/>
        </w:rPr>
        <w:t xml:space="preserve"> Pike, A. (2025) </w:t>
      </w:r>
      <w:r w:rsidRPr="00740660">
        <w:rPr>
          <w:rFonts w:ascii="Verdana" w:hAnsi="Verdana" w:cs="Arial"/>
          <w:u w:val="single"/>
        </w:rPr>
        <w:t>Fiscal Federalism</w:t>
      </w:r>
      <w:r w:rsidRPr="00740660">
        <w:rPr>
          <w:rFonts w:ascii="Verdana" w:hAnsi="Verdana" w:cs="Arial"/>
        </w:rPr>
        <w:t>, City-REDI: University of Birmingham.</w:t>
      </w:r>
    </w:p>
  </w:footnote>
  <w:footnote w:id="15">
    <w:p w:rsidR="002B14FE" w:rsidRPr="004141C4" w:rsidP="004141C4">
      <w:pPr>
        <w:pStyle w:val="p1"/>
        <w:rPr>
          <w:rFonts w:ascii="Arial" w:hAnsi="Arial" w:cs="Arial"/>
          <w:sz w:val="20"/>
          <w:szCs w:val="20"/>
        </w:rPr>
      </w:pPr>
      <w:r w:rsidRPr="00740660">
        <w:rPr>
          <w:rStyle w:val="FootnoteReference"/>
          <w:rFonts w:ascii="Verdana" w:hAnsi="Verdana" w:cs="Arial"/>
          <w:sz w:val="20"/>
          <w:szCs w:val="20"/>
        </w:rPr>
        <w:footnoteRef/>
      </w:r>
      <w:r w:rsidRPr="00740660">
        <w:rPr>
          <w:rFonts w:ascii="Verdana" w:hAnsi="Verdana" w:cs="Arial"/>
          <w:sz w:val="20"/>
          <w:szCs w:val="20"/>
        </w:rPr>
        <w:t xml:space="preserve"> </w:t>
      </w:r>
      <w:r w:rsidRPr="00740660">
        <w:rPr>
          <w:rFonts w:ascii="Verdana" w:hAnsi="Verdana" w:cs="Arial"/>
          <w:sz w:val="20"/>
          <w:szCs w:val="20"/>
        </w:rPr>
        <w:t xml:space="preserve">Congress of Local and Regional Authorities of the </w:t>
      </w:r>
      <w:r w:rsidRPr="00740660">
        <w:rPr>
          <w:rFonts w:ascii="Verdana" w:hAnsi="Verdana" w:cs="Arial"/>
          <w:sz w:val="20"/>
          <w:szCs w:val="20"/>
        </w:rPr>
        <w:t>Government</w:t>
      </w:r>
      <w:r w:rsidRPr="00740660">
        <w:rPr>
          <w:rFonts w:ascii="Verdana" w:hAnsi="Verdana" w:cs="Arial"/>
          <w:sz w:val="20"/>
          <w:szCs w:val="20"/>
        </w:rPr>
        <w:t xml:space="preserve"> of Europe (2013) </w:t>
      </w:r>
      <w:r w:rsidRPr="00740660">
        <w:rPr>
          <w:rFonts w:ascii="Verdana" w:hAnsi="Verdana" w:cs="Arial"/>
          <w:sz w:val="20"/>
          <w:szCs w:val="20"/>
          <w:u w:val="single"/>
        </w:rPr>
        <w:t>European Charter of Local Self-Government</w:t>
      </w:r>
      <w:r w:rsidRPr="00740660">
        <w:rPr>
          <w:rFonts w:ascii="Verdana" w:hAnsi="Verdana" w:cs="Arial"/>
          <w:sz w:val="20"/>
          <w:szCs w:val="20"/>
        </w:rPr>
        <w:t xml:space="preserve">, </w:t>
      </w:r>
      <w:r w:rsidRPr="00740660">
        <w:rPr>
          <w:rFonts w:ascii="Verdana" w:hAnsi="Verdana" w:cs="Arial"/>
          <w:sz w:val="20"/>
          <w:szCs w:val="20"/>
        </w:rPr>
        <w:t>Government</w:t>
      </w:r>
      <w:r w:rsidRPr="00740660">
        <w:rPr>
          <w:rFonts w:ascii="Verdana" w:hAnsi="Verdana" w:cs="Arial"/>
          <w:sz w:val="20"/>
          <w:szCs w:val="20"/>
        </w:rPr>
        <w:t xml:space="preserve"> of Europe.</w:t>
      </w:r>
    </w:p>
  </w:footnote>
  <w:footnote w:id="16">
    <w:p w:rsidR="002B14FE" w:rsidRPr="00740660">
      <w:pPr>
        <w:pStyle w:val="FootnoteText"/>
        <w:rPr>
          <w:rFonts w:ascii="Verdana" w:hAnsi="Verdana" w:cs="Arial"/>
        </w:rPr>
      </w:pPr>
      <w:r w:rsidRPr="00740660">
        <w:rPr>
          <w:rStyle w:val="FootnoteReference"/>
          <w:rFonts w:ascii="Verdana" w:hAnsi="Verdana" w:cs="Arial"/>
        </w:rPr>
        <w:footnoteRef/>
      </w:r>
      <w:r w:rsidRPr="00740660">
        <w:rPr>
          <w:rFonts w:ascii="Verdana" w:hAnsi="Verdana" w:cs="Arial"/>
        </w:rPr>
        <w:t xml:space="preserve"> </w:t>
      </w:r>
      <w:r w:rsidRPr="00740660">
        <w:rPr>
          <w:rFonts w:ascii="Verdana" w:hAnsi="Verdana" w:cs="Arial"/>
        </w:rPr>
        <w:t xml:space="preserve">Taylor, A. (2025) </w:t>
      </w:r>
      <w:r w:rsidRPr="00740660">
        <w:rPr>
          <w:rFonts w:ascii="Verdana" w:hAnsi="Verdana" w:cs="Arial"/>
          <w:u w:val="single"/>
        </w:rPr>
        <w:t>Geographical inequalities and sub-national funding in France</w:t>
      </w:r>
      <w:r w:rsidRPr="00740660">
        <w:rPr>
          <w:rFonts w:ascii="Verdana" w:hAnsi="Verdana" w:cs="Arial"/>
        </w:rPr>
        <w:t xml:space="preserve">, City-REDI: University of Birmingham; Velthuis, S. (2025) </w:t>
      </w:r>
      <w:r w:rsidRPr="00740660">
        <w:rPr>
          <w:rFonts w:ascii="Verdana" w:hAnsi="Verdana" w:cs="Arial"/>
          <w:u w:val="single"/>
        </w:rPr>
        <w:t>Geographical inequalities and sub-national funding in Australia</w:t>
      </w:r>
      <w:r w:rsidRPr="00740660">
        <w:rPr>
          <w:rFonts w:ascii="Verdana" w:hAnsi="Verdana" w:cs="Arial"/>
        </w:rPr>
        <w:t xml:space="preserve">, City-REDI: University of Birmingham; </w:t>
      </w:r>
      <w:r w:rsidRPr="00740660">
        <w:rPr>
          <w:rFonts w:ascii="Verdana" w:hAnsi="Verdana" w:cs="Arial"/>
        </w:rPr>
        <w:t xml:space="preserve">Muldoon Smith, K., Sandford, M., Stride, G. and Walker, A. (2024) </w:t>
      </w:r>
      <w:r w:rsidRPr="00740660">
        <w:rPr>
          <w:rFonts w:ascii="Verdana" w:hAnsi="Verdana" w:cs="Arial"/>
          <w:u w:val="single"/>
        </w:rPr>
        <w:t>Embedded Autonomy: Financing a Resilient Local Government Effectively</w:t>
      </w:r>
      <w:r w:rsidRPr="00740660">
        <w:rPr>
          <w:rFonts w:ascii="Verdana" w:hAnsi="Verdana" w:cs="Arial"/>
        </w:rPr>
        <w:t>, Palgrave Macmillan: London</w:t>
      </w:r>
      <w:r w:rsidRPr="00740660">
        <w:rPr>
          <w:rFonts w:ascii="Verdana" w:hAnsi="Verdana" w:cs="Arial"/>
        </w:rPr>
        <w:t>.</w:t>
      </w:r>
    </w:p>
  </w:footnote>
  <w:footnote w:id="17">
    <w:p w:rsidR="002B14FE" w:rsidRPr="00740660">
      <w:pPr>
        <w:pStyle w:val="FootnoteText"/>
        <w:rPr>
          <w:rFonts w:ascii="Verdana" w:hAnsi="Verdana" w:cs="Arial"/>
        </w:rPr>
      </w:pPr>
      <w:r w:rsidRPr="00740660">
        <w:rPr>
          <w:rStyle w:val="FootnoteReference"/>
          <w:rFonts w:ascii="Verdana" w:hAnsi="Verdana" w:cs="Arial"/>
        </w:rPr>
        <w:footnoteRef/>
      </w:r>
      <w:r w:rsidRPr="00740660">
        <w:rPr>
          <w:rFonts w:ascii="Verdana" w:hAnsi="Verdana" w:cs="Arial"/>
        </w:rPr>
        <w:t xml:space="preserve"> </w:t>
      </w:r>
      <w:r w:rsidRPr="00740660">
        <w:rPr>
          <w:rFonts w:ascii="Verdana" w:hAnsi="Verdana" w:cs="Arial"/>
          <w:color w:val="1A1521"/>
          <w:spacing w:val="-2"/>
        </w:rPr>
        <w:t>LG</w:t>
      </w:r>
      <w:r w:rsidRPr="00740660">
        <w:rPr>
          <w:rFonts w:ascii="Verdana" w:hAnsi="Verdana" w:cs="Arial"/>
          <w:color w:val="1A1521"/>
          <w:spacing w:val="-2"/>
        </w:rPr>
        <w:t>i</w:t>
      </w:r>
      <w:r w:rsidRPr="00740660">
        <w:rPr>
          <w:rFonts w:ascii="Verdana" w:hAnsi="Verdana" w:cs="Arial"/>
          <w:color w:val="1A1521"/>
          <w:spacing w:val="-2"/>
        </w:rPr>
        <w:t>U</w:t>
      </w:r>
      <w:r w:rsidRPr="00740660">
        <w:rPr>
          <w:rFonts w:ascii="Verdana" w:hAnsi="Verdana" w:cs="Arial"/>
          <w:color w:val="1A1521"/>
          <w:spacing w:val="-2"/>
        </w:rPr>
        <w:t xml:space="preserve"> (2025)</w:t>
      </w:r>
      <w:r w:rsidRPr="00740660">
        <w:rPr>
          <w:rFonts w:ascii="Verdana" w:hAnsi="Verdana" w:cs="Arial"/>
          <w:color w:val="1A1521"/>
          <w:spacing w:val="-2"/>
        </w:rPr>
        <w:t xml:space="preserve"> </w:t>
      </w:r>
      <w:r w:rsidRPr="00740660">
        <w:rPr>
          <w:rFonts w:ascii="Verdana" w:hAnsi="Verdana" w:cs="Arial"/>
          <w:color w:val="1A1521"/>
          <w:spacing w:val="-2"/>
          <w:u w:val="single"/>
        </w:rPr>
        <w:t>Looking to 2050: The Future of Local Government in England</w:t>
      </w:r>
      <w:r w:rsidRPr="00740660">
        <w:rPr>
          <w:rFonts w:ascii="Verdana" w:hAnsi="Verdana" w:cs="Arial"/>
          <w:color w:val="1A1521"/>
          <w:spacing w:val="-2"/>
        </w:rPr>
        <w:t>, LGiU: London.</w:t>
      </w:r>
    </w:p>
  </w:footnote>
  <w:footnote w:id="18">
    <w:p w:rsidR="002B14FE" w:rsidRPr="004141C4">
      <w:pPr>
        <w:pStyle w:val="FootnoteText"/>
        <w:rPr>
          <w:rFonts w:ascii="Arial" w:hAnsi="Arial" w:cs="Arial"/>
        </w:rPr>
      </w:pPr>
      <w:r w:rsidRPr="00740660">
        <w:rPr>
          <w:rStyle w:val="FootnoteReference"/>
          <w:rFonts w:ascii="Verdana" w:hAnsi="Verdana" w:cs="Arial"/>
        </w:rPr>
        <w:footnoteRef/>
      </w:r>
      <w:r w:rsidRPr="00740660">
        <w:rPr>
          <w:rFonts w:ascii="Verdana" w:hAnsi="Verdana" w:cs="Arial"/>
        </w:rPr>
        <w:t xml:space="preserve"> NAO (2019) </w:t>
      </w:r>
      <w:r w:rsidRPr="00740660">
        <w:rPr>
          <w:rFonts w:ascii="Verdana" w:hAnsi="Verdana" w:cs="Arial"/>
          <w:u w:val="single"/>
        </w:rPr>
        <w:t>Local Authority Governance</w:t>
      </w:r>
      <w:r w:rsidRPr="00740660">
        <w:rPr>
          <w:rFonts w:ascii="Verdana" w:hAnsi="Verdana" w:cs="Arial"/>
        </w:rPr>
        <w:t>, NAO: London.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547AF5"/>
    <w:multiLevelType w:val="multilevel"/>
    <w:tmpl w:val="C2F0E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970C23"/>
    <w:multiLevelType w:val="hybridMultilevel"/>
    <w:tmpl w:val="A3EAB7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DB23D5"/>
    <w:multiLevelType w:val="multilevel"/>
    <w:tmpl w:val="AE48A1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B1791F"/>
    <w:multiLevelType w:val="multilevel"/>
    <w:tmpl w:val="D0A2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907F7B"/>
    <w:multiLevelType w:val="multilevel"/>
    <w:tmpl w:val="DE24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621771"/>
    <w:multiLevelType w:val="multilevel"/>
    <w:tmpl w:val="C4129A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570C83"/>
    <w:multiLevelType w:val="multilevel"/>
    <w:tmpl w:val="5144F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77374B"/>
    <w:multiLevelType w:val="multilevel"/>
    <w:tmpl w:val="F6163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C8490B"/>
    <w:multiLevelType w:val="multilevel"/>
    <w:tmpl w:val="CFC674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6846F9"/>
    <w:multiLevelType w:val="hybridMultilevel"/>
    <w:tmpl w:val="235CF81A"/>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cs="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cs="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cs="Courier New" w:hint="default"/>
      </w:rPr>
    </w:lvl>
    <w:lvl w:ilvl="8" w:tentative="1">
      <w:start w:val="1"/>
      <w:numFmt w:val="bullet"/>
      <w:lvlText w:val=""/>
      <w:lvlJc w:val="left"/>
      <w:pPr>
        <w:ind w:left="6547" w:hanging="360"/>
      </w:pPr>
      <w:rPr>
        <w:rFonts w:ascii="Wingdings" w:hAnsi="Wingdings" w:hint="default"/>
      </w:rPr>
    </w:lvl>
  </w:abstractNum>
  <w:abstractNum w:abstractNumId="10">
    <w:nsid w:val="55166776"/>
    <w:multiLevelType w:val="multilevel"/>
    <w:tmpl w:val="D360A4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5E4FD0"/>
    <w:multiLevelType w:val="hybridMultilevel"/>
    <w:tmpl w:val="5ACCB9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D5C542F"/>
    <w:multiLevelType w:val="multilevel"/>
    <w:tmpl w:val="A260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F37EA0"/>
    <w:multiLevelType w:val="multilevel"/>
    <w:tmpl w:val="14D4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CA567A"/>
    <w:multiLevelType w:val="multilevel"/>
    <w:tmpl w:val="B5B6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6"/>
  </w:num>
  <w:num w:numId="4">
    <w:abstractNumId w:val="2"/>
  </w:num>
  <w:num w:numId="5">
    <w:abstractNumId w:val="13"/>
  </w:num>
  <w:num w:numId="6">
    <w:abstractNumId w:val="10"/>
  </w:num>
  <w:num w:numId="7">
    <w:abstractNumId w:val="5"/>
  </w:num>
  <w:num w:numId="8">
    <w:abstractNumId w:val="12"/>
  </w:num>
  <w:num w:numId="9">
    <w:abstractNumId w:val="11"/>
  </w:num>
  <w:num w:numId="10">
    <w:abstractNumId w:val="4"/>
  </w:num>
  <w:num w:numId="11">
    <w:abstractNumId w:val="14"/>
  </w:num>
  <w:num w:numId="12">
    <w:abstractNumId w:val="7"/>
  </w:num>
  <w:num w:numId="13">
    <w:abstractNumId w:val="0"/>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3009"/>
    <w:rPr>
      <w:rFonts w:ascii="Times New Roman" w:eastAsia="Times New Roman" w:hAnsi="Times New Roman" w:cs="Times New Roman"/>
      <w:kern w:val="0"/>
      <w:lang w:eastAsia="en-GB"/>
    </w:rPr>
  </w:style>
  <w:style w:type="paragraph" w:styleId="Heading1">
    <w:name w:val="heading 1"/>
    <w:basedOn w:val="Normal"/>
    <w:next w:val="Normal"/>
    <w:link w:val="Heading1Char"/>
    <w:uiPriority w:val="9"/>
    <w:qFormat/>
    <w:rsid w:val="00B630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30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30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30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30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30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30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30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30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0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30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30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30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30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30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30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30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3009"/>
    <w:rPr>
      <w:rFonts w:eastAsiaTheme="majorEastAsia" w:cstheme="majorBidi"/>
      <w:color w:val="272727" w:themeColor="text1" w:themeTint="D8"/>
    </w:rPr>
  </w:style>
  <w:style w:type="paragraph" w:styleId="Title">
    <w:name w:val="Title"/>
    <w:basedOn w:val="Normal"/>
    <w:next w:val="Normal"/>
    <w:link w:val="TitleChar"/>
    <w:uiPriority w:val="10"/>
    <w:qFormat/>
    <w:rsid w:val="00B630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0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0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30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0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3009"/>
    <w:rPr>
      <w:i/>
      <w:iCs/>
      <w:color w:val="404040" w:themeColor="text1" w:themeTint="BF"/>
    </w:rPr>
  </w:style>
  <w:style w:type="paragraph" w:styleId="ListParagraph">
    <w:name w:val="List Paragraph"/>
    <w:basedOn w:val="Normal"/>
    <w:uiPriority w:val="34"/>
    <w:qFormat/>
    <w:rsid w:val="00B63009"/>
    <w:pPr>
      <w:ind w:left="720"/>
      <w:contextualSpacing/>
    </w:pPr>
  </w:style>
  <w:style w:type="character" w:styleId="IntenseEmphasis">
    <w:name w:val="Intense Emphasis"/>
    <w:basedOn w:val="DefaultParagraphFont"/>
    <w:uiPriority w:val="21"/>
    <w:qFormat/>
    <w:rsid w:val="00B63009"/>
    <w:rPr>
      <w:i/>
      <w:iCs/>
      <w:color w:val="0F4761" w:themeColor="accent1" w:themeShade="BF"/>
    </w:rPr>
  </w:style>
  <w:style w:type="paragraph" w:styleId="IntenseQuote">
    <w:name w:val="Intense Quote"/>
    <w:basedOn w:val="Normal"/>
    <w:next w:val="Normal"/>
    <w:link w:val="IntenseQuoteChar"/>
    <w:uiPriority w:val="30"/>
    <w:qFormat/>
    <w:rsid w:val="00B630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3009"/>
    <w:rPr>
      <w:i/>
      <w:iCs/>
      <w:color w:val="0F4761" w:themeColor="accent1" w:themeShade="BF"/>
    </w:rPr>
  </w:style>
  <w:style w:type="character" w:styleId="IntenseReference">
    <w:name w:val="Intense Reference"/>
    <w:basedOn w:val="DefaultParagraphFont"/>
    <w:uiPriority w:val="32"/>
    <w:qFormat/>
    <w:rsid w:val="00B63009"/>
    <w:rPr>
      <w:b/>
      <w:bCs/>
      <w:smallCaps/>
      <w:color w:val="0F4761" w:themeColor="accent1" w:themeShade="BF"/>
      <w:spacing w:val="5"/>
    </w:rPr>
  </w:style>
  <w:style w:type="character" w:styleId="Hyperlink">
    <w:name w:val="Hyperlink"/>
    <w:basedOn w:val="DefaultParagraphFont"/>
    <w:uiPriority w:val="99"/>
    <w:unhideWhenUsed/>
    <w:rsid w:val="00B63009"/>
    <w:rPr>
      <w:color w:val="0000FF"/>
      <w:u w:val="single"/>
    </w:rPr>
  </w:style>
  <w:style w:type="paragraph" w:styleId="Revision">
    <w:name w:val="Revision"/>
    <w:hidden/>
    <w:uiPriority w:val="99"/>
    <w:semiHidden/>
    <w:rsid w:val="00420DE9"/>
    <w:rPr>
      <w:rFonts w:ascii="Times New Roman" w:eastAsia="Times New Roman" w:hAnsi="Times New Roman" w:cs="Times New Roman"/>
      <w:kern w:val="0"/>
      <w:lang w:eastAsia="en-GB"/>
    </w:rPr>
  </w:style>
  <w:style w:type="paragraph" w:styleId="Footer">
    <w:name w:val="footer"/>
    <w:basedOn w:val="Normal"/>
    <w:link w:val="FooterChar"/>
    <w:uiPriority w:val="99"/>
    <w:unhideWhenUsed/>
    <w:rsid w:val="00420DE9"/>
    <w:pPr>
      <w:tabs>
        <w:tab w:val="center" w:pos="4513"/>
        <w:tab w:val="right" w:pos="9026"/>
      </w:tabs>
    </w:pPr>
  </w:style>
  <w:style w:type="character" w:customStyle="1" w:styleId="FooterChar">
    <w:name w:val="Footer Char"/>
    <w:basedOn w:val="DefaultParagraphFont"/>
    <w:link w:val="Footer"/>
    <w:uiPriority w:val="99"/>
    <w:rsid w:val="00420DE9"/>
    <w:rPr>
      <w:rFonts w:ascii="Times New Roman" w:eastAsia="Times New Roman" w:hAnsi="Times New Roman" w:cs="Times New Roman"/>
      <w:kern w:val="0"/>
      <w:lang w:eastAsia="en-GB"/>
    </w:rPr>
  </w:style>
  <w:style w:type="character" w:styleId="PageNumber">
    <w:name w:val="page number"/>
    <w:basedOn w:val="DefaultParagraphFont"/>
    <w:uiPriority w:val="99"/>
    <w:semiHidden/>
    <w:unhideWhenUsed/>
    <w:rsid w:val="00420DE9"/>
  </w:style>
  <w:style w:type="paragraph" w:styleId="Header">
    <w:name w:val="header"/>
    <w:basedOn w:val="Normal"/>
    <w:link w:val="HeaderChar"/>
    <w:uiPriority w:val="99"/>
    <w:unhideWhenUsed/>
    <w:rsid w:val="00420DE9"/>
    <w:pPr>
      <w:tabs>
        <w:tab w:val="center" w:pos="4513"/>
        <w:tab w:val="right" w:pos="9026"/>
      </w:tabs>
    </w:pPr>
  </w:style>
  <w:style w:type="character" w:customStyle="1" w:styleId="HeaderChar">
    <w:name w:val="Header Char"/>
    <w:basedOn w:val="DefaultParagraphFont"/>
    <w:link w:val="Header"/>
    <w:uiPriority w:val="99"/>
    <w:rsid w:val="00420DE9"/>
    <w:rPr>
      <w:rFonts w:ascii="Times New Roman" w:eastAsia="Times New Roman" w:hAnsi="Times New Roman" w:cs="Times New Roman"/>
      <w:kern w:val="0"/>
      <w:lang w:eastAsia="en-GB"/>
    </w:rPr>
  </w:style>
  <w:style w:type="paragraph" w:styleId="FootnoteText">
    <w:name w:val="footnote text"/>
    <w:basedOn w:val="Normal"/>
    <w:link w:val="FootnoteTextChar"/>
    <w:uiPriority w:val="99"/>
    <w:semiHidden/>
    <w:unhideWhenUsed/>
    <w:rsid w:val="00570A72"/>
    <w:rPr>
      <w:sz w:val="20"/>
      <w:szCs w:val="20"/>
    </w:rPr>
  </w:style>
  <w:style w:type="character" w:customStyle="1" w:styleId="FootnoteTextChar">
    <w:name w:val="Footnote Text Char"/>
    <w:basedOn w:val="DefaultParagraphFont"/>
    <w:link w:val="FootnoteText"/>
    <w:uiPriority w:val="99"/>
    <w:semiHidden/>
    <w:rsid w:val="00570A72"/>
    <w:rPr>
      <w:rFonts w:ascii="Times New Roman" w:eastAsia="Times New Roman" w:hAnsi="Times New Roman" w:cs="Times New Roman"/>
      <w:kern w:val="0"/>
      <w:sz w:val="20"/>
      <w:szCs w:val="20"/>
      <w:lang w:eastAsia="en-GB"/>
    </w:rPr>
  </w:style>
  <w:style w:type="character" w:styleId="FootnoteReference">
    <w:name w:val="footnote reference"/>
    <w:basedOn w:val="DefaultParagraphFont"/>
    <w:uiPriority w:val="99"/>
    <w:semiHidden/>
    <w:unhideWhenUsed/>
    <w:rsid w:val="00570A72"/>
    <w:rPr>
      <w:vertAlign w:val="superscript"/>
    </w:rPr>
  </w:style>
  <w:style w:type="character" w:customStyle="1" w:styleId="anchor-text">
    <w:name w:val="anchor-text"/>
    <w:basedOn w:val="DefaultParagraphFont"/>
    <w:rsid w:val="007C353F"/>
  </w:style>
  <w:style w:type="paragraph" w:customStyle="1" w:styleId="z1qcye">
    <w:name w:val="z1qcye"/>
    <w:basedOn w:val="Normal"/>
    <w:rsid w:val="005C01E5"/>
    <w:pPr>
      <w:spacing w:before="100" w:beforeAutospacing="1" w:after="100" w:afterAutospacing="1"/>
    </w:pPr>
  </w:style>
  <w:style w:type="character" w:customStyle="1" w:styleId="t286pc">
    <w:name w:val="t286pc"/>
    <w:basedOn w:val="DefaultParagraphFont"/>
    <w:rsid w:val="005C01E5"/>
  </w:style>
  <w:style w:type="character" w:styleId="Strong">
    <w:name w:val="Strong"/>
    <w:basedOn w:val="DefaultParagraphFont"/>
    <w:uiPriority w:val="22"/>
    <w:qFormat/>
    <w:rsid w:val="005C01E5"/>
    <w:rPr>
      <w:b/>
      <w:bCs/>
    </w:rPr>
  </w:style>
  <w:style w:type="character" w:styleId="FollowedHyperlink">
    <w:name w:val="FollowedHyperlink"/>
    <w:basedOn w:val="DefaultParagraphFont"/>
    <w:uiPriority w:val="99"/>
    <w:semiHidden/>
    <w:unhideWhenUsed/>
    <w:rsid w:val="005C01E5"/>
    <w:rPr>
      <w:color w:val="96607D" w:themeColor="followedHyperlink"/>
      <w:u w:val="single"/>
    </w:rPr>
  </w:style>
  <w:style w:type="paragraph" w:customStyle="1" w:styleId="p1">
    <w:name w:val="p1"/>
    <w:basedOn w:val="Normal"/>
    <w:rsid w:val="009D7B90"/>
    <w:rPr>
      <w:rFonts w:ascii="Helvetica" w:hAnsi="Helvetica"/>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A7F1A-30DF-2B41-A248-2F63379BEE8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FDE0001</dc:title>
  <cp:revision>0</cp:revision>
</cp:coreProperties>
</file>