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6E0B" w:rsidRPr="006B6B38" w:rsidP="00B46E0B">
      <w:pPr>
        <w:pStyle w:val="Heading1"/>
        <w:jc w:val="center"/>
        <w:rPr>
          <w:rFonts w:eastAsia="Trebuchet MS"/>
          <w:b/>
          <w:bCs/>
          <w:color w:val="auto"/>
          <w:sz w:val="44"/>
          <w:szCs w:val="44"/>
        </w:rPr>
      </w:pPr>
      <w:r w:rsidRPr="006B6B38">
        <w:rPr>
          <w:rFonts w:eastAsia="Trebuchet MS"/>
          <w:b/>
          <w:bCs/>
          <w:color w:val="auto"/>
          <w:sz w:val="44"/>
          <w:szCs w:val="44"/>
        </w:rPr>
        <w:t xml:space="preserve">Written Evidence Submitted by </w:t>
      </w:r>
      <w:r w:rsidR="000E333D">
        <w:rPr>
          <w:rFonts w:eastAsia="Trebuchet MS"/>
          <w:b/>
          <w:bCs/>
          <w:color w:val="auto"/>
          <w:sz w:val="44"/>
          <w:szCs w:val="44"/>
        </w:rPr>
        <w:t xml:space="preserve">the </w:t>
      </w:r>
      <w:r w:rsidRPr="000E333D" w:rsidR="000E333D">
        <w:rPr>
          <w:rFonts w:eastAsia="Trebuchet MS"/>
          <w:b/>
          <w:bCs/>
          <w:color w:val="auto"/>
          <w:sz w:val="44"/>
          <w:szCs w:val="44"/>
        </w:rPr>
        <w:t>Department of Health and Social Care and Department for Education</w:t>
      </w:r>
      <w:r w:rsidRPr="006B6B38">
        <w:rPr>
          <w:rFonts w:eastAsia="Trebuchet MS"/>
          <w:b/>
          <w:bCs/>
          <w:color w:val="auto"/>
          <w:sz w:val="44"/>
          <w:szCs w:val="44"/>
        </w:rPr>
        <w:t xml:space="preserve"> (CYM0251)</w:t>
      </w:r>
    </w:p>
    <w:p w:rsidR="00B46E0B" w:rsidRPr="006B6B38" w:rsidP="008A1AF6">
      <w:pPr>
        <w:pStyle w:val="Heading2"/>
        <w:spacing w:after="360"/>
        <w:rPr>
          <w:rFonts w:ascii="Arial" w:hAnsi="Arial" w:cs="Arial"/>
          <w:color w:val="auto"/>
          <w:sz w:val="24"/>
          <w:szCs w:val="24"/>
          <w:u w:val="single"/>
        </w:rPr>
      </w:pPr>
    </w:p>
    <w:p w:rsidR="00B46E0B" w:rsidRPr="006B6B38" w:rsidP="008A1AF6">
      <w:pPr>
        <w:pStyle w:val="Heading2"/>
        <w:spacing w:after="360"/>
        <w:rPr>
          <w:rFonts w:ascii="Arial" w:hAnsi="Arial" w:cs="Arial"/>
          <w:color w:val="auto"/>
          <w:sz w:val="24"/>
          <w:szCs w:val="24"/>
          <w:u w:val="single"/>
        </w:rPr>
      </w:pPr>
    </w:p>
    <w:p w:rsidR="00B46E0B" w:rsidRPr="006B6B38" w:rsidP="008A1AF6">
      <w:pPr>
        <w:pStyle w:val="Heading2"/>
        <w:spacing w:after="360"/>
        <w:rPr>
          <w:rFonts w:ascii="Arial" w:hAnsi="Arial" w:cs="Arial"/>
          <w:color w:val="auto"/>
          <w:sz w:val="24"/>
          <w:szCs w:val="24"/>
          <w:u w:val="single"/>
        </w:rPr>
      </w:pPr>
    </w:p>
    <w:p w:rsidR="00B46E0B" w:rsidRPr="006B6B38" w:rsidP="008A1AF6">
      <w:pPr>
        <w:pStyle w:val="Heading2"/>
        <w:spacing w:after="360"/>
        <w:rPr>
          <w:rFonts w:ascii="Arial" w:hAnsi="Arial" w:cs="Arial"/>
          <w:color w:val="auto"/>
          <w:sz w:val="24"/>
          <w:szCs w:val="24"/>
          <w:u w:val="single"/>
        </w:rPr>
      </w:pPr>
    </w:p>
    <w:p w:rsidR="008A1AF6" w:rsidRPr="006B6B38" w:rsidP="008A1AF6">
      <w:pPr>
        <w:pStyle w:val="Heading2"/>
        <w:spacing w:after="360"/>
        <w:rPr>
          <w:rFonts w:ascii="Arial" w:hAnsi="Arial" w:cs="Arial"/>
          <w:color w:val="auto"/>
          <w:sz w:val="24"/>
          <w:szCs w:val="24"/>
          <w:u w:val="single"/>
        </w:rPr>
      </w:pPr>
      <w:r w:rsidRPr="006B6B38">
        <w:rPr>
          <w:rFonts w:ascii="Arial" w:hAnsi="Arial" w:cs="Arial"/>
          <w:color w:val="auto"/>
          <w:sz w:val="24"/>
          <w:szCs w:val="24"/>
          <w:u w:val="single"/>
        </w:rPr>
        <w:t>Written Evidence from the Department of Health and Social Care and Department for Education for the Education and Health and Social Care Committee inquiry into children’s mental health</w:t>
      </w:r>
    </w:p>
    <w:p w:rsidR="008A1AF6" w:rsidRPr="006B6B38" w:rsidP="008A1AF6">
      <w:pPr>
        <w:spacing w:after="360"/>
        <w:rPr>
          <w:rStyle w:val="Strong"/>
          <w:rFonts w:cs="Arial"/>
        </w:rPr>
      </w:pPr>
      <w:r w:rsidRPr="006B6B38">
        <w:rPr>
          <w:rStyle w:val="Strong"/>
          <w:rFonts w:cs="Arial"/>
        </w:rPr>
        <w:t xml:space="preserve">Introduction </w:t>
      </w:r>
    </w:p>
    <w:p w:rsidR="008A1AF6" w:rsidRPr="006B6B38" w:rsidP="008A1AF6">
      <w:pPr>
        <w:pStyle w:val="ListParagraph"/>
        <w:numPr>
          <w:ilvl w:val="0"/>
          <w:numId w:val="1"/>
        </w:numPr>
        <w:spacing w:after="360" w:line="278" w:lineRule="auto"/>
        <w:ind w:left="641" w:hanging="357"/>
        <w:contextualSpacing w:val="0"/>
        <w:rPr>
          <w:rFonts w:eastAsia="Arial" w:cs="Arial"/>
        </w:rPr>
      </w:pPr>
      <w:r w:rsidRPr="006B6B38">
        <w:rPr>
          <w:rFonts w:cs="Arial"/>
        </w:rPr>
        <w:t>The Government welcomes the inquiry into children and young people’s mental health. The following submission sets out the Government’s vision for transforming children and young people’s mental health and sets out some of the key areas of progress made. It builds on the Government’s 10 Year Health Plan, the National Youth Strategy;</w:t>
      </w:r>
      <w:r w:rsidRPr="006B6B38">
        <w:rPr>
          <w:rFonts w:eastAsia="Arial" w:cs="Arial"/>
        </w:rPr>
        <w:t xml:space="preserve"> </w:t>
      </w:r>
      <w:r w:rsidRPr="006B6B38">
        <w:rPr>
          <w:rFonts w:cs="Arial"/>
        </w:rPr>
        <w:t>the</w:t>
      </w:r>
      <w:r w:rsidRPr="006B6B38">
        <w:rPr>
          <w:rFonts w:eastAsia="Arial" w:cs="Arial"/>
        </w:rPr>
        <w:t xml:space="preserve"> independent review into mental health conditions, ADHD and autism; and </w:t>
      </w:r>
      <w:r w:rsidRPr="006B6B38">
        <w:rPr>
          <w:rFonts w:eastAsia="Arial" w:cs="Arial"/>
        </w:rPr>
        <w:t>the Every</w:t>
      </w:r>
      <w:r w:rsidRPr="006B6B38">
        <w:rPr>
          <w:rFonts w:eastAsia="Arial" w:cs="Arial"/>
        </w:rPr>
        <w:t xml:space="preserve"> Child Achieving and Thriving White Paper.</w:t>
      </w:r>
    </w:p>
    <w:p w:rsidR="00201729" w:rsidRPr="006B6B38" w:rsidP="008A1AF6">
      <w:pPr>
        <w:pStyle w:val="ListParagraph"/>
        <w:numPr>
          <w:ilvl w:val="0"/>
          <w:numId w:val="1"/>
        </w:numPr>
        <w:spacing w:after="360" w:line="278" w:lineRule="auto"/>
        <w:ind w:left="641" w:hanging="357"/>
        <w:contextualSpacing w:val="0"/>
        <w:rPr>
          <w:rFonts w:cs="Arial"/>
        </w:rPr>
      </w:pPr>
      <w:r w:rsidRPr="006B6B38">
        <w:rPr>
          <w:rFonts w:cs="Arial"/>
        </w:rPr>
        <w:t xml:space="preserve">We recognise the scale of the challenge facing us. Lord Darzi’s independent investigation found that people accessing NHS mental health services are waiting too long, receive variable quality of care, and suffer from entrenched inequalities. </w:t>
      </w:r>
      <w:r w:rsidRPr="006B6B38" w:rsidR="00456CFE">
        <w:rPr>
          <w:rFonts w:cs="Arial"/>
        </w:rPr>
        <w:t xml:space="preserve">The interim </w:t>
      </w:r>
      <w:r w:rsidRPr="006B6B38" w:rsidR="00982208">
        <w:rPr>
          <w:rFonts w:cs="Arial"/>
        </w:rPr>
        <w:t>report</w:t>
      </w:r>
      <w:r w:rsidRPr="006B6B38" w:rsidR="00ED1030">
        <w:rPr>
          <w:rFonts w:cs="Arial"/>
        </w:rPr>
        <w:t xml:space="preserve"> of the independent review into prevalence and support for mental health conditions, ADHD &amp; autism </w:t>
      </w:r>
      <w:r w:rsidRPr="006B6B38" w:rsidR="00982208">
        <w:rPr>
          <w:rFonts w:cs="Arial"/>
        </w:rPr>
        <w:t xml:space="preserve">found that </w:t>
      </w:r>
      <w:r w:rsidRPr="006B6B38" w:rsidR="00DB226E">
        <w:rPr>
          <w:rFonts w:cs="Arial"/>
        </w:rPr>
        <w:t xml:space="preserve">rising demand </w:t>
      </w:r>
      <w:r w:rsidRPr="006B6B38" w:rsidR="00F365EC">
        <w:rPr>
          <w:rFonts w:cs="Arial"/>
        </w:rPr>
        <w:t xml:space="preserve">for support is unlikely to have a single cause and that </w:t>
      </w:r>
      <w:r w:rsidRPr="006B6B38" w:rsidR="003D5C34">
        <w:rPr>
          <w:rFonts w:cs="Arial"/>
          <w:bCs/>
        </w:rPr>
        <w:t xml:space="preserve">there is credible population level evidence of increasing psychological distress, particularly among younger people. </w:t>
      </w:r>
      <w:r w:rsidRPr="006B6B38" w:rsidR="00ED1030">
        <w:rPr>
          <w:rFonts w:cs="Arial"/>
          <w:bCs/>
        </w:rPr>
        <w:t xml:space="preserve"> </w:t>
      </w:r>
    </w:p>
    <w:p w:rsidR="008A1AF6" w:rsidRPr="006B6B38" w:rsidP="008A1AF6">
      <w:pPr>
        <w:pStyle w:val="ListParagraph"/>
        <w:numPr>
          <w:ilvl w:val="0"/>
          <w:numId w:val="1"/>
        </w:numPr>
        <w:spacing w:after="360" w:line="278" w:lineRule="auto"/>
        <w:ind w:left="641" w:hanging="357"/>
        <w:contextualSpacing w:val="0"/>
        <w:rPr>
          <w:rFonts w:cs="Arial"/>
        </w:rPr>
      </w:pPr>
      <w:r w:rsidRPr="006B6B38">
        <w:rPr>
          <w:rFonts w:cs="Arial"/>
        </w:rPr>
        <w:t>Prevalence is rising with about 1 in 5 children and young people aged 8 to 25 years having a probable mental disorder in 2023, an increase from around 1 in 8 in 2017.</w:t>
      </w:r>
      <w:r>
        <w:rPr>
          <w:rStyle w:val="FootnoteReference"/>
          <w:rFonts w:eastAsiaTheme="majorEastAsia" w:cs="Arial"/>
        </w:rPr>
        <w:footnoteReference w:id="2"/>
      </w:r>
      <w:r w:rsidRPr="006B6B38">
        <w:rPr>
          <w:rFonts w:cs="Arial"/>
        </w:rPr>
        <w:t xml:space="preserve"> 25.8% of 16 to 24 year olds had a common mental health condition </w:t>
      </w:r>
      <w:r w:rsidRPr="006B6B38">
        <w:rPr>
          <w:rFonts w:cs="Arial"/>
        </w:rPr>
        <w:t>in 2023/4 compared to 18.9% in 2014.</w:t>
      </w:r>
      <w:r>
        <w:rPr>
          <w:rStyle w:val="FootnoteReference"/>
          <w:rFonts w:eastAsiaTheme="majorEastAsia" w:cs="Arial"/>
        </w:rPr>
        <w:footnoteReference w:id="3"/>
      </w:r>
      <w:r w:rsidRPr="006B6B38">
        <w:rPr>
          <w:rFonts w:cs="Arial"/>
        </w:rPr>
        <w:t xml:space="preserve"> This is having an impact on NHS mental health services with young people facing rising waits to access support.</w:t>
      </w:r>
    </w:p>
    <w:p w:rsidR="008A1AF6" w:rsidRPr="006B6B38" w:rsidP="008A1AF6">
      <w:pPr>
        <w:pStyle w:val="ListParagraph"/>
        <w:numPr>
          <w:ilvl w:val="0"/>
          <w:numId w:val="1"/>
        </w:numPr>
        <w:spacing w:after="360" w:line="278" w:lineRule="auto"/>
        <w:contextualSpacing w:val="0"/>
        <w:rPr>
          <w:rFonts w:cs="Arial"/>
        </w:rPr>
      </w:pPr>
      <w:r w:rsidRPr="006B6B38">
        <w:rPr>
          <w:rFonts w:cs="Arial"/>
        </w:rPr>
        <w:t>We know that mental ill health has a lasting impact on children stretching into adulthood, and far beyond just their health. For example, young people with mental health problems are more likely to experience problems in their future employment</w:t>
      </w:r>
      <w:r>
        <w:rPr>
          <w:rStyle w:val="FootnoteReference"/>
          <w:rFonts w:eastAsiaTheme="majorEastAsia" w:cs="Arial"/>
        </w:rPr>
        <w:footnoteReference w:id="4"/>
      </w:r>
      <w:r w:rsidRPr="006B6B38">
        <w:rPr>
          <w:rFonts w:cs="Arial"/>
        </w:rPr>
        <w:t xml:space="preserve"> and </w:t>
      </w:r>
      <w:r w:rsidRPr="006B6B38">
        <w:rPr>
          <w:rFonts w:cs="Arial"/>
        </w:rPr>
        <w:t>come into contact with</w:t>
      </w:r>
      <w:r w:rsidRPr="006B6B38">
        <w:rPr>
          <w:rFonts w:cs="Arial"/>
        </w:rPr>
        <w:t xml:space="preserve"> the criminal justice system</w:t>
      </w:r>
      <w:r>
        <w:rPr>
          <w:rStyle w:val="FootnoteReference"/>
          <w:rFonts w:eastAsiaTheme="majorEastAsia" w:cs="Arial"/>
        </w:rPr>
        <w:footnoteReference w:id="5"/>
      </w:r>
      <w:r w:rsidRPr="006B6B38">
        <w:rPr>
          <w:rFonts w:cs="Arial"/>
        </w:rPr>
        <w:t>. Poor mental health can also impact a child’s school attendance</w:t>
      </w:r>
      <w:r>
        <w:rPr>
          <w:rStyle w:val="FootnoteReference"/>
          <w:rFonts w:eastAsiaTheme="majorEastAsia" w:cs="Arial"/>
        </w:rPr>
        <w:footnoteReference w:id="6"/>
      </w:r>
      <w:r w:rsidRPr="006B6B38">
        <w:rPr>
          <w:rFonts w:cs="Arial"/>
        </w:rPr>
        <w:t xml:space="preserve"> and attainment.</w:t>
      </w:r>
      <w:r>
        <w:rPr>
          <w:rStyle w:val="FootnoteReference"/>
          <w:rFonts w:eastAsiaTheme="majorEastAsia" w:cs="Arial"/>
        </w:rPr>
        <w:footnoteReference w:id="7"/>
      </w:r>
      <w:r w:rsidRPr="006B6B38">
        <w:rPr>
          <w:rFonts w:cs="Arial"/>
        </w:rPr>
        <w:t xml:space="preserve"> A third of mental disorders emerge before the age of 14 and almost half by age 18.</w:t>
      </w:r>
      <w:r>
        <w:rPr>
          <w:rStyle w:val="FootnoteReference"/>
          <w:rFonts w:eastAsiaTheme="majorEastAsia" w:cs="Arial"/>
        </w:rPr>
        <w:footnoteReference w:id="8"/>
      </w:r>
      <w:r w:rsidRPr="006B6B38">
        <w:rPr>
          <w:rFonts w:cs="Arial"/>
        </w:rPr>
        <w:t xml:space="preserve"> This makes early identification and intervention vital to improving children’s life chances.</w:t>
      </w:r>
    </w:p>
    <w:p w:rsidR="008A1AF6" w:rsidRPr="006B6B38" w:rsidP="008A1AF6">
      <w:pPr>
        <w:pStyle w:val="ListParagraph"/>
        <w:numPr>
          <w:ilvl w:val="0"/>
          <w:numId w:val="1"/>
        </w:numPr>
        <w:spacing w:after="360" w:line="278" w:lineRule="auto"/>
        <w:rPr>
          <w:rFonts w:cs="Arial"/>
        </w:rPr>
      </w:pPr>
      <w:r w:rsidRPr="006B6B38">
        <w:rPr>
          <w:rFonts w:cs="Arial"/>
        </w:rPr>
        <w:t>The determinants of mental ill-health are complex, often linked to a combination of social, economic, and genetic factors, including the role of socio-economic disadvantage, adverse childhood experiences and social changes. For example, young people can be supported to develop good mental health and wellbeing through positive relationships with trusted adults in their lives. However, structural barriers to commissioning and delivery make it difficult to address these factors and contribute to fragmented care.</w:t>
      </w:r>
    </w:p>
    <w:p w:rsidR="008A1AF6" w:rsidRPr="006B6B38" w:rsidP="008A1AF6">
      <w:pPr>
        <w:pStyle w:val="ListParagraph"/>
        <w:spacing w:after="360"/>
        <w:ind w:left="644"/>
        <w:rPr>
          <w:rFonts w:cs="Arial"/>
        </w:rPr>
      </w:pPr>
    </w:p>
    <w:p w:rsidR="008A1AF6" w:rsidRPr="006B6B38" w:rsidP="008A1AF6">
      <w:pPr>
        <w:pStyle w:val="ListParagraph"/>
        <w:numPr>
          <w:ilvl w:val="0"/>
          <w:numId w:val="1"/>
        </w:numPr>
        <w:spacing w:after="360" w:line="278" w:lineRule="auto"/>
        <w:rPr>
          <w:rFonts w:cs="Arial"/>
        </w:rPr>
      </w:pPr>
      <w:r w:rsidRPr="006B6B38">
        <w:rPr>
          <w:rFonts w:cs="Arial"/>
        </w:rPr>
        <w:t>The independent review into mental health conditions, ADHD and autism will look across the evidence and provide advice to the government on trends in mental health conditions including factors that have contributed to drivers in prevalence for children and young people. The review</w:t>
      </w:r>
      <w:r w:rsidRPr="006B6B38" w:rsidR="00E2217E">
        <w:rPr>
          <w:rFonts w:cs="Arial"/>
        </w:rPr>
        <w:t xml:space="preserve"> recently published its interim </w:t>
      </w:r>
      <w:r w:rsidRPr="006B6B38" w:rsidR="00E2217E">
        <w:rPr>
          <w:rFonts w:cs="Arial"/>
        </w:rPr>
        <w:t>report</w:t>
      </w:r>
      <w:r w:rsidRPr="006B6B38" w:rsidR="00E2217E">
        <w:rPr>
          <w:rFonts w:cs="Arial"/>
        </w:rPr>
        <w:t xml:space="preserve"> and </w:t>
      </w:r>
      <w:r w:rsidRPr="006B6B38" w:rsidR="009512D3">
        <w:rPr>
          <w:rFonts w:cs="Arial"/>
        </w:rPr>
        <w:t>the next phase of the review will</w:t>
      </w:r>
      <w:r w:rsidRPr="006B6B38">
        <w:rPr>
          <w:rFonts w:cs="Arial"/>
        </w:rPr>
        <w:t xml:space="preserve"> </w:t>
      </w:r>
      <w:r w:rsidRPr="006B6B38" w:rsidR="00AE18BF">
        <w:rPr>
          <w:rFonts w:cs="Arial"/>
        </w:rPr>
        <w:t>examine</w:t>
      </w:r>
      <w:r w:rsidRPr="006B6B38" w:rsidR="00AE18BF">
        <w:rPr>
          <w:rFonts w:cs="Arial"/>
          <w:bCs/>
        </w:rPr>
        <w:t xml:space="preserve"> the relationship between underlying need and service demand</w:t>
      </w:r>
      <w:r w:rsidRPr="006B6B38" w:rsidR="00214052">
        <w:rPr>
          <w:rFonts w:cs="Arial"/>
          <w:bCs/>
        </w:rPr>
        <w:t xml:space="preserve"> ahead of the final report.</w:t>
      </w:r>
    </w:p>
    <w:p w:rsidR="008A1AF6" w:rsidRPr="006B6B38" w:rsidP="008A1AF6">
      <w:pPr>
        <w:spacing w:after="360"/>
        <w:ind w:left="284"/>
        <w:rPr>
          <w:rFonts w:cs="Arial"/>
          <w:b/>
          <w:bCs/>
        </w:rPr>
      </w:pPr>
      <w:r w:rsidRPr="006B6B38">
        <w:rPr>
          <w:rFonts w:cs="Arial"/>
          <w:b/>
          <w:bCs/>
        </w:rPr>
        <w:t>Government action so far</w:t>
      </w:r>
    </w:p>
    <w:p w:rsidR="008A1AF6" w:rsidRPr="006B6B38" w:rsidP="008A1AF6">
      <w:pPr>
        <w:pStyle w:val="ListParagraph"/>
        <w:numPr>
          <w:ilvl w:val="0"/>
          <w:numId w:val="1"/>
        </w:numPr>
        <w:spacing w:after="360" w:line="278" w:lineRule="auto"/>
        <w:ind w:left="641" w:hanging="357"/>
        <w:contextualSpacing w:val="0"/>
        <w:rPr>
          <w:rFonts w:cs="Arial"/>
        </w:rPr>
      </w:pPr>
      <w:r w:rsidRPr="006B6B38">
        <w:rPr>
          <w:rFonts w:cs="Arial"/>
        </w:rPr>
        <w:t>Against this backdrop, the Government has already taken important steps on children and young people’s mental health. Our focus has been improving access to specialist support for those young people who need it most and continuing to provide support in the community and schools to help more children to thrive in education.</w:t>
      </w:r>
    </w:p>
    <w:p w:rsidR="008A1AF6" w:rsidRPr="006B6B38" w:rsidP="008A1AF6">
      <w:pPr>
        <w:pStyle w:val="ListParagraph"/>
        <w:numPr>
          <w:ilvl w:val="0"/>
          <w:numId w:val="1"/>
        </w:numPr>
        <w:spacing w:after="360" w:line="278" w:lineRule="auto"/>
        <w:contextualSpacing w:val="0"/>
        <w:rPr>
          <w:rFonts w:cs="Arial"/>
        </w:rPr>
      </w:pPr>
      <w:r w:rsidRPr="006B6B38">
        <w:rPr>
          <w:rFonts w:cs="Arial"/>
        </w:rPr>
        <w:t xml:space="preserve">We know there are many young people who need NHS support now, and this government has made sure more specialist support is being provided to young people. There was also an almost 50% increase in the number of children and young people receiving support from NHS mental health services in the 12 months to March 2026 compared with March 2021. This progress is helped by almost 8,000 extra mental health workers being recruited since July 2024, against our target of 8,500 by the end of this Parliament. </w:t>
      </w:r>
    </w:p>
    <w:p w:rsidR="008A1AF6" w:rsidRPr="006B6B38" w:rsidP="008A1AF6">
      <w:pPr>
        <w:pStyle w:val="ListParagraph"/>
        <w:numPr>
          <w:ilvl w:val="0"/>
          <w:numId w:val="1"/>
        </w:numPr>
        <w:spacing w:after="160" w:line="278" w:lineRule="auto"/>
        <w:rPr>
          <w:rFonts w:eastAsia="Arial" w:cs="Arial"/>
        </w:rPr>
      </w:pPr>
      <w:r w:rsidRPr="006B6B38">
        <w:rPr>
          <w:rFonts w:eastAsia="Arial" w:cs="Arial"/>
        </w:rPr>
        <w:t xml:space="preserve">In addition to improving access to immediate specialist support for children, we are improving access to </w:t>
      </w:r>
      <w:r w:rsidRPr="006B6B38">
        <w:rPr>
          <w:rFonts w:cs="Arial"/>
        </w:rPr>
        <w:t xml:space="preserve">NHS perinatal mental health services that help with severe conditions. In the 12-month rolling period ending December 2025, 66,845 people were in contact with specialist perinatal mental health community services. This is more than double pre-pandemic levels. </w:t>
      </w:r>
    </w:p>
    <w:p w:rsidR="008A1AF6" w:rsidRPr="006B6B38" w:rsidP="008A1AF6">
      <w:pPr>
        <w:pStyle w:val="ListParagraph"/>
        <w:spacing w:after="160" w:line="278" w:lineRule="auto"/>
        <w:ind w:left="644"/>
        <w:rPr>
          <w:rFonts w:eastAsia="Arial" w:cs="Arial"/>
        </w:rPr>
      </w:pPr>
    </w:p>
    <w:p w:rsidR="008A1AF6" w:rsidRPr="006B6B38" w:rsidP="008A1AF6">
      <w:pPr>
        <w:pStyle w:val="ListParagraph"/>
        <w:numPr>
          <w:ilvl w:val="0"/>
          <w:numId w:val="1"/>
        </w:numPr>
        <w:spacing w:after="360" w:line="278" w:lineRule="auto"/>
        <w:contextualSpacing w:val="0"/>
        <w:rPr>
          <w:rFonts w:cs="Arial"/>
        </w:rPr>
      </w:pPr>
      <w:r w:rsidRPr="006B6B38">
        <w:rPr>
          <w:rFonts w:cs="Arial"/>
        </w:rPr>
        <w:t xml:space="preserve">Alongside improving access to specialist NHS support, this Government has invested in community-based support that intervenes earlier. In February, we announced a £7 million funding boost for early support hubs across England, enabling 24 Hubs to expand access to drop-in mental health support for young people aged 11 to 25. </w:t>
      </w:r>
    </w:p>
    <w:p w:rsidR="008A1AF6" w:rsidRPr="006B6B38" w:rsidP="008A1AF6">
      <w:pPr>
        <w:pStyle w:val="ListParagraph"/>
        <w:numPr>
          <w:ilvl w:val="0"/>
          <w:numId w:val="1"/>
        </w:numPr>
        <w:spacing w:after="160" w:line="278" w:lineRule="auto"/>
        <w:rPr>
          <w:rFonts w:eastAsia="Arial" w:cs="Arial"/>
        </w:rPr>
      </w:pPr>
      <w:r w:rsidRPr="006B6B38">
        <w:rPr>
          <w:rFonts w:cs="Arial"/>
        </w:rPr>
        <w:t xml:space="preserve">We are continuing investment in Healthy Babies to provide integrated, preventative support for perinatal mental health, parent-infant relationships, and infant feeding in the critical 1,001 days from pregnancy to age two. </w:t>
      </w:r>
    </w:p>
    <w:p w:rsidR="008A1AF6" w:rsidRPr="006B6B38" w:rsidP="008A1AF6">
      <w:pPr>
        <w:pStyle w:val="ListParagraph"/>
        <w:ind w:left="644"/>
        <w:rPr>
          <w:rFonts w:eastAsia="Arial" w:cs="Arial"/>
        </w:rPr>
      </w:pPr>
    </w:p>
    <w:p w:rsidR="008A1AF6" w:rsidRPr="006B6B38" w:rsidP="008A1AF6">
      <w:pPr>
        <w:pStyle w:val="ListParagraph"/>
        <w:numPr>
          <w:ilvl w:val="0"/>
          <w:numId w:val="1"/>
        </w:numPr>
        <w:spacing w:after="360" w:line="278" w:lineRule="auto"/>
        <w:contextualSpacing w:val="0"/>
        <w:rPr>
          <w:rFonts w:cs="Arial"/>
        </w:rPr>
      </w:pPr>
      <w:r w:rsidRPr="006B6B38">
        <w:rPr>
          <w:rFonts w:cs="Arial"/>
        </w:rPr>
        <w:t>A £500 million funding boost will see Best Start Family Hubs expand nationwide across every local authority by 2028, helping to join up health and children's services, and drive forward an integrated Neighbourhood Health Service</w:t>
      </w:r>
      <w:r w:rsidRPr="006B6B38">
        <w:t xml:space="preserve"> </w:t>
      </w:r>
      <w:r w:rsidRPr="006B6B38">
        <w:rPr>
          <w:rFonts w:cs="Arial"/>
        </w:rPr>
        <w:t>during the crucial early years.</w:t>
      </w:r>
    </w:p>
    <w:p w:rsidR="008A1AF6" w:rsidRPr="006B6B38" w:rsidP="00503AD4">
      <w:pPr>
        <w:pStyle w:val="ListParagraph"/>
        <w:numPr>
          <w:ilvl w:val="0"/>
          <w:numId w:val="1"/>
        </w:numPr>
        <w:spacing w:after="360" w:line="278" w:lineRule="auto"/>
        <w:contextualSpacing w:val="0"/>
        <w:rPr>
          <w:rFonts w:eastAsia="Arial" w:cs="Arial"/>
        </w:rPr>
      </w:pPr>
      <w:r w:rsidRPr="006B6B38">
        <w:rPr>
          <w:rFonts w:eastAsia="Arial" w:cs="Arial"/>
        </w:rPr>
        <w:t xml:space="preserve">The Government has also </w:t>
      </w:r>
      <w:r w:rsidRPr="006B6B38">
        <w:rPr>
          <w:rFonts w:eastAsia="Arial" w:cs="Arial"/>
        </w:rPr>
        <w:t>taken action</w:t>
      </w:r>
      <w:r w:rsidRPr="006B6B38">
        <w:rPr>
          <w:rFonts w:eastAsia="Arial" w:cs="Arial"/>
        </w:rPr>
        <w:t xml:space="preserve"> in education settings which we know play a crucial role in young people’s lives and are an opportunity for early intervention and prevention. </w:t>
      </w:r>
      <w:r w:rsidRPr="006B6B38">
        <w:rPr>
          <w:rFonts w:cs="Arial"/>
        </w:rPr>
        <w:t>As of March 2025, 52% of pupils in schools and colleges in England are covered by a mental health support team (MHST), 47% in primary schools and 70% in secondary schools, and in 2025 more than 160,000 children received early support through an MHST. The evidence base for these interventions continues to strengthen, with analysis by the Centre for Economic Performance and the London School of Economics finding that, for an average young person supported by an MHST, the cumulative cost savings outweigh the costs within two years.</w:t>
      </w:r>
    </w:p>
    <w:p w:rsidR="008A1AF6" w:rsidRPr="006B6B38" w:rsidP="008A1AF6">
      <w:pPr>
        <w:pStyle w:val="ListParagraph"/>
        <w:numPr>
          <w:ilvl w:val="0"/>
          <w:numId w:val="1"/>
        </w:numPr>
        <w:spacing w:after="360" w:line="278" w:lineRule="auto"/>
        <w:contextualSpacing w:val="0"/>
        <w:rPr>
          <w:rFonts w:eastAsia="Arial" w:cs="Arial"/>
        </w:rPr>
      </w:pPr>
      <w:r w:rsidRPr="006B6B38">
        <w:rPr>
          <w:rFonts w:eastAsia="Arial" w:cs="Arial"/>
        </w:rPr>
        <w:t xml:space="preserve">All schools and colleges in England have been given the opportunity to train a senior mental health </w:t>
      </w:r>
      <w:r w:rsidRPr="006B6B38">
        <w:rPr>
          <w:rFonts w:eastAsia="Arial" w:cs="Arial"/>
        </w:rPr>
        <w:t>lead</w:t>
      </w:r>
      <w:r w:rsidRPr="006B6B38">
        <w:rPr>
          <w:rFonts w:eastAsia="Arial" w:cs="Arial"/>
        </w:rPr>
        <w:t xml:space="preserve"> to embed a whole school or college approach to mental health and wellbeing, with 17,995 schools and colleges (81%) benefitting. From November 2025, the Ofsted Inspection Framework has set clear expectations on what school inspectors should be looking for when </w:t>
      </w:r>
      <w:r w:rsidRPr="006B6B38">
        <w:rPr>
          <w:rFonts w:eastAsia="Arial" w:cs="Arial"/>
        </w:rPr>
        <w:t>gathering evidence about pastoral support, as part of their wider evidence gathering on personal development and wellbeing.</w:t>
      </w:r>
    </w:p>
    <w:p w:rsidR="008A1AF6" w:rsidRPr="006B6B38" w:rsidP="006D50B1">
      <w:pPr>
        <w:pStyle w:val="ListParagraph"/>
        <w:numPr>
          <w:ilvl w:val="0"/>
          <w:numId w:val="1"/>
        </w:numPr>
        <w:spacing w:after="360" w:line="278" w:lineRule="auto"/>
        <w:contextualSpacing w:val="0"/>
        <w:rPr>
          <w:rFonts w:eastAsia="Arial" w:cs="Arial"/>
        </w:rPr>
      </w:pPr>
      <w:r w:rsidRPr="006B6B38">
        <w:rPr>
          <w:rFonts w:eastAsia="Arial" w:cs="Arial"/>
        </w:rPr>
        <w:t xml:space="preserve">Support for children and young people’s mental health and wellbeing is also being woven into day-to-day curricula. Children’s personal, social and emotional development (PSED) is crucial for children to lead healthy and happy lives and is fundamental to their cognitive development. This is why PSED is one of the three prime areas of learning set out in the </w:t>
      </w:r>
      <w:r>
        <w:fldChar w:fldCharType="begin"/>
      </w:r>
      <w:r>
        <w:instrText xml:space="preserve"> HYPERLINK "https://www.gov.uk/government/publications/early-years-foundation-stage-framework--2/early-years-foundation-stage-coronavirus-disapplications" </w:instrText>
      </w:r>
      <w:r>
        <w:fldChar w:fldCharType="separate"/>
      </w:r>
      <w:r w:rsidRPr="006B6B38">
        <w:rPr>
          <w:rStyle w:val="Hyperlink"/>
          <w:rFonts w:eastAsia="Arial" w:cs="Arial"/>
          <w:color w:val="auto"/>
        </w:rPr>
        <w:t>statutory Early Years Foundation Stage framework</w:t>
      </w:r>
      <w:r>
        <w:fldChar w:fldCharType="end"/>
      </w:r>
      <w:r w:rsidRPr="006B6B38">
        <w:rPr>
          <w:rFonts w:eastAsia="Arial" w:cs="Arial"/>
        </w:rPr>
        <w:t xml:space="preserve"> that all early years providers in England must follow. Mental health became a statutory element of Relationships, Sex and Health Education (RSHE) in schools in 2019, with updated guidance strengthening mental health content in the 2025 revisions, which becomes statutory for all schools from September 2026.  </w:t>
      </w:r>
    </w:p>
    <w:p w:rsidR="00C210F7" w:rsidRPr="006B6B38" w:rsidP="00C210F7">
      <w:pPr>
        <w:pStyle w:val="ListParagraph"/>
        <w:numPr>
          <w:ilvl w:val="0"/>
          <w:numId w:val="1"/>
        </w:numPr>
        <w:spacing w:after="360" w:line="278" w:lineRule="auto"/>
        <w:contextualSpacing w:val="0"/>
        <w:rPr>
          <w:rFonts w:eastAsia="Arial" w:cs="Arial"/>
        </w:rPr>
      </w:pPr>
      <w:r w:rsidRPr="006B6B38">
        <w:rPr>
          <w:rFonts w:eastAsia="Arial" w:cs="Arial"/>
        </w:rPr>
        <w:t>In further education we are supporting the Association of Colleges (</w:t>
      </w:r>
      <w:r w:rsidRPr="006B6B38">
        <w:rPr>
          <w:rFonts w:eastAsia="Arial" w:cs="Arial"/>
        </w:rPr>
        <w:t>AoC</w:t>
      </w:r>
      <w:r w:rsidRPr="006B6B38">
        <w:rPr>
          <w:rFonts w:eastAsia="Arial" w:cs="Arial"/>
        </w:rPr>
        <w:t xml:space="preserve">) in their goal for all colleges to sign up to the </w:t>
      </w:r>
      <w:r w:rsidRPr="006B6B38">
        <w:rPr>
          <w:rFonts w:eastAsia="Arial" w:cs="Arial"/>
        </w:rPr>
        <w:t>AoC</w:t>
      </w:r>
      <w:r w:rsidRPr="006B6B38">
        <w:rPr>
          <w:rFonts w:eastAsia="Arial" w:cs="Arial"/>
        </w:rPr>
        <w:t xml:space="preserve"> Mental Health Charter and to align it with the University Mental Health Charter in </w:t>
      </w:r>
      <w:r w:rsidRPr="006B6B38" w:rsidR="00700C99">
        <w:rPr>
          <w:rFonts w:eastAsia="Arial" w:cs="Arial"/>
        </w:rPr>
        <w:t>higher education</w:t>
      </w:r>
      <w:r w:rsidRPr="006B6B38">
        <w:rPr>
          <w:rFonts w:eastAsia="Arial" w:cs="Arial"/>
        </w:rPr>
        <w:t xml:space="preserve">. Our first ever Further Education Student Support champion, Polly Harrow, is driving strategic leadership in the sector and improving colleges' ability to give learners the full opportunity to succeed and progress in a wide range of areas, including mental health and wellbeing.  </w:t>
      </w:r>
    </w:p>
    <w:p w:rsidR="008A1AF6" w:rsidRPr="006B6B38" w:rsidP="008A1AF6">
      <w:pPr>
        <w:pStyle w:val="ListParagraph"/>
        <w:numPr>
          <w:ilvl w:val="0"/>
          <w:numId w:val="1"/>
        </w:numPr>
        <w:spacing w:after="360" w:line="278" w:lineRule="auto"/>
        <w:contextualSpacing w:val="0"/>
        <w:rPr>
          <w:rFonts w:eastAsia="Arial" w:cs="Arial"/>
        </w:rPr>
      </w:pPr>
      <w:r w:rsidRPr="006B6B38">
        <w:rPr>
          <w:rFonts w:eastAsia="Arial" w:cs="Arial"/>
        </w:rPr>
        <w:t xml:space="preserve">In higher education we have strengthened the system-wide capability of universities to identify and respond to students’ mental health needs. The Higher Education Mental Health Implementation Taskforce developed </w:t>
      </w:r>
      <w:r w:rsidRPr="006B6B38">
        <w:rPr>
          <w:rFonts w:eastAsia="Arial" w:cs="Arial"/>
        </w:rPr>
        <w:t>a number of</w:t>
      </w:r>
      <w:r w:rsidRPr="006B6B38">
        <w:rPr>
          <w:rFonts w:eastAsia="Arial" w:cs="Arial"/>
        </w:rPr>
        <w:t xml:space="preserve"> practical resources including the recently published </w:t>
      </w:r>
      <w:r w:rsidRPr="006B6B38">
        <w:rPr>
          <w:rFonts w:eastAsia="Arial" w:cs="Arial"/>
          <w:i/>
          <w:iCs/>
        </w:rPr>
        <w:t>Improving Student Mental Health through Higher Education–NHS Partnerships</w:t>
      </w:r>
      <w:r w:rsidRPr="006B6B38">
        <w:rPr>
          <w:rFonts w:eastAsia="Arial" w:cs="Arial"/>
        </w:rPr>
        <w:t xml:space="preserve"> on how stronger partnership working can transform outcomes for students.</w:t>
      </w:r>
    </w:p>
    <w:p w:rsidR="008A1AF6" w:rsidRPr="006B6B38" w:rsidP="008A1AF6">
      <w:pPr>
        <w:pStyle w:val="ListParagraph"/>
        <w:numPr>
          <w:ilvl w:val="0"/>
          <w:numId w:val="1"/>
        </w:numPr>
        <w:spacing w:after="360" w:line="278" w:lineRule="auto"/>
        <w:rPr>
          <w:rFonts w:cs="Arial"/>
        </w:rPr>
      </w:pPr>
      <w:r w:rsidRPr="006B6B38">
        <w:rPr>
          <w:rFonts w:cs="Arial"/>
        </w:rPr>
        <w:t>To support the action across NHS, community and education support, we are improving integration across the system. For example, the NHS and children’s social care have rolled out regional care co-operatives to support co-commissioning.</w:t>
      </w:r>
    </w:p>
    <w:p w:rsidR="008A1AF6" w:rsidRPr="006B6B38" w:rsidP="008A1AF6">
      <w:pPr>
        <w:pStyle w:val="ListParagraph"/>
        <w:spacing w:after="360"/>
        <w:ind w:left="644"/>
        <w:rPr>
          <w:rFonts w:cs="Arial"/>
        </w:rPr>
      </w:pPr>
    </w:p>
    <w:p w:rsidR="008A1AF6" w:rsidRPr="006B6B38" w:rsidP="008A1AF6">
      <w:pPr>
        <w:pStyle w:val="ListParagraph"/>
        <w:numPr>
          <w:ilvl w:val="0"/>
          <w:numId w:val="1"/>
        </w:numPr>
        <w:spacing w:after="360" w:line="278" w:lineRule="auto"/>
        <w:rPr>
          <w:rFonts w:cs="Arial"/>
          <w:b/>
        </w:rPr>
      </w:pPr>
      <w:r w:rsidRPr="006B6B38">
        <w:rPr>
          <w:rFonts w:cs="Arial"/>
        </w:rPr>
        <w:t>While good progress has been made, we recognise that further action is needed to ensure all young people can access the mental health and wellbeing support they need. That is why we launched the independent review into mental health conditions, ADHD and autism</w:t>
      </w:r>
      <w:r w:rsidRPr="006B6B38" w:rsidR="00654499">
        <w:rPr>
          <w:rFonts w:cs="Arial"/>
        </w:rPr>
        <w:t xml:space="preserve"> which will help inform future action</w:t>
      </w:r>
      <w:r w:rsidRPr="006B6B38" w:rsidR="009100AB">
        <w:rPr>
          <w:rFonts w:cs="Arial"/>
        </w:rPr>
        <w:t>.</w:t>
      </w:r>
    </w:p>
    <w:p w:rsidR="008A1AF6" w:rsidRPr="006B6B38" w:rsidP="008A1AF6">
      <w:pPr>
        <w:spacing w:after="360"/>
        <w:ind w:left="284"/>
        <w:rPr>
          <w:rFonts w:cs="Arial"/>
          <w:b/>
          <w:bCs/>
        </w:rPr>
      </w:pPr>
      <w:r w:rsidRPr="006B6B38">
        <w:rPr>
          <w:rFonts w:cs="Arial"/>
          <w:b/>
          <w:bCs/>
        </w:rPr>
        <w:t>How to transform mental health support for children and young people in the medium to long-term</w:t>
      </w:r>
    </w:p>
    <w:p w:rsidR="008A1AF6" w:rsidRPr="006B6B38" w:rsidP="008A1AF6">
      <w:pPr>
        <w:pStyle w:val="ListParagraph"/>
        <w:numPr>
          <w:ilvl w:val="0"/>
          <w:numId w:val="1"/>
        </w:numPr>
        <w:spacing w:after="360" w:line="278" w:lineRule="auto"/>
        <w:rPr>
          <w:rFonts w:cs="Arial"/>
        </w:rPr>
      </w:pPr>
      <w:r w:rsidRPr="006B6B38">
        <w:rPr>
          <w:rFonts w:cs="Arial"/>
        </w:rPr>
        <w:t>Now that the Government has taken immediate action, we have an opportunity to go further and set out how we will prevent mental illness and transform mental health and wellbeing support in the long-term.</w:t>
      </w:r>
      <w:r w:rsidRPr="006B6B38">
        <w:rPr>
          <w:rFonts w:ascii="Segoe UI" w:hAnsi="Segoe UI" w:cs="Segoe UI"/>
          <w:sz w:val="18"/>
          <w:szCs w:val="18"/>
        </w:rPr>
        <w:t xml:space="preserve"> </w:t>
      </w:r>
    </w:p>
    <w:p w:rsidR="008A1AF6" w:rsidRPr="006B6B38" w:rsidP="008A1AF6">
      <w:pPr>
        <w:pStyle w:val="ListParagraph"/>
        <w:spacing w:after="360" w:line="278" w:lineRule="auto"/>
        <w:ind w:left="644"/>
        <w:rPr>
          <w:rFonts w:cs="Arial"/>
        </w:rPr>
      </w:pPr>
    </w:p>
    <w:p w:rsidR="008A1AF6" w:rsidRPr="006B6B38" w:rsidP="008A1AF6">
      <w:pPr>
        <w:pStyle w:val="ListParagraph"/>
        <w:numPr>
          <w:ilvl w:val="0"/>
          <w:numId w:val="1"/>
        </w:numPr>
        <w:spacing w:after="360" w:line="278" w:lineRule="auto"/>
        <w:rPr>
          <w:rFonts w:cs="Arial"/>
        </w:rPr>
      </w:pPr>
      <w:r w:rsidRPr="006B6B38">
        <w:rPr>
          <w:rFonts w:cs="Arial"/>
        </w:rPr>
        <w:t xml:space="preserve">Despite significant investment, the system is under growing pressure and often steps in too late, when people are already in crisis. That is why we need a new approach to mental health – one that focuses on prevention and early support, tackles the drivers of poor mental health, and ensures young people can access high quality support in their community, at the right time. This will be underpinned by co-commissioning and integrated models of support to avoid fragmentation. </w:t>
      </w:r>
    </w:p>
    <w:p w:rsidR="008A1AF6" w:rsidRPr="006B6B38" w:rsidP="008A1AF6">
      <w:pPr>
        <w:pStyle w:val="ListParagraph"/>
        <w:spacing w:after="360" w:line="278" w:lineRule="auto"/>
        <w:ind w:left="644"/>
        <w:rPr>
          <w:rFonts w:cs="Arial"/>
        </w:rPr>
      </w:pPr>
    </w:p>
    <w:p w:rsidR="008A1AF6" w:rsidRPr="006B6B38" w:rsidP="008A1AF6">
      <w:pPr>
        <w:pStyle w:val="ListParagraph"/>
        <w:numPr>
          <w:ilvl w:val="0"/>
          <w:numId w:val="1"/>
        </w:numPr>
        <w:spacing w:after="360" w:line="278" w:lineRule="auto"/>
        <w:rPr>
          <w:rFonts w:cs="Arial"/>
        </w:rPr>
      </w:pPr>
      <w:r w:rsidRPr="006B6B38">
        <w:rPr>
          <w:rFonts w:cs="Arial"/>
        </w:rPr>
        <w:t>To inform that new approach to mental health an independent review into mental health conditions, ADHD and autism is underway. The review will examine where these conditions overlap and differ, and assess prevalence, early intervention, treatment, and the current challenges facing clinical services.</w:t>
      </w:r>
    </w:p>
    <w:p w:rsidR="008A1AF6" w:rsidRPr="006B6B38" w:rsidP="008A1AF6">
      <w:pPr>
        <w:pStyle w:val="ListParagraph"/>
        <w:spacing w:after="360" w:line="278" w:lineRule="auto"/>
        <w:ind w:left="644"/>
        <w:rPr>
          <w:rFonts w:cs="Arial"/>
        </w:rPr>
      </w:pPr>
    </w:p>
    <w:p w:rsidR="008A1AF6" w:rsidRPr="006B6B38" w:rsidP="00461E66">
      <w:pPr>
        <w:pStyle w:val="ListParagraph"/>
        <w:numPr>
          <w:ilvl w:val="0"/>
          <w:numId w:val="1"/>
        </w:numPr>
        <w:spacing w:after="360" w:line="278" w:lineRule="auto"/>
        <w:rPr>
          <w:rFonts w:cs="Arial"/>
          <w:b/>
        </w:rPr>
      </w:pPr>
      <w:r w:rsidRPr="006B6B38">
        <w:rPr>
          <w:rFonts w:cs="Arial"/>
        </w:rPr>
        <w:t xml:space="preserve">In parallel to the independent review and building on Lord Darzi’s findings, we are also </w:t>
      </w:r>
      <w:r w:rsidRPr="006B6B38" w:rsidR="00472F2F">
        <w:rPr>
          <w:rFonts w:cs="Arial"/>
        </w:rPr>
        <w:t>deve</w:t>
      </w:r>
      <w:r w:rsidRPr="006B6B38" w:rsidR="00461E66">
        <w:rPr>
          <w:rFonts w:cs="Arial"/>
        </w:rPr>
        <w:t>loping</w:t>
      </w:r>
      <w:r w:rsidRPr="006B6B38" w:rsidR="00472F2F">
        <w:rPr>
          <w:rFonts w:cs="Arial"/>
        </w:rPr>
        <w:t xml:space="preserve"> an NHS Children and Young People’s Modern Service Framework</w:t>
      </w:r>
      <w:r w:rsidRPr="006B6B38" w:rsidR="00035035">
        <w:rPr>
          <w:rFonts w:cs="Arial"/>
        </w:rPr>
        <w:t xml:space="preserve"> which will help improve outcomes, including by narrowing inequality and reducing unwarranted variation.</w:t>
      </w:r>
    </w:p>
    <w:p w:rsidR="008A1AF6" w:rsidRPr="006B6B38" w:rsidP="008A1AF6">
      <w:pPr>
        <w:pStyle w:val="ListParagraph"/>
        <w:spacing w:after="360" w:line="278" w:lineRule="auto"/>
        <w:ind w:left="644"/>
        <w:rPr>
          <w:rFonts w:cs="Arial"/>
        </w:rPr>
      </w:pPr>
    </w:p>
    <w:p w:rsidR="008A1AF6" w:rsidRPr="006B6B38" w:rsidP="008A1AF6">
      <w:pPr>
        <w:pStyle w:val="ListParagraph"/>
        <w:spacing w:after="360" w:line="278" w:lineRule="auto"/>
        <w:ind w:left="284"/>
        <w:rPr>
          <w:rFonts w:cs="Arial"/>
          <w:b/>
          <w:bCs/>
        </w:rPr>
      </w:pPr>
      <w:r w:rsidRPr="006B6B38">
        <w:rPr>
          <w:rFonts w:cs="Arial"/>
          <w:b/>
          <w:bCs/>
        </w:rPr>
        <w:t>The role of the NHS and specialist mental health services in support and delivery</w:t>
      </w:r>
    </w:p>
    <w:p w:rsidR="008A1AF6" w:rsidRPr="006B6B38" w:rsidP="008A1AF6">
      <w:pPr>
        <w:pStyle w:val="ListParagraph"/>
        <w:numPr>
          <w:ilvl w:val="0"/>
          <w:numId w:val="1"/>
        </w:numPr>
        <w:spacing w:after="360" w:line="278" w:lineRule="auto"/>
        <w:rPr>
          <w:rFonts w:cs="Arial"/>
        </w:rPr>
      </w:pPr>
      <w:r w:rsidRPr="006B6B38">
        <w:rPr>
          <w:rFonts w:cs="Arial"/>
        </w:rPr>
        <w:t xml:space="preserve">NHS children and young people’s mental health services (CYPMHS) will continue to have a central role in the delivery of mental health support. CYPMHS will be at the forefront of delivering the 3 shifts set out in the 10 Year Health Plan: from hospital to community, treatment to prevention and analogue to digital. </w:t>
      </w:r>
    </w:p>
    <w:p w:rsidR="008A1AF6" w:rsidRPr="006B6B38" w:rsidP="008A1AF6">
      <w:pPr>
        <w:pStyle w:val="ListParagraph"/>
        <w:spacing w:after="360"/>
        <w:ind w:left="644"/>
        <w:rPr>
          <w:rFonts w:cs="Arial"/>
        </w:rPr>
      </w:pPr>
    </w:p>
    <w:p w:rsidR="008A1AF6" w:rsidRPr="006B6B38" w:rsidP="008A1AF6">
      <w:pPr>
        <w:pStyle w:val="ListParagraph"/>
        <w:numPr>
          <w:ilvl w:val="0"/>
          <w:numId w:val="1"/>
        </w:numPr>
        <w:spacing w:after="360" w:line="278" w:lineRule="auto"/>
        <w:rPr>
          <w:rFonts w:cs="Arial"/>
        </w:rPr>
      </w:pPr>
      <w:r w:rsidRPr="006B6B38">
        <w:rPr>
          <w:rFonts w:cs="Arial"/>
        </w:rPr>
        <w:t>To support the shift from treatment to prevention and hospital to community, we will address more need upstream by transforming and developing the CYPMHS model. This will improve long-term outcomes for young people (such as health, school attendance and economic activity), reduce waits for specialist support and reduce the risk of young people’s mental health deteriorating further.</w:t>
      </w:r>
    </w:p>
    <w:p w:rsidR="008A1AF6" w:rsidRPr="006B6B38" w:rsidP="008A1AF6">
      <w:pPr>
        <w:pStyle w:val="ListParagraph"/>
        <w:spacing w:after="360"/>
        <w:ind w:left="644"/>
        <w:rPr>
          <w:rFonts w:cs="Arial"/>
        </w:rPr>
      </w:pPr>
    </w:p>
    <w:p w:rsidR="008A1AF6" w:rsidRPr="006B6B38" w:rsidP="008A1AF6">
      <w:pPr>
        <w:pStyle w:val="ListParagraph"/>
        <w:numPr>
          <w:ilvl w:val="0"/>
          <w:numId w:val="1"/>
        </w:numPr>
        <w:spacing w:after="160" w:line="278" w:lineRule="auto"/>
        <w:rPr>
          <w:rFonts w:cs="Arial"/>
        </w:rPr>
      </w:pPr>
      <w:r w:rsidRPr="006B6B38">
        <w:rPr>
          <w:rFonts w:cs="Arial"/>
        </w:rPr>
        <w:t xml:space="preserve">An important element of the transformed CYPMHS model will be the rollout of neighbourhood multidisciplinary teams (MDTs) in primary care. The core of these teams will be a GP, paediatrician and MH professional but with links into a wider team which includes health visitors, school nurses, SENCO, VCSE and social care to address fragmentation in the system. This model supports a population-based approach with a focus on prevention, early intervention, as well as personalised and holistic care. ICBs will be supported to rollout out </w:t>
      </w:r>
      <w:r w:rsidRPr="006B6B38">
        <w:rPr>
          <w:rFonts w:cs="Arial"/>
        </w:rPr>
        <w:t>neighbourhood MDTs for CYP over the next two years, with the ambition that every child has access to them by 2028/29.</w:t>
      </w:r>
    </w:p>
    <w:p w:rsidR="008A1AF6" w:rsidRPr="006B6B38" w:rsidP="008A1AF6">
      <w:pPr>
        <w:pStyle w:val="ListParagraph"/>
        <w:rPr>
          <w:rFonts w:cs="Arial"/>
        </w:rPr>
      </w:pPr>
    </w:p>
    <w:p w:rsidR="008A1AF6" w:rsidRPr="006B6B38" w:rsidP="008A1AF6">
      <w:pPr>
        <w:pStyle w:val="ListParagraph"/>
        <w:ind w:left="644"/>
        <w:rPr>
          <w:rFonts w:cs="Arial"/>
        </w:rPr>
      </w:pPr>
    </w:p>
    <w:p w:rsidR="008A1AF6" w:rsidRPr="006B6B38" w:rsidP="008A1AF6">
      <w:pPr>
        <w:pStyle w:val="ListParagraph"/>
        <w:numPr>
          <w:ilvl w:val="0"/>
          <w:numId w:val="1"/>
        </w:numPr>
        <w:spacing w:after="160" w:line="278" w:lineRule="auto"/>
        <w:contextualSpacing w:val="0"/>
        <w:rPr>
          <w:rFonts w:eastAsia="Arial" w:cs="Arial"/>
        </w:rPr>
      </w:pPr>
      <w:r w:rsidRPr="006B6B38">
        <w:rPr>
          <w:rFonts w:cs="Arial"/>
        </w:rPr>
        <w:t xml:space="preserve">Digital will be crucial in delivering an NHS that is fit for the future. The Government and DHSC ministers are actively engaging with stakeholders across the sector to understand how digital innovation can be embedded in the CYPMHS pathway. Building on the NICE Early Value Assessment (EVA) of a small number of digital interventions, we will explore digital innovations delivered across sectors, including by the VCSE sector, and ensure good practice is disseminated quickly. Of course, this digital offer will complement and not replace the face-to-face contact we know many young people value.  </w:t>
      </w:r>
    </w:p>
    <w:p w:rsidR="008A1AF6" w:rsidRPr="006B6B38" w:rsidP="008A1AF6">
      <w:pPr>
        <w:spacing w:after="360"/>
        <w:ind w:left="284"/>
        <w:rPr>
          <w:rFonts w:cs="Arial"/>
          <w:b/>
          <w:bCs/>
        </w:rPr>
      </w:pPr>
      <w:r w:rsidRPr="006B6B38">
        <w:rPr>
          <w:rFonts w:cs="Arial"/>
          <w:b/>
          <w:bCs/>
        </w:rPr>
        <w:t>The role of education and community settings in support and delivery</w:t>
      </w:r>
    </w:p>
    <w:p w:rsidR="008A1AF6" w:rsidRPr="006B6B38" w:rsidP="008A1AF6">
      <w:pPr>
        <w:pStyle w:val="ListParagraph"/>
        <w:numPr>
          <w:ilvl w:val="0"/>
          <w:numId w:val="1"/>
        </w:numPr>
        <w:spacing w:after="360" w:line="278" w:lineRule="auto"/>
        <w:contextualSpacing w:val="0"/>
        <w:rPr>
          <w:rFonts w:cs="Arial"/>
        </w:rPr>
      </w:pPr>
      <w:r w:rsidRPr="006B6B38">
        <w:rPr>
          <w:rFonts w:cs="Arial"/>
        </w:rPr>
        <w:t xml:space="preserve"> Where support is provided is key. Building on the 10 Year Health Plan, the Government wants more support to be delivered in the community and settings where mental ill health can be prevented, identified and addressed earlier through positive relationships with trusted adults. We will also encourage the wider adoption of trauma-informed and culturally competent practice, including support for neurodiverse populations.</w:t>
      </w:r>
    </w:p>
    <w:p w:rsidR="008A1AF6" w:rsidRPr="006B6B38" w:rsidP="008A1AF6">
      <w:pPr>
        <w:pStyle w:val="ListParagraph"/>
        <w:numPr>
          <w:ilvl w:val="0"/>
          <w:numId w:val="1"/>
        </w:numPr>
        <w:spacing w:after="360" w:line="278" w:lineRule="auto"/>
        <w:contextualSpacing w:val="0"/>
        <w:rPr>
          <w:rFonts w:eastAsia="Arial" w:cs="Arial"/>
        </w:rPr>
      </w:pPr>
      <w:r w:rsidRPr="006B6B38">
        <w:rPr>
          <w:rFonts w:eastAsia="Arial" w:cs="Arial"/>
        </w:rPr>
        <w:t xml:space="preserve"> Our reforms will give families a more joined up local offer from their child’s earliest days, with Best Start Family Hubs, early years settings, health partners and local authorities working together to ensure children with SEND and their families get the support they need, when they need it, in a way that feels straightforward and coordinated. We are investing over £200 million over three years to strengthen the SEND offer in Best Start Family Hubs, including funding a family-facing practitioner in every hub to support children with additional needs and families from the earliest stages.</w:t>
      </w:r>
    </w:p>
    <w:p w:rsidR="008A1AF6" w:rsidRPr="006B6B38" w:rsidP="008A1AF6">
      <w:pPr>
        <w:pStyle w:val="ListParagraph"/>
        <w:numPr>
          <w:ilvl w:val="0"/>
          <w:numId w:val="1"/>
        </w:numPr>
        <w:spacing w:after="360" w:line="278" w:lineRule="auto"/>
        <w:contextualSpacing w:val="0"/>
        <w:rPr>
          <w:rFonts w:eastAsia="Arial" w:cs="Arial"/>
        </w:rPr>
      </w:pPr>
      <w:r w:rsidRPr="006B6B38">
        <w:rPr>
          <w:rFonts w:eastAsia="Arial" w:cs="Arial"/>
        </w:rPr>
        <w:t xml:space="preserve">The three shifts set out in the 23 February 2026 </w:t>
      </w:r>
      <w:r w:rsidRPr="006B6B38">
        <w:rPr>
          <w:rFonts w:eastAsia="Arial" w:cs="Arial"/>
          <w:i/>
        </w:rPr>
        <w:t>Every Child Achieving and Thriving</w:t>
      </w:r>
      <w:r w:rsidRPr="006B6B38">
        <w:rPr>
          <w:rFonts w:eastAsia="Arial" w:cs="Arial"/>
        </w:rPr>
        <w:t xml:space="preserve"> White Paper will lay stronger foundations for children’s mental wellbeing in schools. By moving from a narrow to a broad educational experience, the government aims to create a richer, more balanced curriculum and wider enrichment offer that supports confidence, creativity and personal wellbeing. The shift from sidelined to included - driven by strengthened SEND provision and efforts to close the disadvantage gap - seeks to build a greater sense of belonging and emotional security for those who have traditionally felt unsupported. By moving from withdrawn to engaged, through improved attendance and pupil experience, deeper family partnerships and expanded wrap</w:t>
      </w:r>
      <w:r w:rsidRPr="006B6B38">
        <w:rPr>
          <w:rFonts w:ascii="Cambria Math" w:eastAsia="Arial" w:hAnsi="Cambria Math" w:cs="Cambria Math"/>
        </w:rPr>
        <w:t>‑</w:t>
      </w:r>
      <w:r w:rsidRPr="006B6B38">
        <w:rPr>
          <w:rFonts w:eastAsia="Arial" w:cs="Arial"/>
        </w:rPr>
        <w:t xml:space="preserve">around support, the government intends to create more stable, connected environments that are known protective factors for positive mental health. The government will publish a new Pupil Engagement Framework this summer to support schools to improve pupils’ experience, including their sense of belonging, safety and wellbeing. </w:t>
      </w:r>
    </w:p>
    <w:p w:rsidR="008A1AF6" w:rsidRPr="006B6B38" w:rsidP="003E2AF3">
      <w:pPr>
        <w:pStyle w:val="ListParagraph"/>
        <w:numPr>
          <w:ilvl w:val="0"/>
          <w:numId w:val="1"/>
        </w:numPr>
        <w:spacing w:after="360" w:line="278" w:lineRule="auto"/>
        <w:contextualSpacing w:val="0"/>
        <w:rPr>
          <w:rFonts w:eastAsia="Arial" w:cs="Arial"/>
        </w:rPr>
      </w:pPr>
      <w:r w:rsidRPr="006B6B38">
        <w:rPr>
          <w:rFonts w:eastAsia="Arial" w:cs="Arial"/>
        </w:rPr>
        <w:t>Schools also remain central to spotting issues sooner, providing early support and helping children to access specialist help. Not all children with mental health needs will have additional learning needs but we know that where children who have SEND do not have their needs met early, this can lead to poorer mental health. Our SEND reform consultation, published on 23 February 2026, reinforces the need for schools to provide timely and appropriate support through the graduated approach set out in the SEND Code of Practice.</w:t>
      </w:r>
    </w:p>
    <w:p w:rsidR="008A1AF6" w:rsidRPr="006B6B38" w:rsidP="00894A4F">
      <w:pPr>
        <w:pStyle w:val="ListParagraph"/>
        <w:numPr>
          <w:ilvl w:val="0"/>
          <w:numId w:val="1"/>
        </w:numPr>
        <w:spacing w:after="360" w:line="278" w:lineRule="auto"/>
        <w:contextualSpacing w:val="0"/>
        <w:rPr>
          <w:rFonts w:eastAsia="Arial" w:cs="Arial"/>
        </w:rPr>
      </w:pPr>
      <w:r w:rsidRPr="006B6B38">
        <w:rPr>
          <w:rFonts w:eastAsia="Arial" w:cs="Arial"/>
        </w:rPr>
        <w:t>To ensure teachers can support children before needs escalate, we are consulting on the development of National Inclusion Standards that set out evidence-informed tools, strategies and approaches for educators to draw on to identify and support children and young people with additional needs. We are clear that education settings have an important role in supporting needs early, and the prevention of poor mental health and we want to bring clarity to when educators should lead and respond, in an evidence-based way.</w:t>
      </w:r>
    </w:p>
    <w:p w:rsidR="008A1AF6" w:rsidRPr="006B6B38" w:rsidP="008A1AF6">
      <w:pPr>
        <w:pStyle w:val="ListParagraph"/>
        <w:numPr>
          <w:ilvl w:val="0"/>
          <w:numId w:val="1"/>
        </w:numPr>
        <w:spacing w:line="278" w:lineRule="auto"/>
        <w:rPr>
          <w:rFonts w:eastAsia="Arial" w:cs="Arial"/>
        </w:rPr>
      </w:pPr>
      <w:r w:rsidRPr="006B6B38">
        <w:rPr>
          <w:rFonts w:eastAsia="Arial" w:cs="Arial"/>
        </w:rPr>
        <w:t>Mental health support teams (MHSTs) in schools and colleges are a world-leading initiative that play a vital role in improving access to quality support earlier and help implement a whole school/college approach to mental health. We will accelerate rollout of MHSTs so that we reach full national coverage by 2029. We will invest a further £13m to pilot enhanced training for MHST so they can better support young people with neurodivergence, disordered eating and trauma.</w:t>
      </w:r>
    </w:p>
    <w:p w:rsidR="008A1AF6" w:rsidRPr="006B6B38" w:rsidP="008A1AF6">
      <w:pPr>
        <w:pStyle w:val="ListParagraph"/>
        <w:ind w:left="644"/>
        <w:rPr>
          <w:rFonts w:cs="Arial"/>
        </w:rPr>
      </w:pPr>
    </w:p>
    <w:p w:rsidR="008A1AF6" w:rsidRPr="006B6B38" w:rsidP="008A1AF6">
      <w:pPr>
        <w:pStyle w:val="ListParagraph"/>
        <w:numPr>
          <w:ilvl w:val="0"/>
          <w:numId w:val="1"/>
        </w:numPr>
        <w:spacing w:line="278" w:lineRule="auto"/>
      </w:pPr>
      <w:r w:rsidRPr="006B6B38">
        <w:rPr>
          <w:rFonts w:eastAsia="Arial" w:cs="Arial"/>
        </w:rPr>
        <w:t>Through the SEND reform</w:t>
      </w:r>
      <w:r w:rsidRPr="006B6B38" w:rsidR="004B2FA0">
        <w:rPr>
          <w:rFonts w:eastAsia="Arial" w:cs="Arial"/>
        </w:rPr>
        <w:t>s</w:t>
      </w:r>
      <w:r w:rsidRPr="006B6B38">
        <w:rPr>
          <w:rFonts w:eastAsia="Arial" w:cs="Arial"/>
        </w:rPr>
        <w:t xml:space="preserve"> we are providing around £1.8bn over the next three years for local area partnerships, including local authorities and Integrated Care Boards, to work together to develop a new ‘Experts at Hand’ offer. This new offer is designed to strengthen the capability of mainstream education settings by providing access to universal and targeted support from key services and health and specialist education practitioners. </w:t>
      </w:r>
    </w:p>
    <w:p w:rsidR="00624226" w:rsidRPr="006B6B38" w:rsidP="00624226">
      <w:pPr>
        <w:pStyle w:val="ListParagraph"/>
      </w:pPr>
    </w:p>
    <w:p w:rsidR="00624226" w:rsidRPr="006B6B38" w:rsidP="0082021D">
      <w:pPr>
        <w:pStyle w:val="ListParagraph"/>
        <w:numPr>
          <w:ilvl w:val="0"/>
          <w:numId w:val="1"/>
        </w:numPr>
        <w:spacing w:after="160" w:line="276" w:lineRule="auto"/>
        <w:rPr>
          <w:rFonts w:cs="Arial"/>
        </w:rPr>
      </w:pPr>
      <w:r w:rsidRPr="006B6B38">
        <w:rPr>
          <w:rFonts w:cs="Arial"/>
        </w:rPr>
        <w:t>Alongside this wider support, schools are best placed to understand the needs of their pupils and should use their professional judgment to choose resources that best meet these needs</w:t>
      </w:r>
      <w:r w:rsidRPr="006B6B38" w:rsidR="00917ECE">
        <w:rPr>
          <w:rFonts w:cs="Arial"/>
        </w:rPr>
        <w:t>. This includes</w:t>
      </w:r>
      <w:r w:rsidRPr="006B6B38">
        <w:rPr>
          <w:rFonts w:cs="Arial"/>
        </w:rPr>
        <w:t xml:space="preserve"> utilising their funding to take the best available evidence-based approach. It is vital that schools ensure that any interventions they offer are evidenced as safe and effective and appropriate for the need and phase of education. In 2025, DfE published</w:t>
      </w:r>
      <w:r>
        <w:rPr>
          <w:rStyle w:val="FootnoteReference"/>
          <w:rFonts w:cs="Arial"/>
        </w:rPr>
        <w:footnoteReference w:id="9"/>
      </w:r>
      <w:r w:rsidRPr="006B6B38">
        <w:rPr>
          <w:rFonts w:cs="Arial"/>
        </w:rPr>
        <w:t xml:space="preserve"> the evaluation of the Education for Wellbeing programme which tested the effectiveness of five ways of supporting pupils’ mental health and wellbeing in schools.</w:t>
      </w:r>
    </w:p>
    <w:p w:rsidR="008A1AF6" w:rsidRPr="006B6B38" w:rsidP="008A1AF6">
      <w:pPr>
        <w:pStyle w:val="ListParagraph"/>
      </w:pPr>
    </w:p>
    <w:p w:rsidR="008A1AF6" w:rsidRPr="006B6B38" w:rsidP="008A1AF6">
      <w:pPr>
        <w:pStyle w:val="ListParagraph"/>
        <w:ind w:left="644"/>
      </w:pPr>
    </w:p>
    <w:p w:rsidR="008A1AF6" w:rsidRPr="006B6B38" w:rsidP="008A1AF6">
      <w:pPr>
        <w:spacing w:after="360"/>
        <w:ind w:left="284"/>
        <w:rPr>
          <w:rFonts w:cs="Arial"/>
          <w:b/>
          <w:bCs/>
        </w:rPr>
      </w:pPr>
      <w:r w:rsidRPr="006B6B38">
        <w:rPr>
          <w:rFonts w:cs="Arial"/>
          <w:b/>
          <w:bCs/>
        </w:rPr>
        <w:t>Integration between education, NHS and children’s social care</w:t>
      </w:r>
    </w:p>
    <w:p w:rsidR="008A1AF6" w:rsidRPr="006B6B38" w:rsidP="008A1AF6">
      <w:pPr>
        <w:pStyle w:val="ListParagraph"/>
        <w:numPr>
          <w:ilvl w:val="0"/>
          <w:numId w:val="1"/>
        </w:numPr>
        <w:spacing w:after="360" w:line="278" w:lineRule="auto"/>
        <w:contextualSpacing w:val="0"/>
        <w:rPr>
          <w:rFonts w:cs="Arial"/>
        </w:rPr>
      </w:pPr>
      <w:r w:rsidRPr="006B6B38">
        <w:rPr>
          <w:rFonts w:cs="Arial"/>
        </w:rPr>
        <w:t xml:space="preserve">We know young people feel like they </w:t>
      </w:r>
      <w:r w:rsidRPr="006B6B38">
        <w:rPr>
          <w:rFonts w:cs="Arial"/>
        </w:rPr>
        <w:t>have to</w:t>
      </w:r>
      <w:r w:rsidRPr="006B6B38">
        <w:rPr>
          <w:rFonts w:cs="Arial"/>
        </w:rPr>
        <w:t xml:space="preserve"> repeat their story several times and that they can fall through the gaps. To help deliver our long-term ambition, Government will set an example of how to improve joint working and deliver improved outcomes for children and young people in some of the most complex situations. </w:t>
      </w:r>
    </w:p>
    <w:p w:rsidR="008A1AF6" w:rsidRPr="006B6B38" w:rsidP="008A1AF6">
      <w:pPr>
        <w:pStyle w:val="ListParagraph"/>
        <w:numPr>
          <w:ilvl w:val="0"/>
          <w:numId w:val="1"/>
        </w:numPr>
        <w:spacing w:after="360" w:line="278" w:lineRule="auto"/>
        <w:contextualSpacing w:val="0"/>
        <w:rPr>
          <w:rFonts w:cs="Arial"/>
        </w:rPr>
      </w:pPr>
      <w:r w:rsidRPr="006B6B38">
        <w:rPr>
          <w:rFonts w:cs="Arial"/>
        </w:rPr>
        <w:t xml:space="preserve">The Government will deliver a </w:t>
      </w:r>
      <w:r w:rsidRPr="006B6B38">
        <w:rPr>
          <w:rFonts w:cs="Arial"/>
        </w:rPr>
        <w:t>3 year</w:t>
      </w:r>
      <w:r w:rsidRPr="006B6B38">
        <w:rPr>
          <w:rFonts w:cs="Arial"/>
        </w:rPr>
        <w:t xml:space="preserve"> pilot to test how children in care can get access to the support they need sooner. This will build on existing work across the country, bringing together social workers and NHS health professionals to work together to provide direct mental health support to children and families when they need it most. Furthermore, children with the most complex needs, particularly those under or at risk of Deprivation of Liberty Orders, require joined-up support which is why we are piloting multidisciplinary teams and pooled budgets across education, health and social care.</w:t>
      </w:r>
    </w:p>
    <w:p w:rsidR="008A1AF6" w:rsidRPr="006B6B38" w:rsidP="008A1AF6">
      <w:pPr>
        <w:pStyle w:val="ListParagraph"/>
        <w:numPr>
          <w:ilvl w:val="0"/>
          <w:numId w:val="1"/>
        </w:numPr>
        <w:spacing w:after="360" w:line="278" w:lineRule="auto"/>
        <w:rPr>
          <w:rFonts w:cs="Arial"/>
        </w:rPr>
      </w:pPr>
      <w:r w:rsidRPr="006B6B38">
        <w:rPr>
          <w:rFonts w:eastAsia="Arial" w:cs="Arial"/>
        </w:rPr>
        <w:t>We are investing up to £50 million to roll out the internationally recognised Child House model to support children who have been sexually abused</w:t>
      </w:r>
      <w:r w:rsidRPr="006B6B38" w:rsidR="00407BF3">
        <w:rPr>
          <w:rFonts w:eastAsia="Arial" w:cs="Arial"/>
        </w:rPr>
        <w:t>,</w:t>
      </w:r>
      <w:r w:rsidRPr="006B6B38">
        <w:rPr>
          <w:rFonts w:eastAsia="Arial" w:cs="Arial"/>
        </w:rPr>
        <w:t xml:space="preserve"> across all NHS regions. The Child House model brings health, justice, social care and emotional support services together under one roof and spares children the trauma of retelling their story.</w:t>
      </w:r>
    </w:p>
    <w:p w:rsidR="008A1AF6" w:rsidRPr="006B6B38" w:rsidP="008A1AF6">
      <w:pPr>
        <w:pStyle w:val="ListParagraph"/>
        <w:spacing w:after="360"/>
        <w:ind w:left="644"/>
        <w:rPr>
          <w:rFonts w:cs="Arial"/>
        </w:rPr>
      </w:pPr>
    </w:p>
    <w:p w:rsidR="008A1AF6" w:rsidRPr="006B6B38" w:rsidP="008A1AF6">
      <w:pPr>
        <w:pStyle w:val="ListParagraph"/>
        <w:numPr>
          <w:ilvl w:val="0"/>
          <w:numId w:val="1"/>
        </w:numPr>
        <w:spacing w:line="276" w:lineRule="auto"/>
        <w:rPr>
          <w:rFonts w:eastAsia="Arial" w:cs="Arial"/>
        </w:rPr>
      </w:pPr>
      <w:r w:rsidRPr="006B6B38">
        <w:rPr>
          <w:rFonts w:eastAsia="Arial" w:cs="Arial"/>
        </w:rPr>
        <w:t>We recognise that greater integration is needed between children’s social care, the NHS and community provision. In line with our wider vision, the Government is committed to rebalancing the children’s social care system toward earlier intervention. At the heart of this commitment are reforms to Family Help, which commenced roll out as part of the national Families First Partnership Programme in April 2025. Multi-disciplinary Family Help teams will operate in the heart of communities to wrap support around families from the earliest opportunity, improving their outcomes and reducing costs to public services by safely lowering the number of children who become looked after. We are introducing new multi-agency child protection teams (MACPTs) in every local authority area in England. MACPTs will lead and oversee specific child protection functions, identify and respond to significant harm inside and outside the home and online, and act as a centre of expertise for the wider Family Help system. MACPTs can include specialists, for example child and adult mental health professionals.</w:t>
      </w:r>
    </w:p>
    <w:p w:rsidR="008A1AF6" w:rsidRPr="006B6B38" w:rsidP="008A1AF6">
      <w:pPr>
        <w:pStyle w:val="ListParagraph"/>
        <w:ind w:left="644"/>
        <w:rPr>
          <w:rFonts w:eastAsia="Arial" w:cs="Arial"/>
        </w:rPr>
      </w:pPr>
    </w:p>
    <w:p w:rsidR="008A1AF6" w:rsidRPr="006B6B38" w:rsidP="008A1AF6">
      <w:pPr>
        <w:pStyle w:val="ListParagraph"/>
        <w:numPr>
          <w:ilvl w:val="0"/>
          <w:numId w:val="1"/>
        </w:numPr>
        <w:spacing w:line="276" w:lineRule="auto"/>
        <w:rPr>
          <w:rFonts w:eastAsia="Arial" w:cs="Arial"/>
        </w:rPr>
      </w:pPr>
      <w:r w:rsidRPr="006B6B38">
        <w:rPr>
          <w:rFonts w:eastAsia="Arial" w:cs="Arial"/>
        </w:rPr>
        <w:t>Through the Children’s Wellbeing and Schools Bill, we are introducing corporate parenting responsibilities on government departments and relevant public bodies, to ensure they take looked after children and care leavers’ vulnerabilities into account when designing policies and delivering services. This will include services for promoting the physical and mental health and wellbeing of children in care and care leavers.</w:t>
      </w:r>
    </w:p>
    <w:p w:rsidR="008A1AF6" w:rsidRPr="006B6B38" w:rsidP="008A1AF6">
      <w:pPr>
        <w:pStyle w:val="ListParagraph"/>
        <w:rPr>
          <w:rFonts w:eastAsia="Arial" w:cs="Arial"/>
        </w:rPr>
      </w:pPr>
    </w:p>
    <w:p w:rsidR="008A1AF6" w:rsidRPr="006B6B38" w:rsidP="008A1AF6">
      <w:pPr>
        <w:pStyle w:val="ListParagraph"/>
        <w:spacing w:line="276" w:lineRule="auto"/>
        <w:ind w:left="644"/>
        <w:rPr>
          <w:rFonts w:eastAsia="Arial" w:cs="Arial"/>
        </w:rPr>
      </w:pPr>
    </w:p>
    <w:p w:rsidR="008A1AF6" w:rsidRPr="006B6B38" w:rsidP="008A1AF6">
      <w:pPr>
        <w:spacing w:after="360"/>
        <w:ind w:left="284"/>
        <w:rPr>
          <w:rFonts w:cs="Arial"/>
          <w:b/>
          <w:bCs/>
        </w:rPr>
      </w:pPr>
      <w:r w:rsidRPr="006B6B38">
        <w:rPr>
          <w:rFonts w:cs="Arial"/>
          <w:b/>
          <w:bCs/>
        </w:rPr>
        <w:t>Conclusion</w:t>
      </w:r>
    </w:p>
    <w:p w:rsidR="008A1AF6" w:rsidRPr="006B6B38" w:rsidP="008A1AF6">
      <w:pPr>
        <w:pStyle w:val="ListParagraph"/>
        <w:numPr>
          <w:ilvl w:val="0"/>
          <w:numId w:val="1"/>
        </w:numPr>
        <w:spacing w:after="360" w:line="278" w:lineRule="auto"/>
        <w:contextualSpacing w:val="0"/>
        <w:rPr>
          <w:rFonts w:cs="Arial"/>
        </w:rPr>
      </w:pPr>
      <w:r w:rsidRPr="006B6B38">
        <w:rPr>
          <w:rFonts w:cs="Arial"/>
        </w:rPr>
        <w:t>The Government recognises the growing number of challenges young people face, such as social and economic insecurity, the impact this has on their mental health and the increasing difficulty many face in accessing timely support. Long waits, fragmented commissioning, inconsistency in provision and persistent inequalities are symptoms of a system under strain. While we have taken immediate steps to improve access and reduce these pressures, lasting progress depends on a more preventive, integrated approach – one that tackles the underlying drivers of declining mental health while strengthening the community support available when young people need it.</w:t>
      </w:r>
    </w:p>
    <w:p w:rsidR="008A1AF6" w:rsidRPr="006B6B38" w:rsidP="008A1AF6">
      <w:pPr>
        <w:pStyle w:val="ListParagraph"/>
        <w:spacing w:after="360"/>
        <w:rPr>
          <w:rFonts w:cs="Arial"/>
        </w:rPr>
      </w:pPr>
    </w:p>
    <w:p w:rsidR="008A1AF6" w:rsidRPr="006B6B38" w:rsidP="008A1AF6">
      <w:pPr>
        <w:spacing w:after="360"/>
      </w:pPr>
    </w:p>
    <w:p w:rsidR="00724E2B" w:rsidRPr="006B6B38">
      <w:r w:rsidRPr="006B6B38">
        <w:t>March 2026</w:t>
      </w:r>
    </w:p>
    <w:sectPr w:rsidSect="008A1AF6">
      <w:pgSz w:w="11906" w:h="16838"/>
      <w:pgMar w:top="1103" w:right="1134" w:bottom="1134"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86237" w:rsidP="008A1AF6">
      <w:r>
        <w:separator/>
      </w:r>
    </w:p>
  </w:footnote>
  <w:footnote w:type="continuationSeparator" w:id="1">
    <w:p w:rsidR="00786237" w:rsidP="008A1AF6">
      <w:r>
        <w:continuationSeparator/>
      </w:r>
    </w:p>
  </w:footnote>
  <w:footnote w:id="2">
    <w:p w:rsidR="008A1AF6" w:rsidP="008A1AF6">
      <w:pPr>
        <w:pStyle w:val="FootnoteText"/>
      </w:pPr>
      <w:r>
        <w:rPr>
          <w:rStyle w:val="FootnoteReference"/>
          <w:rFonts w:eastAsiaTheme="majorEastAsia"/>
        </w:rPr>
        <w:footnoteRef/>
      </w:r>
      <w:r>
        <w:t xml:space="preserve"> </w:t>
      </w:r>
      <w:r>
        <w:fldChar w:fldCharType="begin"/>
      </w:r>
      <w:r>
        <w:instrText xml:space="preserve"> HYPERLINK "https://digital.nhs.uk/data-and-information/publications/statistical/mental-health-of-children-and-young-people-in-england/2023-wave-4-follow-up" </w:instrText>
      </w:r>
      <w:r>
        <w:fldChar w:fldCharType="separate"/>
      </w:r>
      <w:r w:rsidRPr="00967431">
        <w:rPr>
          <w:rStyle w:val="Hyperlink"/>
          <w:rFonts w:cs="Arial"/>
          <w:sz w:val="16"/>
          <w:szCs w:val="16"/>
        </w:rPr>
        <w:t>Mental Health of Children and Young People in England, 2023 - wave 4 follow up to the 2017 survey</w:t>
      </w:r>
      <w:r>
        <w:fldChar w:fldCharType="end"/>
      </w:r>
    </w:p>
  </w:footnote>
  <w:footnote w:id="3">
    <w:p w:rsidR="008A1AF6" w:rsidRPr="00800323" w:rsidP="008A1AF6">
      <w:pPr>
        <w:pStyle w:val="FootnoteText"/>
        <w:rPr>
          <w:b/>
          <w:bCs/>
        </w:rPr>
      </w:pPr>
      <w:r>
        <w:rPr>
          <w:rStyle w:val="FootnoteReference"/>
          <w:rFonts w:eastAsiaTheme="majorEastAsia"/>
        </w:rPr>
        <w:footnoteRef/>
      </w:r>
      <w:r>
        <w:t xml:space="preserve"> </w:t>
      </w:r>
      <w:r>
        <w:fldChar w:fldCharType="begin"/>
      </w:r>
      <w:r>
        <w:instrText xml:space="preserve"> HYPERLINK "https://digital.nhs.uk/data-and-information/publications/statistical/adult-psychiatric-morbidity-survey/survey-of-mental-health-and-wellbeing-england-2023-24/common-mental-health-conditions" </w:instrText>
      </w:r>
      <w:r>
        <w:fldChar w:fldCharType="separate"/>
      </w:r>
      <w:r w:rsidRPr="00261D52">
        <w:rPr>
          <w:rStyle w:val="Hyperlink"/>
          <w:rFonts w:cs="Arial"/>
          <w:sz w:val="16"/>
          <w:szCs w:val="16"/>
        </w:rPr>
        <w:t>Adult Psychiatric Morbidity Survey: Survey of Mental Health and Wellbeing, England, 2023/4</w:t>
      </w:r>
      <w:r>
        <w:fldChar w:fldCharType="end"/>
      </w:r>
    </w:p>
  </w:footnote>
  <w:footnote w:id="4">
    <w:p w:rsidR="008A1AF6" w:rsidRPr="004B50CE" w:rsidP="008A1AF6">
      <w:pPr>
        <w:pStyle w:val="FootnoteText"/>
        <w:rPr>
          <w:rFonts w:cs="Arial"/>
          <w:sz w:val="12"/>
          <w:szCs w:val="12"/>
        </w:rPr>
      </w:pPr>
      <w:r w:rsidRPr="004B50CE">
        <w:rPr>
          <w:rStyle w:val="FootnoteReference"/>
          <w:rFonts w:eastAsiaTheme="majorEastAsia" w:cs="Arial"/>
          <w:sz w:val="16"/>
          <w:szCs w:val="16"/>
        </w:rPr>
        <w:footnoteRef/>
      </w:r>
      <w:r w:rsidRPr="004B50CE">
        <w:rPr>
          <w:rFonts w:cs="Arial"/>
          <w:sz w:val="16"/>
          <w:szCs w:val="16"/>
        </w:rPr>
        <w:t xml:space="preserve"> </w:t>
      </w:r>
      <w:r>
        <w:fldChar w:fldCharType="begin"/>
      </w:r>
      <w:r>
        <w:instrText xml:space="preserve"> HYPERLINK "https://www.cambridge.org/core/journals/psychological-medicine/article/abs/impact-of-childhood-and-adulthood-psychological-health-on-labour-force-participation-and-exit-in-later-life/E9EA52A29CD8EFA06FEC48A0843F94CA" </w:instrText>
      </w:r>
      <w:r>
        <w:fldChar w:fldCharType="separate"/>
      </w:r>
      <w:r w:rsidRPr="004B50CE">
        <w:rPr>
          <w:rStyle w:val="Hyperlink"/>
          <w:rFonts w:cs="Arial"/>
          <w:sz w:val="16"/>
          <w:szCs w:val="16"/>
        </w:rPr>
        <w:t>Impact of childhood and adulthood psychological health on labour force participation and exit in later life | Psychological Medicine | Cambridge Core</w:t>
      </w:r>
      <w:r>
        <w:fldChar w:fldCharType="end"/>
      </w:r>
      <w:r w:rsidRPr="004B50CE">
        <w:rPr>
          <w:rFonts w:cs="Arial"/>
          <w:sz w:val="16"/>
          <w:szCs w:val="16"/>
        </w:rPr>
        <w:t xml:space="preserve"> </w:t>
      </w:r>
    </w:p>
  </w:footnote>
  <w:footnote w:id="5">
    <w:p w:rsidR="008A1AF6" w:rsidP="008A1AF6">
      <w:pPr>
        <w:pStyle w:val="FootnoteText"/>
      </w:pPr>
      <w:r w:rsidRPr="004B50CE">
        <w:rPr>
          <w:rStyle w:val="FootnoteReference"/>
          <w:rFonts w:eastAsiaTheme="majorEastAsia" w:cs="Arial"/>
          <w:sz w:val="16"/>
          <w:szCs w:val="16"/>
        </w:rPr>
        <w:footnoteRef/>
      </w:r>
      <w:r w:rsidRPr="004B50CE">
        <w:rPr>
          <w:rFonts w:cs="Arial"/>
          <w:sz w:val="16"/>
          <w:szCs w:val="16"/>
        </w:rPr>
        <w:t xml:space="preserve"> </w:t>
      </w:r>
      <w:r>
        <w:fldChar w:fldCharType="begin"/>
      </w:r>
      <w:r>
        <w:instrText xml:space="preserve"> HYPERLINK "https://pubmed.ncbi.nlm.nih.gov/17974931/" </w:instrText>
      </w:r>
      <w:r>
        <w:fldChar w:fldCharType="separate"/>
      </w:r>
      <w:r w:rsidRPr="004B50CE">
        <w:rPr>
          <w:rStyle w:val="Hyperlink"/>
          <w:rFonts w:cs="Arial"/>
          <w:sz w:val="16"/>
          <w:szCs w:val="16"/>
        </w:rPr>
        <w:t>Childhood psychiatric disorders and young adult crime: a prospective, population-based study - PubMed,</w:t>
      </w:r>
      <w:r>
        <w:fldChar w:fldCharType="end"/>
      </w:r>
      <w:r w:rsidRPr="004B50CE">
        <w:rPr>
          <w:rFonts w:cs="Arial"/>
          <w:sz w:val="16"/>
          <w:szCs w:val="16"/>
        </w:rPr>
        <w:t xml:space="preserve"> </w:t>
      </w:r>
      <w:r>
        <w:fldChar w:fldCharType="begin"/>
      </w:r>
      <w:r>
        <w:instrText xml:space="preserve"> HYPERLINK "https://pubmed.ncbi.nlm.nih.gov/40040435/" </w:instrText>
      </w:r>
      <w:r>
        <w:fldChar w:fldCharType="separate"/>
      </w:r>
      <w:r w:rsidRPr="004B50CE">
        <w:rPr>
          <w:rStyle w:val="Hyperlink"/>
          <w:rFonts w:cs="Arial"/>
          <w:sz w:val="16"/>
          <w:szCs w:val="16"/>
        </w:rPr>
        <w:t>The Effects of Child Mental Health on Juvenile Criminal Justice Contact and Victimization - PubMed</w:t>
      </w:r>
      <w:r>
        <w:fldChar w:fldCharType="end"/>
      </w:r>
    </w:p>
  </w:footnote>
  <w:footnote w:id="6">
    <w:p w:rsidR="008A1AF6" w:rsidRPr="004D54DE" w:rsidP="008A1AF6">
      <w:pPr>
        <w:pStyle w:val="FootnoteText"/>
        <w:rPr>
          <w:rFonts w:cs="Arial"/>
          <w:sz w:val="16"/>
          <w:szCs w:val="16"/>
        </w:rPr>
      </w:pPr>
      <w:r w:rsidRPr="004D54DE">
        <w:rPr>
          <w:rStyle w:val="FootnoteReference"/>
          <w:rFonts w:eastAsiaTheme="majorEastAsia" w:cs="Arial"/>
          <w:sz w:val="16"/>
          <w:szCs w:val="16"/>
        </w:rPr>
        <w:footnoteRef/>
      </w:r>
      <w:r w:rsidRPr="004D54DE">
        <w:rPr>
          <w:rFonts w:cs="Arial"/>
          <w:sz w:val="16"/>
          <w:szCs w:val="16"/>
        </w:rPr>
        <w:t xml:space="preserve"> </w:t>
      </w:r>
      <w:r w:rsidRPr="004D54DE">
        <w:rPr>
          <w:rFonts w:eastAsia="Aptos" w:cs="Arial"/>
          <w:sz w:val="16"/>
          <w:szCs w:val="16"/>
          <w:vertAlign w:val="superscript"/>
        </w:rPr>
        <w:t>[1]</w:t>
      </w:r>
      <w:r w:rsidRPr="004D54DE">
        <w:rPr>
          <w:rFonts w:eastAsia="Aptos" w:cs="Arial"/>
          <w:sz w:val="16"/>
          <w:szCs w:val="16"/>
        </w:rPr>
        <w:t xml:space="preserve"> Mental Health of Children and Young People in England, 2023 - wave 4 follow up to the 2017 survey, NHS England 2023; Child mental ill health and absence from school, England: 2021 to 2022, Census 2021; Relationship between mental ill health and absence in students aged 13 to 16, Department for Education 2025; The impact of school absence on mental health in children and young people: Analysis of an English national birth cohort, Viner et al 2026</w:t>
      </w:r>
    </w:p>
  </w:footnote>
  <w:footnote w:id="7">
    <w:p w:rsidR="008A1AF6" w:rsidRPr="009A4181" w:rsidP="008A1AF6">
      <w:pPr>
        <w:pStyle w:val="FootnoteText"/>
        <w:rPr>
          <w:rFonts w:eastAsia="Aptos" w:cs="Arial"/>
          <w:sz w:val="16"/>
          <w:szCs w:val="16"/>
        </w:rPr>
      </w:pPr>
      <w:r w:rsidRPr="004D54DE">
        <w:rPr>
          <w:rStyle w:val="FootnoteReference"/>
          <w:rFonts w:eastAsiaTheme="majorEastAsia" w:cs="Arial"/>
          <w:sz w:val="16"/>
          <w:szCs w:val="16"/>
        </w:rPr>
        <w:footnoteRef/>
      </w:r>
      <w:r w:rsidRPr="004D54DE">
        <w:rPr>
          <w:rFonts w:cs="Arial"/>
          <w:sz w:val="16"/>
          <w:szCs w:val="16"/>
        </w:rPr>
        <w:t xml:space="preserve"> </w:t>
      </w:r>
      <w:r w:rsidRPr="004D54DE">
        <w:rPr>
          <w:rFonts w:eastAsia="Aptos" w:cs="Arial"/>
          <w:sz w:val="16"/>
          <w:szCs w:val="16"/>
        </w:rPr>
        <w:t>The impact of mental health and wellbeing on GCSE performance in England: a longitudinal analysis of the national pupil database linked to understanding society, Smith et al 2019</w:t>
      </w:r>
    </w:p>
  </w:footnote>
  <w:footnote w:id="8">
    <w:p w:rsidR="008A1AF6" w:rsidRPr="009A4181" w:rsidP="008A1AF6">
      <w:pPr>
        <w:pStyle w:val="FootnoteText"/>
        <w:rPr>
          <w:b/>
          <w:bCs/>
        </w:rPr>
      </w:pPr>
      <w:r>
        <w:rPr>
          <w:rStyle w:val="FootnoteReference"/>
          <w:rFonts w:eastAsiaTheme="majorEastAsia"/>
        </w:rPr>
        <w:footnoteRef/>
      </w:r>
      <w:r>
        <w:t xml:space="preserve"> </w:t>
      </w:r>
      <w:r>
        <w:fldChar w:fldCharType="begin"/>
      </w:r>
      <w:r>
        <w:instrText xml:space="preserve"> HYPERLINK "https://pmc.ncbi.nlm.nih.gov/articles/PMC8960395/" </w:instrText>
      </w:r>
      <w:r>
        <w:fldChar w:fldCharType="separate"/>
      </w:r>
      <w:r w:rsidRPr="004B4CDB">
        <w:rPr>
          <w:rStyle w:val="Hyperlink"/>
          <w:rFonts w:cs="Arial"/>
          <w:sz w:val="16"/>
          <w:szCs w:val="16"/>
        </w:rPr>
        <w:t>Age at onset of mental disorders worldwide: large-scale meta-analysis of 192 epidemiological studies</w:t>
      </w:r>
      <w:r>
        <w:fldChar w:fldCharType="end"/>
      </w:r>
    </w:p>
    <w:p w:rsidR="008A1AF6" w:rsidP="008A1AF6">
      <w:pPr>
        <w:pStyle w:val="FootnoteText"/>
      </w:pPr>
    </w:p>
  </w:footnote>
  <w:footnote w:id="9">
    <w:p w:rsidR="0082021D" w:rsidP="0082021D">
      <w:pPr>
        <w:pStyle w:val="FootnoteText"/>
      </w:pPr>
      <w:r>
        <w:rPr>
          <w:rStyle w:val="FootnoteReference"/>
        </w:rPr>
        <w:footnoteRef/>
      </w:r>
      <w:r>
        <w:t xml:space="preserve"> </w:t>
      </w:r>
      <w:r>
        <w:fldChar w:fldCharType="begin"/>
      </w:r>
      <w:r>
        <w:instrText xml:space="preserve"> HYPERLINK "https://www.gov.uk/government/publications/education-for-wellbeing-programme-findings" </w:instrText>
      </w:r>
      <w:r>
        <w:fldChar w:fldCharType="separate"/>
      </w:r>
      <w:r w:rsidRPr="00B56D2D">
        <w:rPr>
          <w:rStyle w:val="Hyperlink"/>
        </w:rPr>
        <w:t>Education for wellbeing programme findings - GOV.UK</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BA11750"/>
    <w:multiLevelType w:val="hybridMultilevel"/>
    <w:tmpl w:val="80D0255A"/>
    <w:lvl w:ilvl="0">
      <w:start w:val="1"/>
      <w:numFmt w:val="decimal"/>
      <w:lvlText w:val="%1."/>
      <w:lvlJc w:val="left"/>
      <w:pPr>
        <w:ind w:left="644" w:hanging="360"/>
      </w:pPr>
      <w:rPr>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8A1AF6"/>
    <w:pPr>
      <w:spacing w:after="0" w:line="240" w:lineRule="auto"/>
    </w:pPr>
    <w:rPr>
      <w:rFonts w:ascii="Arial" w:eastAsia="Times New Roman" w:hAnsi="Arial" w:cs="Times New Roman"/>
      <w:kern w:val="0"/>
      <w:lang w:eastAsia="en-GB"/>
    </w:rPr>
  </w:style>
  <w:style w:type="paragraph" w:styleId="Heading1">
    <w:name w:val="heading 1"/>
    <w:basedOn w:val="Normal"/>
    <w:next w:val="Normal"/>
    <w:link w:val="Heading1Char"/>
    <w:uiPriority w:val="9"/>
    <w:qFormat/>
    <w:rsid w:val="008A1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1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A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A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A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A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A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A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A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A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1A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A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A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A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AF6"/>
    <w:rPr>
      <w:rFonts w:eastAsiaTheme="majorEastAsia" w:cstheme="majorBidi"/>
      <w:color w:val="272727" w:themeColor="text1" w:themeTint="D8"/>
    </w:rPr>
  </w:style>
  <w:style w:type="paragraph" w:styleId="Title">
    <w:name w:val="Title"/>
    <w:basedOn w:val="Normal"/>
    <w:next w:val="Normal"/>
    <w:link w:val="TitleChar"/>
    <w:uiPriority w:val="10"/>
    <w:qFormat/>
    <w:rsid w:val="008A1A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AF6"/>
    <w:pPr>
      <w:spacing w:before="160"/>
      <w:jc w:val="center"/>
    </w:pPr>
    <w:rPr>
      <w:i/>
      <w:iCs/>
      <w:color w:val="404040" w:themeColor="text1" w:themeTint="BF"/>
    </w:rPr>
  </w:style>
  <w:style w:type="character" w:customStyle="1" w:styleId="QuoteChar">
    <w:name w:val="Quote Char"/>
    <w:basedOn w:val="DefaultParagraphFont"/>
    <w:link w:val="Quote"/>
    <w:uiPriority w:val="29"/>
    <w:rsid w:val="008A1AF6"/>
    <w:rPr>
      <w:i/>
      <w:iCs/>
      <w:color w:val="404040" w:themeColor="text1" w:themeTint="BF"/>
    </w:rPr>
  </w:style>
  <w:style w:type="paragraph" w:styleId="ListParagraph">
    <w:name w:val="List Paragraph"/>
    <w:aliases w:val="Bullet 1,Bullet Points,Colorful List - Accent 11,Dot pt,F5 List Paragraph,Indicator Text,L,List Paragraph Char Char Char,List Paragraph1,List Paragraph12,List Paragraph2,MAIN CONTENT,No Spacing1,Normal numbered,Numbered Para 1,OBC Bullet"/>
    <w:basedOn w:val="Normal"/>
    <w:link w:val="ListParagraphChar"/>
    <w:uiPriority w:val="34"/>
    <w:qFormat/>
    <w:rsid w:val="008A1AF6"/>
    <w:pPr>
      <w:ind w:left="720"/>
      <w:contextualSpacing/>
    </w:pPr>
  </w:style>
  <w:style w:type="character" w:styleId="IntenseEmphasis">
    <w:name w:val="Intense Emphasis"/>
    <w:basedOn w:val="DefaultParagraphFont"/>
    <w:uiPriority w:val="21"/>
    <w:qFormat/>
    <w:rsid w:val="008A1AF6"/>
    <w:rPr>
      <w:i/>
      <w:iCs/>
      <w:color w:val="0F4761" w:themeColor="accent1" w:themeShade="BF"/>
    </w:rPr>
  </w:style>
  <w:style w:type="paragraph" w:styleId="IntenseQuote">
    <w:name w:val="Intense Quote"/>
    <w:basedOn w:val="Normal"/>
    <w:next w:val="Normal"/>
    <w:link w:val="IntenseQuoteChar"/>
    <w:uiPriority w:val="30"/>
    <w:qFormat/>
    <w:rsid w:val="008A1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AF6"/>
    <w:rPr>
      <w:i/>
      <w:iCs/>
      <w:color w:val="0F4761" w:themeColor="accent1" w:themeShade="BF"/>
    </w:rPr>
  </w:style>
  <w:style w:type="character" w:styleId="IntenseReference">
    <w:name w:val="Intense Reference"/>
    <w:basedOn w:val="DefaultParagraphFont"/>
    <w:uiPriority w:val="32"/>
    <w:qFormat/>
    <w:rsid w:val="008A1AF6"/>
    <w:rPr>
      <w:b/>
      <w:bCs/>
      <w:smallCaps/>
      <w:color w:val="0F4761" w:themeColor="accent1" w:themeShade="BF"/>
      <w:spacing w:val="5"/>
    </w:rPr>
  </w:style>
  <w:style w:type="paragraph" w:styleId="Header">
    <w:name w:val="header"/>
    <w:basedOn w:val="Normal"/>
    <w:link w:val="HeaderChar"/>
    <w:uiPriority w:val="99"/>
    <w:rsid w:val="008A1AF6"/>
    <w:pPr>
      <w:tabs>
        <w:tab w:val="center" w:pos="4153"/>
        <w:tab w:val="right" w:pos="8306"/>
      </w:tabs>
    </w:pPr>
  </w:style>
  <w:style w:type="character" w:customStyle="1" w:styleId="HeaderChar">
    <w:name w:val="Header Char"/>
    <w:basedOn w:val="DefaultParagraphFont"/>
    <w:link w:val="Header"/>
    <w:uiPriority w:val="99"/>
    <w:rsid w:val="008A1AF6"/>
    <w:rPr>
      <w:rFonts w:ascii="Arial" w:eastAsia="Times New Roman" w:hAnsi="Arial" w:cs="Times New Roman"/>
      <w:kern w:val="0"/>
      <w:lang w:eastAsia="en-GB"/>
    </w:rPr>
  </w:style>
  <w:style w:type="paragraph" w:styleId="Footer">
    <w:name w:val="footer"/>
    <w:basedOn w:val="Normal"/>
    <w:link w:val="FooterChar"/>
    <w:uiPriority w:val="99"/>
    <w:rsid w:val="008A1AF6"/>
    <w:pPr>
      <w:tabs>
        <w:tab w:val="center" w:pos="4153"/>
        <w:tab w:val="right" w:pos="8306"/>
      </w:tabs>
    </w:pPr>
  </w:style>
  <w:style w:type="character" w:customStyle="1" w:styleId="FooterChar">
    <w:name w:val="Footer Char"/>
    <w:basedOn w:val="DefaultParagraphFont"/>
    <w:link w:val="Footer"/>
    <w:uiPriority w:val="99"/>
    <w:rsid w:val="008A1AF6"/>
    <w:rPr>
      <w:rFonts w:ascii="Arial" w:eastAsia="Times New Roman" w:hAnsi="Arial" w:cs="Times New Roman"/>
      <w:kern w:val="0"/>
      <w:lang w:eastAsia="en-GB"/>
    </w:rPr>
  </w:style>
  <w:style w:type="paragraph" w:styleId="FootnoteText">
    <w:name w:val="footnote text"/>
    <w:basedOn w:val="Normal"/>
    <w:link w:val="FootnoteTextChar"/>
    <w:semiHidden/>
    <w:rsid w:val="008A1AF6"/>
    <w:rPr>
      <w:sz w:val="20"/>
      <w:szCs w:val="20"/>
    </w:rPr>
  </w:style>
  <w:style w:type="character" w:customStyle="1" w:styleId="FootnoteTextChar">
    <w:name w:val="Footnote Text Char"/>
    <w:basedOn w:val="DefaultParagraphFont"/>
    <w:link w:val="FootnoteText"/>
    <w:uiPriority w:val="99"/>
    <w:semiHidden/>
    <w:rsid w:val="008A1AF6"/>
    <w:rPr>
      <w:rFonts w:ascii="Arial" w:eastAsia="Times New Roman" w:hAnsi="Arial" w:cs="Times New Roman"/>
      <w:kern w:val="0"/>
      <w:sz w:val="20"/>
      <w:szCs w:val="20"/>
      <w:lang w:eastAsia="en-GB"/>
    </w:rPr>
  </w:style>
  <w:style w:type="character" w:styleId="FootnoteReference">
    <w:name w:val="footnote reference"/>
    <w:semiHidden/>
    <w:rsid w:val="008A1AF6"/>
    <w:rPr>
      <w:vertAlign w:val="superscript"/>
    </w:rPr>
  </w:style>
  <w:style w:type="character" w:styleId="PageNumber">
    <w:name w:val="page number"/>
    <w:basedOn w:val="DefaultParagraphFont"/>
    <w:rsid w:val="008A1AF6"/>
  </w:style>
  <w:style w:type="character" w:styleId="CommentReference">
    <w:name w:val="annotation reference"/>
    <w:uiPriority w:val="99"/>
    <w:semiHidden/>
    <w:unhideWhenUsed/>
    <w:rsid w:val="008A1AF6"/>
    <w:rPr>
      <w:sz w:val="16"/>
      <w:szCs w:val="16"/>
    </w:rPr>
  </w:style>
  <w:style w:type="paragraph" w:styleId="CommentText">
    <w:name w:val="annotation text"/>
    <w:basedOn w:val="Normal"/>
    <w:link w:val="CommentTextChar"/>
    <w:uiPriority w:val="99"/>
    <w:unhideWhenUsed/>
    <w:rsid w:val="008A1AF6"/>
    <w:rPr>
      <w:sz w:val="20"/>
      <w:szCs w:val="20"/>
    </w:rPr>
  </w:style>
  <w:style w:type="character" w:customStyle="1" w:styleId="CommentTextChar">
    <w:name w:val="Comment Text Char"/>
    <w:basedOn w:val="DefaultParagraphFont"/>
    <w:link w:val="CommentText"/>
    <w:uiPriority w:val="99"/>
    <w:rsid w:val="008A1AF6"/>
    <w:rPr>
      <w:rFonts w:ascii="Arial" w:eastAsia="Times New Roman" w:hAnsi="Arial" w:cs="Times New Roman"/>
      <w:kern w:val="0"/>
      <w:sz w:val="20"/>
      <w:szCs w:val="20"/>
      <w:lang w:eastAsia="en-GB"/>
    </w:rPr>
  </w:style>
  <w:style w:type="character" w:styleId="Hyperlink">
    <w:name w:val="Hyperlink"/>
    <w:uiPriority w:val="99"/>
    <w:unhideWhenUsed/>
    <w:rsid w:val="008A1AF6"/>
    <w:rPr>
      <w:color w:val="0000FF"/>
      <w:u w:val="single"/>
    </w:rPr>
  </w:style>
  <w:style w:type="character" w:styleId="Strong">
    <w:name w:val="Strong"/>
    <w:basedOn w:val="DefaultParagraphFont"/>
    <w:uiPriority w:val="22"/>
    <w:qFormat/>
    <w:rsid w:val="008A1AF6"/>
    <w:rPr>
      <w:b/>
      <w:bCs/>
    </w:rPr>
  </w:style>
  <w:style w:type="character" w:customStyle="1" w:styleId="Mention">
    <w:name w:val="Mention"/>
    <w:basedOn w:val="DefaultParagraphFont"/>
    <w:uiPriority w:val="99"/>
    <w:unhideWhenUsed/>
    <w:rsid w:val="00503AD4"/>
    <w:rPr>
      <w:color w:val="2B579A"/>
      <w:shd w:val="clear" w:color="auto" w:fill="E1DFDD"/>
    </w:rPr>
  </w:style>
  <w:style w:type="character" w:customStyle="1" w:styleId="ListParagraphChar">
    <w:name w:val="List Paragraph Char"/>
    <w:aliases w:val="Bullet 1 Char,Bullet Points Char,Dot pt Char,F5 List Paragraph Char,Indicator Text Char,L Char,List Paragraph Char Char Char Char,List Paragraph1 Char,List Paragraph12 Char,MAIN CONTENT Char,No Spacing1 Char,Numbered Para 1 Char"/>
    <w:link w:val="ListParagraph"/>
    <w:uiPriority w:val="34"/>
    <w:qFormat/>
    <w:locked/>
    <w:rsid w:val="00503AD4"/>
    <w:rPr>
      <w:rFonts w:ascii="Arial" w:eastAsia="Times New Roman" w:hAnsi="Arial" w:cs="Times New Roman"/>
      <w:kern w:val="0"/>
      <w:lang w:eastAsia="en-GB"/>
    </w:rPr>
  </w:style>
  <w:style w:type="paragraph" w:styleId="CommentSubject">
    <w:name w:val="annotation subject"/>
    <w:basedOn w:val="CommentText"/>
    <w:next w:val="CommentText"/>
    <w:link w:val="CommentSubjectChar"/>
    <w:uiPriority w:val="99"/>
    <w:semiHidden/>
    <w:unhideWhenUsed/>
    <w:rsid w:val="00C7141F"/>
    <w:rPr>
      <w:b/>
      <w:bCs/>
    </w:rPr>
  </w:style>
  <w:style w:type="character" w:customStyle="1" w:styleId="CommentSubjectChar">
    <w:name w:val="Comment Subject Char"/>
    <w:basedOn w:val="CommentTextChar"/>
    <w:link w:val="CommentSubject"/>
    <w:uiPriority w:val="99"/>
    <w:semiHidden/>
    <w:rsid w:val="00C7141F"/>
    <w:rPr>
      <w:rFonts w:ascii="Arial" w:eastAsia="Times New Roman" w:hAnsi="Arial" w:cs="Times New Roman"/>
      <w:b/>
      <w:bCs/>
      <w:kern w:val="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278c30-91a8-4c31-8c1f-ef4de8973a1c}" enabled="0" method="" siteId="{61278c30-91a8-4c31-8c1f-ef4de8973a1c}" removed="1"/>
  <clbl:label id="{a8f77787-5df4-43b6-a2a8-8d8b678a318b}" enabled="1" method="Standard" siteId="{1ce6dd9e-b337-4088-be5e-8dbbec04b34a}" contentBits="0" removed="0"/>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CYM0251</dc:title>
  <cp:revision>0</cp:revision>
</cp:coreProperties>
</file>