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27F5A" w:rsidRPr="00560C4C" w:rsidP="00D27F5A">
      <w:pPr>
        <w:spacing w:line="360" w:lineRule="auto"/>
        <w:jc w:val="center"/>
        <w:rPr>
          <w:rFonts w:ascii="Calibri" w:hAnsi="Calibri" w:cs="Calibri"/>
          <w:sz w:val="28"/>
          <w:szCs w:val="28"/>
        </w:rPr>
      </w:pPr>
      <w:r w:rsidRPr="00560C4C">
        <w:rPr>
          <w:rFonts w:ascii="Calibri" w:hAnsi="Calibri" w:cs="Calibri"/>
          <w:sz w:val="28"/>
          <w:szCs w:val="28"/>
        </w:rPr>
        <w:t>Written evidence submitted by</w:t>
      </w:r>
      <w:r w:rsidRPr="003F2896">
        <w:t xml:space="preserve"> </w:t>
      </w:r>
      <w:r w:rsidRPr="00D27F5A">
        <w:t>Go-Ahead Group</w:t>
      </w:r>
    </w:p>
    <w:p w:rsidR="000366AE" w:rsidP="0031450F">
      <w:pPr>
        <w:spacing w:before="80" w:after="80" w:line="276" w:lineRule="auto"/>
        <w:rPr>
          <w:b/>
          <w:bCs/>
          <w:color w:val="1A3C6E"/>
          <w:sz w:val="28"/>
          <w:szCs w:val="28"/>
        </w:rPr>
      </w:pPr>
    </w:p>
    <w:p w:rsidR="000366AE" w:rsidRPr="003070E2" w:rsidP="0031450F">
      <w:pPr>
        <w:spacing w:before="80" w:after="80" w:line="276" w:lineRule="auto"/>
      </w:pPr>
      <w:r w:rsidRPr="003070E2">
        <w:rPr>
          <w:b/>
          <w:bCs/>
          <w:color w:val="1A3C6E"/>
          <w:sz w:val="28"/>
          <w:szCs w:val="28"/>
        </w:rPr>
        <w:t xml:space="preserve">Executive </w:t>
      </w:r>
      <w:r w:rsidRPr="003070E2">
        <w:rPr>
          <w:b/>
          <w:bCs/>
          <w:color w:val="1A3C6E"/>
          <w:sz w:val="28"/>
          <w:szCs w:val="28"/>
        </w:rPr>
        <w:t>s</w:t>
      </w:r>
      <w:r w:rsidRPr="003070E2">
        <w:rPr>
          <w:b/>
          <w:bCs/>
          <w:color w:val="1A3C6E"/>
          <w:sz w:val="28"/>
          <w:szCs w:val="28"/>
        </w:rPr>
        <w:t>ummary</w:t>
      </w:r>
    </w:p>
    <w:p w:rsidR="000366AE" w:rsidRPr="003070E2" w:rsidP="0031450F">
      <w:pPr>
        <w:spacing w:line="276" w:lineRule="auto"/>
        <w:rPr>
          <w:sz w:val="22"/>
          <w:szCs w:val="22"/>
        </w:rPr>
      </w:pPr>
      <w:r w:rsidRPr="003070E2">
        <w:rPr>
          <w:sz w:val="22"/>
          <w:szCs w:val="22"/>
        </w:rPr>
        <w:t>Go-Ahead Group is one of the UK's largest public transport operators, serving around 2 million bus passengers and over 1.6 million rail passengers every day. While our network plays an essential role in connecting people to work, education and public services, it is also a critical enabler of tourism, carrying local visitors, domestic tourists and international travellers alike to destinations across England.</w:t>
      </w:r>
    </w:p>
    <w:p w:rsidR="000366AE" w:rsidRPr="003070E2" w:rsidP="0031450F">
      <w:pPr>
        <w:spacing w:line="276" w:lineRule="auto"/>
        <w:rPr>
          <w:sz w:val="22"/>
          <w:szCs w:val="22"/>
        </w:rPr>
      </w:pPr>
      <w:r w:rsidRPr="003070E2">
        <w:rPr>
          <w:sz w:val="22"/>
          <w:szCs w:val="22"/>
        </w:rPr>
        <w:t xml:space="preserve">We welcome the Committee’s inquiry into the future of UK tourism. Public transport is not simply a service that tourists happen to </w:t>
      </w:r>
      <w:r w:rsidRPr="003070E2">
        <w:rPr>
          <w:sz w:val="22"/>
          <w:szCs w:val="22"/>
        </w:rPr>
        <w:t xml:space="preserve">use, </w:t>
      </w:r>
      <w:r w:rsidRPr="003070E2">
        <w:rPr>
          <w:sz w:val="22"/>
          <w:szCs w:val="22"/>
        </w:rPr>
        <w:t>it is the infrastructure that makes tourism economically viable</w:t>
      </w:r>
      <w:r>
        <w:rPr>
          <w:sz w:val="22"/>
          <w:szCs w:val="22"/>
        </w:rPr>
        <w:t xml:space="preserve"> and</w:t>
      </w:r>
      <w:r w:rsidRPr="003070E2">
        <w:rPr>
          <w:sz w:val="22"/>
          <w:szCs w:val="22"/>
        </w:rPr>
        <w:t xml:space="preserve"> environmentally sustainable</w:t>
      </w:r>
      <w:r>
        <w:rPr>
          <w:sz w:val="22"/>
          <w:szCs w:val="22"/>
        </w:rPr>
        <w:t>, and which disperses tourism across the UK</w:t>
      </w:r>
      <w:r w:rsidRPr="003070E2">
        <w:rPr>
          <w:sz w:val="22"/>
          <w:szCs w:val="22"/>
        </w:rPr>
        <w:t xml:space="preserve">. </w:t>
      </w:r>
      <w:r w:rsidRPr="003070E2">
        <w:rPr>
          <w:sz w:val="22"/>
          <w:szCs w:val="22"/>
        </w:rPr>
        <w:t>For many visitors, public transport is how they experience Britain, from our heritage sites and coastal attractions to cultural institutions, city centres and quaint villages.</w:t>
      </w:r>
    </w:p>
    <w:p w:rsidR="000366AE" w:rsidRPr="003070E2" w:rsidP="0031450F">
      <w:pPr>
        <w:spacing w:line="276" w:lineRule="auto"/>
        <w:rPr>
          <w:sz w:val="22"/>
          <w:szCs w:val="22"/>
        </w:rPr>
      </w:pPr>
      <w:r w:rsidRPr="003070E2">
        <w:rPr>
          <w:sz w:val="22"/>
          <w:szCs w:val="22"/>
        </w:rPr>
        <w:t>This submission sets out three core arguments:</w:t>
      </w:r>
    </w:p>
    <w:p w:rsidR="000366AE" w:rsidRPr="003070E2" w:rsidP="0031450F">
      <w:pPr>
        <w:pStyle w:val="ListParagraph"/>
        <w:numPr>
          <w:ilvl w:val="0"/>
          <w:numId w:val="4"/>
        </w:numPr>
        <w:spacing w:line="276" w:lineRule="auto"/>
        <w:rPr>
          <w:sz w:val="22"/>
          <w:szCs w:val="22"/>
        </w:rPr>
      </w:pPr>
      <w:r w:rsidRPr="003070E2">
        <w:rPr>
          <w:sz w:val="22"/>
          <w:szCs w:val="22"/>
        </w:rPr>
        <w:t>Go-Ahead’s services are already a significant enabler of tourism, supporting £125 million in visitor spending and 1,900 jobs through our dedicated tourist routes and international visitor network.</w:t>
      </w:r>
    </w:p>
    <w:p w:rsidR="000366AE" w:rsidRPr="003070E2" w:rsidP="0031450F">
      <w:pPr>
        <w:pStyle w:val="ListParagraph"/>
        <w:numPr>
          <w:ilvl w:val="0"/>
          <w:numId w:val="4"/>
        </w:numPr>
        <w:spacing w:line="276" w:lineRule="auto"/>
        <w:rPr>
          <w:sz w:val="22"/>
          <w:szCs w:val="22"/>
        </w:rPr>
      </w:pPr>
      <w:r w:rsidRPr="003070E2">
        <w:rPr>
          <w:sz w:val="22"/>
          <w:szCs w:val="22"/>
        </w:rPr>
        <w:t>Integrated, multimodal connectivity</w:t>
      </w:r>
      <w:r w:rsidRPr="003070E2">
        <w:rPr>
          <w:sz w:val="22"/>
          <w:szCs w:val="22"/>
        </w:rPr>
        <w:t>,</w:t>
      </w:r>
      <w:r w:rsidRPr="003070E2">
        <w:rPr>
          <w:sz w:val="22"/>
          <w:szCs w:val="22"/>
        </w:rPr>
        <w:t xml:space="preserve"> seamlessly linking </w:t>
      </w:r>
      <w:r w:rsidRPr="003070E2">
        <w:rPr>
          <w:sz w:val="22"/>
          <w:szCs w:val="22"/>
        </w:rPr>
        <w:t>different transport services,</w:t>
      </w:r>
      <w:r w:rsidRPr="003070E2">
        <w:rPr>
          <w:sz w:val="22"/>
          <w:szCs w:val="22"/>
        </w:rPr>
        <w:t xml:space="preserve"> is essential to making the UK’s destinations accessible to both domestic and international visitors, and Go-Ahead is a proven leader in delivering this.</w:t>
      </w:r>
    </w:p>
    <w:p w:rsidR="000366AE" w:rsidRPr="003070E2" w:rsidP="0031450F">
      <w:pPr>
        <w:pStyle w:val="ListParagraph"/>
        <w:numPr>
          <w:ilvl w:val="0"/>
          <w:numId w:val="4"/>
        </w:numPr>
        <w:spacing w:line="276" w:lineRule="auto"/>
        <w:rPr>
          <w:sz w:val="22"/>
          <w:szCs w:val="22"/>
        </w:rPr>
      </w:pPr>
      <w:r w:rsidRPr="003070E2">
        <w:rPr>
          <w:sz w:val="22"/>
          <w:szCs w:val="22"/>
        </w:rPr>
        <w:t>Government must ensure long-term, stable funding and supportive policy conditions so that operators can invest in the reliable, accessible and zero-emission services that tourists and communities deserve.</w:t>
      </w:r>
    </w:p>
    <w:p w:rsidR="000366AE" w:rsidRPr="003070E2" w:rsidP="0031450F">
      <w:pPr>
        <w:pStyle w:val="Heading1"/>
        <w:spacing w:before="320" w:after="160" w:line="276" w:lineRule="auto"/>
        <w:rPr>
          <w:rFonts w:ascii="Arial" w:hAnsi="Arial" w:cs="Arial"/>
        </w:rPr>
      </w:pPr>
      <w:r w:rsidRPr="003070E2">
        <w:rPr>
          <w:rFonts w:ascii="Arial" w:eastAsia="Arial" w:hAnsi="Arial" w:cs="Arial"/>
          <w:b/>
          <w:bCs/>
          <w:color w:val="1A3C6E"/>
          <w:sz w:val="28"/>
          <w:szCs w:val="28"/>
        </w:rPr>
        <w:t>About Go-Ahead Group</w:t>
      </w:r>
    </w:p>
    <w:p w:rsidR="000366AE" w:rsidRPr="003070E2" w:rsidP="0031450F">
      <w:pPr>
        <w:spacing w:line="276" w:lineRule="auto"/>
        <w:rPr>
          <w:sz w:val="22"/>
          <w:szCs w:val="22"/>
        </w:rPr>
      </w:pPr>
      <w:r w:rsidRPr="003070E2">
        <w:rPr>
          <w:sz w:val="22"/>
          <w:szCs w:val="22"/>
        </w:rPr>
        <w:t>Go-Ahead Group was established in the North</w:t>
      </w:r>
      <w:r w:rsidRPr="003070E2">
        <w:rPr>
          <w:sz w:val="22"/>
          <w:szCs w:val="22"/>
        </w:rPr>
        <w:t>-</w:t>
      </w:r>
      <w:r w:rsidRPr="003070E2">
        <w:rPr>
          <w:sz w:val="22"/>
          <w:szCs w:val="22"/>
        </w:rPr>
        <w:t>East of England</w:t>
      </w:r>
      <w:r w:rsidRPr="003070E2">
        <w:rPr>
          <w:sz w:val="22"/>
          <w:szCs w:val="22"/>
        </w:rPr>
        <w:t xml:space="preserve"> and o</w:t>
      </w:r>
      <w:r w:rsidRPr="003070E2">
        <w:rPr>
          <w:sz w:val="22"/>
          <w:szCs w:val="22"/>
        </w:rPr>
        <w:t xml:space="preserve">ver four decades, it has grown into one of the UK’s leading transport groups. </w:t>
      </w:r>
    </w:p>
    <w:p w:rsidR="000366AE" w:rsidRPr="003070E2" w:rsidP="0031450F">
      <w:pPr>
        <w:spacing w:line="276" w:lineRule="auto"/>
        <w:rPr>
          <w:sz w:val="22"/>
          <w:szCs w:val="22"/>
        </w:rPr>
      </w:pPr>
      <w:r w:rsidRPr="003070E2">
        <w:rPr>
          <w:sz w:val="22"/>
          <w:szCs w:val="22"/>
        </w:rPr>
        <w:t>Our operating companies include:</w:t>
      </w:r>
    </w:p>
    <w:p w:rsidR="000366AE" w:rsidRPr="003070E2" w:rsidP="0031450F">
      <w:pPr>
        <w:pStyle w:val="ListParagraph"/>
        <w:numPr>
          <w:ilvl w:val="0"/>
          <w:numId w:val="12"/>
        </w:numPr>
        <w:spacing w:line="276" w:lineRule="auto"/>
        <w:rPr>
          <w:sz w:val="22"/>
          <w:szCs w:val="22"/>
        </w:rPr>
      </w:pPr>
      <w:r w:rsidRPr="003070E2">
        <w:rPr>
          <w:sz w:val="22"/>
          <w:szCs w:val="22"/>
        </w:rPr>
        <w:t xml:space="preserve">Bus: Go-Ahead London, Go South Coast, Brighton &amp; Hove Buses and Metrobus, Go </w:t>
      </w:r>
      <w:r w:rsidRPr="003070E2">
        <w:rPr>
          <w:sz w:val="22"/>
          <w:szCs w:val="22"/>
        </w:rPr>
        <w:t>North East</w:t>
      </w:r>
      <w:r w:rsidRPr="003070E2">
        <w:rPr>
          <w:sz w:val="22"/>
          <w:szCs w:val="22"/>
        </w:rPr>
        <w:t xml:space="preserve">, Go </w:t>
      </w:r>
      <w:r w:rsidRPr="003070E2">
        <w:rPr>
          <w:sz w:val="22"/>
          <w:szCs w:val="22"/>
        </w:rPr>
        <w:t>North West</w:t>
      </w:r>
      <w:r w:rsidRPr="003070E2">
        <w:rPr>
          <w:sz w:val="22"/>
          <w:szCs w:val="22"/>
        </w:rPr>
        <w:t xml:space="preserve">, Oxford Bus Company, Go </w:t>
      </w:r>
      <w:r w:rsidRPr="003070E2">
        <w:rPr>
          <w:sz w:val="22"/>
          <w:szCs w:val="22"/>
        </w:rPr>
        <w:t>South West</w:t>
      </w:r>
      <w:r w:rsidRPr="003070E2">
        <w:rPr>
          <w:sz w:val="22"/>
          <w:szCs w:val="22"/>
        </w:rPr>
        <w:t>, and East Yorkshire Buses</w:t>
      </w:r>
    </w:p>
    <w:p w:rsidR="000366AE" w:rsidRPr="003070E2" w:rsidP="0031450F">
      <w:pPr>
        <w:pStyle w:val="ListParagraph"/>
        <w:numPr>
          <w:ilvl w:val="0"/>
          <w:numId w:val="12"/>
        </w:numPr>
        <w:spacing w:line="276" w:lineRule="auto"/>
        <w:rPr>
          <w:sz w:val="22"/>
          <w:szCs w:val="22"/>
        </w:rPr>
      </w:pPr>
      <w:r w:rsidRPr="003070E2">
        <w:rPr>
          <w:sz w:val="22"/>
          <w:szCs w:val="22"/>
        </w:rPr>
        <w:t xml:space="preserve">Rail: </w:t>
      </w:r>
      <w:r w:rsidRPr="003070E2">
        <w:rPr>
          <w:sz w:val="22"/>
          <w:szCs w:val="22"/>
        </w:rPr>
        <w:t xml:space="preserve">GTS, the operator of the Elizabeth line concession and </w:t>
      </w:r>
      <w:r w:rsidRPr="003070E2">
        <w:rPr>
          <w:sz w:val="22"/>
          <w:szCs w:val="22"/>
        </w:rPr>
        <w:t xml:space="preserve">Govia Thameslink Railway (GTR), operating Thameslink, Southern, Great Northern and Gatwick Express; and </w:t>
      </w:r>
    </w:p>
    <w:p w:rsidR="000366AE" w:rsidRPr="003070E2" w:rsidP="0031450F">
      <w:pPr>
        <w:spacing w:line="276" w:lineRule="auto"/>
        <w:rPr>
          <w:sz w:val="22"/>
          <w:szCs w:val="22"/>
        </w:rPr>
      </w:pPr>
      <w:r w:rsidRPr="003070E2">
        <w:rPr>
          <w:sz w:val="22"/>
          <w:szCs w:val="22"/>
        </w:rPr>
        <w:t xml:space="preserve">According to </w:t>
      </w:r>
      <w:r>
        <w:fldChar w:fldCharType="begin"/>
      </w:r>
      <w:r>
        <w:instrText xml:space="preserve"> HYPERLINK "https://www.go-ahead.com/oxford-economics-impact-report/" \l "economic-footprint" </w:instrText>
      </w:r>
      <w:r>
        <w:fldChar w:fldCharType="separate"/>
      </w:r>
      <w:r w:rsidRPr="003070E2">
        <w:rPr>
          <w:rStyle w:val="Hyperlink"/>
          <w:sz w:val="22"/>
          <w:szCs w:val="22"/>
        </w:rPr>
        <w:t>independent economic analysis</w:t>
      </w:r>
      <w:r>
        <w:fldChar w:fldCharType="end"/>
      </w:r>
      <w:r w:rsidRPr="003070E2">
        <w:rPr>
          <w:sz w:val="22"/>
          <w:szCs w:val="22"/>
        </w:rPr>
        <w:t xml:space="preserve"> by Oxford Economics, Go-Ahead Group contributed £6.4 billion to UK GDP in 2025 and supported approximately 86,900 jobs across the economy. </w:t>
      </w:r>
    </w:p>
    <w:p w:rsidR="000366AE" w:rsidRPr="003070E2" w:rsidP="0031450F">
      <w:pPr>
        <w:pStyle w:val="Heading1"/>
        <w:spacing w:before="320" w:after="160" w:line="276" w:lineRule="auto"/>
        <w:rPr>
          <w:rFonts w:ascii="Arial" w:eastAsia="Arial" w:hAnsi="Arial" w:cs="Arial"/>
          <w:b/>
          <w:bCs/>
          <w:color w:val="1A3C6E"/>
          <w:sz w:val="28"/>
          <w:szCs w:val="28"/>
        </w:rPr>
      </w:pPr>
      <w:r w:rsidRPr="007131BE">
        <w:rPr>
          <w:rFonts w:ascii="Arial" w:eastAsia="Arial" w:hAnsi="Arial" w:cs="Arial"/>
          <w:b/>
          <w:bCs/>
          <w:color w:val="1A3C6E"/>
          <w:sz w:val="28"/>
          <w:szCs w:val="28"/>
        </w:rPr>
        <w:t>1.</w:t>
      </w:r>
      <w:r>
        <w:rPr>
          <w:rFonts w:ascii="Arial" w:eastAsia="Arial" w:hAnsi="Arial" w:cs="Arial"/>
          <w:b/>
          <w:bCs/>
          <w:color w:val="1A3C6E"/>
          <w:sz w:val="28"/>
          <w:szCs w:val="28"/>
        </w:rPr>
        <w:t xml:space="preserve"> </w:t>
      </w:r>
      <w:r w:rsidRPr="003070E2">
        <w:rPr>
          <w:rFonts w:ascii="Arial" w:eastAsia="Arial" w:hAnsi="Arial" w:cs="Arial"/>
          <w:b/>
          <w:bCs/>
          <w:color w:val="1A3C6E"/>
          <w:sz w:val="28"/>
          <w:szCs w:val="28"/>
        </w:rPr>
        <w:t xml:space="preserve">The role of transport in tourism </w:t>
      </w:r>
    </w:p>
    <w:p w:rsidR="000366AE" w:rsidRPr="00A353B8" w:rsidP="0031450F">
      <w:pPr>
        <w:spacing w:line="276" w:lineRule="auto"/>
        <w:rPr>
          <w:sz w:val="22"/>
          <w:szCs w:val="22"/>
        </w:rPr>
      </w:pPr>
      <w:r w:rsidRPr="00A353B8">
        <w:rPr>
          <w:sz w:val="22"/>
          <w:szCs w:val="22"/>
        </w:rPr>
        <w:t>Tourism and transport are inseparable. The decision to visit a destination</w:t>
      </w:r>
      <w:r w:rsidRPr="00A353B8">
        <w:rPr>
          <w:sz w:val="22"/>
          <w:szCs w:val="22"/>
        </w:rPr>
        <w:t xml:space="preserve"> </w:t>
      </w:r>
      <w:r w:rsidRPr="00A353B8">
        <w:rPr>
          <w:sz w:val="22"/>
          <w:szCs w:val="22"/>
        </w:rPr>
        <w:t>and the experience of being there is shaped at every stage by the quality, cost and reliability of the transport available. For the UK to meet its ambition of welcoming 50 million international visitors by 2030 and to ensure that domestic tourism thrives alongside it, transport must be treated not as a foundational element of tourism policy.</w:t>
      </w:r>
    </w:p>
    <w:p w:rsidR="000366AE" w:rsidRPr="00A353B8" w:rsidP="0031450F">
      <w:pPr>
        <w:spacing w:line="276" w:lineRule="auto"/>
        <w:rPr>
          <w:b/>
          <w:bCs/>
          <w:color w:val="153D63" w:themeColor="text2" w:themeTint="E6"/>
          <w:sz w:val="22"/>
          <w:szCs w:val="22"/>
        </w:rPr>
      </w:pPr>
      <w:r w:rsidRPr="00A353B8">
        <w:rPr>
          <w:b/>
          <w:bCs/>
          <w:color w:val="153D63" w:themeColor="text2" w:themeTint="E6"/>
          <w:sz w:val="22"/>
          <w:szCs w:val="22"/>
        </w:rPr>
        <w:t xml:space="preserve">1.1 Transport </w:t>
      </w:r>
      <w:r w:rsidRPr="00A353B8">
        <w:rPr>
          <w:b/>
          <w:bCs/>
          <w:color w:val="153D63" w:themeColor="text2" w:themeTint="E6"/>
          <w:sz w:val="22"/>
          <w:szCs w:val="22"/>
        </w:rPr>
        <w:t>s</w:t>
      </w:r>
      <w:r w:rsidRPr="00A353B8">
        <w:rPr>
          <w:b/>
          <w:bCs/>
          <w:color w:val="153D63" w:themeColor="text2" w:themeTint="E6"/>
          <w:sz w:val="22"/>
          <w:szCs w:val="22"/>
        </w:rPr>
        <w:t xml:space="preserve">hapes </w:t>
      </w:r>
      <w:r w:rsidRPr="00A353B8">
        <w:rPr>
          <w:b/>
          <w:bCs/>
          <w:color w:val="153D63" w:themeColor="text2" w:themeTint="E6"/>
          <w:sz w:val="22"/>
          <w:szCs w:val="22"/>
        </w:rPr>
        <w:t>d</w:t>
      </w:r>
      <w:r w:rsidRPr="00A353B8">
        <w:rPr>
          <w:b/>
          <w:bCs/>
          <w:color w:val="153D63" w:themeColor="text2" w:themeTint="E6"/>
          <w:sz w:val="22"/>
          <w:szCs w:val="22"/>
        </w:rPr>
        <w:t xml:space="preserve">estination </w:t>
      </w:r>
      <w:r w:rsidRPr="00A353B8">
        <w:rPr>
          <w:b/>
          <w:bCs/>
          <w:color w:val="153D63" w:themeColor="text2" w:themeTint="E6"/>
          <w:sz w:val="22"/>
          <w:szCs w:val="22"/>
        </w:rPr>
        <w:t>c</w:t>
      </w:r>
      <w:r w:rsidRPr="00A353B8">
        <w:rPr>
          <w:b/>
          <w:bCs/>
          <w:color w:val="153D63" w:themeColor="text2" w:themeTint="E6"/>
          <w:sz w:val="22"/>
          <w:szCs w:val="22"/>
        </w:rPr>
        <w:t>hoice</w:t>
      </w:r>
    </w:p>
    <w:p w:rsidR="000366AE" w:rsidRPr="00A353B8" w:rsidP="0031450F">
      <w:pPr>
        <w:spacing w:line="276" w:lineRule="auto"/>
        <w:rPr>
          <w:sz w:val="22"/>
          <w:szCs w:val="22"/>
        </w:rPr>
      </w:pPr>
      <w:r w:rsidRPr="00A353B8">
        <w:rPr>
          <w:sz w:val="22"/>
          <w:szCs w:val="22"/>
        </w:rPr>
        <w:t>The decision to visit the UK is made long before a tourist arrives. When international visitors research a destination, ease of getting around weighs heavily in the calculation. A country perceived as difficult or expensive to navigate by public transport is a less attractive proposition</w:t>
      </w:r>
      <w:r w:rsidRPr="00A353B8">
        <w:rPr>
          <w:sz w:val="22"/>
          <w:szCs w:val="22"/>
        </w:rPr>
        <w:t>. We know t</w:t>
      </w:r>
      <w:r w:rsidRPr="00A353B8">
        <w:rPr>
          <w:sz w:val="22"/>
          <w:szCs w:val="22"/>
        </w:rPr>
        <w:t>he UK faces significant cost headwinds as a destination</w:t>
      </w:r>
      <w:r w:rsidRPr="00A353B8">
        <w:rPr>
          <w:sz w:val="22"/>
          <w:szCs w:val="22"/>
        </w:rPr>
        <w:t xml:space="preserve"> from </w:t>
      </w:r>
      <w:r w:rsidRPr="00A353B8">
        <w:rPr>
          <w:sz w:val="22"/>
          <w:szCs w:val="22"/>
        </w:rPr>
        <w:t>visa fees, the loss of tax-free shopping and high accommodation costs in major cities. Affordable, frequent and reliable public transport is one of the levers available to offset that perception</w:t>
      </w:r>
      <w:r w:rsidRPr="00A353B8">
        <w:rPr>
          <w:sz w:val="22"/>
          <w:szCs w:val="22"/>
        </w:rPr>
        <w:t xml:space="preserve">. </w:t>
      </w:r>
    </w:p>
    <w:p w:rsidR="000366AE" w:rsidRPr="00A353B8" w:rsidP="0031450F">
      <w:pPr>
        <w:spacing w:line="276" w:lineRule="auto"/>
        <w:rPr>
          <w:b/>
          <w:bCs/>
          <w:color w:val="153D63" w:themeColor="text2" w:themeTint="E6"/>
          <w:sz w:val="22"/>
          <w:szCs w:val="22"/>
        </w:rPr>
      </w:pPr>
      <w:r w:rsidRPr="00A353B8">
        <w:rPr>
          <w:b/>
          <w:bCs/>
          <w:color w:val="153D63" w:themeColor="text2" w:themeTint="E6"/>
          <w:sz w:val="22"/>
          <w:szCs w:val="22"/>
        </w:rPr>
        <w:t xml:space="preserve">1.2 Reliability and </w:t>
      </w:r>
      <w:r w:rsidRPr="00A353B8">
        <w:rPr>
          <w:b/>
          <w:bCs/>
          <w:color w:val="153D63" w:themeColor="text2" w:themeTint="E6"/>
          <w:sz w:val="22"/>
          <w:szCs w:val="22"/>
        </w:rPr>
        <w:t>a</w:t>
      </w:r>
      <w:r w:rsidRPr="00A353B8">
        <w:rPr>
          <w:b/>
          <w:bCs/>
          <w:color w:val="153D63" w:themeColor="text2" w:themeTint="E6"/>
          <w:sz w:val="22"/>
          <w:szCs w:val="22"/>
        </w:rPr>
        <w:t xml:space="preserve">ffordability </w:t>
      </w:r>
      <w:r w:rsidRPr="00A353B8">
        <w:rPr>
          <w:b/>
          <w:bCs/>
          <w:color w:val="153D63" w:themeColor="text2" w:themeTint="E6"/>
          <w:sz w:val="22"/>
          <w:szCs w:val="22"/>
        </w:rPr>
        <w:t>d</w:t>
      </w:r>
      <w:r w:rsidRPr="00A353B8">
        <w:rPr>
          <w:b/>
          <w:bCs/>
          <w:color w:val="153D63" w:themeColor="text2" w:themeTint="E6"/>
          <w:sz w:val="22"/>
          <w:szCs w:val="22"/>
        </w:rPr>
        <w:t xml:space="preserve">rive </w:t>
      </w:r>
      <w:r w:rsidRPr="00A353B8">
        <w:rPr>
          <w:b/>
          <w:bCs/>
          <w:color w:val="153D63" w:themeColor="text2" w:themeTint="E6"/>
          <w:sz w:val="22"/>
          <w:szCs w:val="22"/>
        </w:rPr>
        <w:t>d</w:t>
      </w:r>
      <w:r w:rsidRPr="00A353B8">
        <w:rPr>
          <w:b/>
          <w:bCs/>
          <w:color w:val="153D63" w:themeColor="text2" w:themeTint="E6"/>
          <w:sz w:val="22"/>
          <w:szCs w:val="22"/>
        </w:rPr>
        <w:t xml:space="preserve">omestic </w:t>
      </w:r>
      <w:r w:rsidRPr="00A353B8">
        <w:rPr>
          <w:b/>
          <w:bCs/>
          <w:color w:val="153D63" w:themeColor="text2" w:themeTint="E6"/>
          <w:sz w:val="22"/>
          <w:szCs w:val="22"/>
        </w:rPr>
        <w:t>t</w:t>
      </w:r>
      <w:r w:rsidRPr="00A353B8">
        <w:rPr>
          <w:b/>
          <w:bCs/>
          <w:color w:val="153D63" w:themeColor="text2" w:themeTint="E6"/>
          <w:sz w:val="22"/>
          <w:szCs w:val="22"/>
        </w:rPr>
        <w:t>ourism</w:t>
      </w:r>
    </w:p>
    <w:p w:rsidR="000366AE" w:rsidRPr="00A353B8" w:rsidP="0031450F">
      <w:pPr>
        <w:spacing w:line="276" w:lineRule="auto"/>
        <w:rPr>
          <w:sz w:val="22"/>
          <w:szCs w:val="22"/>
        </w:rPr>
      </w:pPr>
      <w:r w:rsidRPr="00A353B8">
        <w:rPr>
          <w:sz w:val="22"/>
          <w:szCs w:val="22"/>
        </w:rPr>
        <w:t>The same logic applies to domestic visitors. Cost of living pressures have squeezed household budgets and changed how people plan leisure travel. When train and bus fares are high or services unreliable, the calculus shifts towards staying at home or driving</w:t>
      </w:r>
      <w:r w:rsidRPr="00A353B8">
        <w:rPr>
          <w:sz w:val="22"/>
          <w:szCs w:val="22"/>
        </w:rPr>
        <w:t>,</w:t>
      </w:r>
      <w:r w:rsidRPr="00A353B8">
        <w:rPr>
          <w:sz w:val="22"/>
          <w:szCs w:val="22"/>
        </w:rPr>
        <w:t xml:space="preserve"> with the spending that would have supported a local economy staying unspent or flowing to fuel instead. Conversely, when public transport is affordable and turns up on time, people </w:t>
      </w:r>
      <w:r w:rsidRPr="00A353B8">
        <w:rPr>
          <w:sz w:val="22"/>
          <w:szCs w:val="22"/>
        </w:rPr>
        <w:t xml:space="preserve">are more likely </w:t>
      </w:r>
      <w:r w:rsidRPr="00A353B8">
        <w:rPr>
          <w:sz w:val="22"/>
          <w:szCs w:val="22"/>
        </w:rPr>
        <w:t>to take trips. The social and economic benefits of that additional tourism activity in hospitality, retail, heritage and the arts are felt most acutely in the communities that depend on visitor</w:t>
      </w:r>
      <w:r w:rsidRPr="00A353B8">
        <w:rPr>
          <w:sz w:val="22"/>
          <w:szCs w:val="22"/>
        </w:rPr>
        <w:t xml:space="preserve"> spending</w:t>
      </w:r>
      <w:r w:rsidRPr="00A353B8">
        <w:rPr>
          <w:sz w:val="22"/>
          <w:szCs w:val="22"/>
        </w:rPr>
        <w:t>.</w:t>
      </w:r>
    </w:p>
    <w:p w:rsidR="000366AE" w:rsidRPr="00A353B8" w:rsidP="0031450F">
      <w:pPr>
        <w:spacing w:line="276" w:lineRule="auto"/>
        <w:rPr>
          <w:b/>
          <w:bCs/>
          <w:color w:val="153D63" w:themeColor="text2" w:themeTint="E6"/>
          <w:sz w:val="22"/>
          <w:szCs w:val="22"/>
        </w:rPr>
      </w:pPr>
      <w:r w:rsidRPr="00A353B8">
        <w:rPr>
          <w:b/>
          <w:bCs/>
          <w:color w:val="153D63" w:themeColor="text2" w:themeTint="E6"/>
          <w:sz w:val="22"/>
          <w:szCs w:val="22"/>
        </w:rPr>
        <w:t xml:space="preserve">1.3 Dispersal and the </w:t>
      </w:r>
      <w:r w:rsidRPr="00A353B8">
        <w:rPr>
          <w:b/>
          <w:bCs/>
          <w:color w:val="153D63" w:themeColor="text2" w:themeTint="E6"/>
          <w:sz w:val="22"/>
          <w:szCs w:val="22"/>
        </w:rPr>
        <w:t>d</w:t>
      </w:r>
      <w:r w:rsidRPr="00A353B8">
        <w:rPr>
          <w:b/>
          <w:bCs/>
          <w:color w:val="153D63" w:themeColor="text2" w:themeTint="E6"/>
          <w:sz w:val="22"/>
          <w:szCs w:val="22"/>
        </w:rPr>
        <w:t xml:space="preserve">istribution of </w:t>
      </w:r>
      <w:r w:rsidRPr="00A353B8">
        <w:rPr>
          <w:b/>
          <w:bCs/>
          <w:color w:val="153D63" w:themeColor="text2" w:themeTint="E6"/>
          <w:sz w:val="22"/>
          <w:szCs w:val="22"/>
        </w:rPr>
        <w:t>t</w:t>
      </w:r>
      <w:r w:rsidRPr="00A353B8">
        <w:rPr>
          <w:b/>
          <w:bCs/>
          <w:color w:val="153D63" w:themeColor="text2" w:themeTint="E6"/>
          <w:sz w:val="22"/>
          <w:szCs w:val="22"/>
        </w:rPr>
        <w:t xml:space="preserve">ourism's </w:t>
      </w:r>
      <w:r w:rsidRPr="00A353B8">
        <w:rPr>
          <w:b/>
          <w:bCs/>
          <w:color w:val="153D63" w:themeColor="text2" w:themeTint="E6"/>
          <w:sz w:val="22"/>
          <w:szCs w:val="22"/>
        </w:rPr>
        <w:t>b</w:t>
      </w:r>
      <w:r w:rsidRPr="00A353B8">
        <w:rPr>
          <w:b/>
          <w:bCs/>
          <w:color w:val="153D63" w:themeColor="text2" w:themeTint="E6"/>
          <w:sz w:val="22"/>
          <w:szCs w:val="22"/>
        </w:rPr>
        <w:t>enefits</w:t>
      </w:r>
    </w:p>
    <w:p w:rsidR="000366AE" w:rsidRPr="00A353B8" w:rsidP="0031450F">
      <w:pPr>
        <w:spacing w:line="276" w:lineRule="auto"/>
        <w:rPr>
          <w:sz w:val="22"/>
          <w:szCs w:val="22"/>
        </w:rPr>
      </w:pPr>
      <w:r w:rsidRPr="00A353B8">
        <w:rPr>
          <w:sz w:val="22"/>
          <w:szCs w:val="22"/>
        </w:rPr>
        <w:t xml:space="preserve">London dominates inbound tourism, but the economic benefits of visitor spending are far more widely felt when tourists can move easily between cities, regions and rural areas. </w:t>
      </w:r>
      <w:r w:rsidRPr="00A353B8">
        <w:rPr>
          <w:sz w:val="22"/>
          <w:szCs w:val="22"/>
        </w:rPr>
        <w:t>Currently</w:t>
      </w:r>
      <w:r w:rsidRPr="00A353B8">
        <w:rPr>
          <w:sz w:val="22"/>
          <w:szCs w:val="22"/>
        </w:rPr>
        <w:t>, the concentration of international visitors in the capital means that much of the economic value of UK tourism is pooled in Zone 1 rather than distributed across the country. Improving regional public transport connectivity is one of the most effective tools available to address this</w:t>
      </w:r>
      <w:r w:rsidRPr="016281B2">
        <w:rPr>
          <w:sz w:val="22"/>
          <w:szCs w:val="22"/>
        </w:rPr>
        <w:t>,</w:t>
      </w:r>
      <w:r w:rsidRPr="00A353B8">
        <w:rPr>
          <w:sz w:val="22"/>
          <w:szCs w:val="22"/>
        </w:rPr>
        <w:t xml:space="preserve"> enabling visitors who arrive in London to travel easily to the </w:t>
      </w:r>
      <w:r w:rsidRPr="00A353B8">
        <w:rPr>
          <w:sz w:val="22"/>
          <w:szCs w:val="22"/>
        </w:rPr>
        <w:t>North East</w:t>
      </w:r>
      <w:r w:rsidRPr="00A353B8">
        <w:rPr>
          <w:sz w:val="22"/>
          <w:szCs w:val="22"/>
        </w:rPr>
        <w:t xml:space="preserve">, the </w:t>
      </w:r>
      <w:r w:rsidRPr="00A353B8">
        <w:rPr>
          <w:sz w:val="22"/>
          <w:szCs w:val="22"/>
        </w:rPr>
        <w:t>South West</w:t>
      </w:r>
      <w:r w:rsidRPr="00A353B8">
        <w:rPr>
          <w:sz w:val="22"/>
          <w:szCs w:val="22"/>
        </w:rPr>
        <w:t>, the South Coast and beyond.</w:t>
      </w:r>
    </w:p>
    <w:p w:rsidR="000366AE" w:rsidP="0031450F">
      <w:pPr>
        <w:spacing w:line="276" w:lineRule="auto"/>
        <w:rPr>
          <w:sz w:val="22"/>
          <w:szCs w:val="22"/>
        </w:rPr>
      </w:pPr>
      <w:r w:rsidRPr="00A353B8">
        <w:rPr>
          <w:sz w:val="22"/>
          <w:szCs w:val="22"/>
        </w:rPr>
        <w:t xml:space="preserve">Go-Ahead's network exemplifies how regional transport can support dispersal in practice. A tourist who takes Govia Thameslink Railway out of London, picks up a Go South Coast bus in Salisbury and arrives at Stonehenge by lunchtime. That journey supports jobs and spending in Wiltshire, </w:t>
      </w:r>
      <w:r>
        <w:rPr>
          <w:sz w:val="22"/>
          <w:szCs w:val="22"/>
        </w:rPr>
        <w:t xml:space="preserve">rather than </w:t>
      </w:r>
      <w:r w:rsidRPr="00A353B8">
        <w:rPr>
          <w:sz w:val="22"/>
          <w:szCs w:val="22"/>
        </w:rPr>
        <w:t>Zone 1. Multiplied across thousands of journeys on regional networks</w:t>
      </w:r>
      <w:r w:rsidRPr="00A353B8">
        <w:rPr>
          <w:sz w:val="22"/>
          <w:szCs w:val="22"/>
        </w:rPr>
        <w:t>,</w:t>
      </w:r>
      <w:r w:rsidRPr="00A353B8">
        <w:rPr>
          <w:sz w:val="22"/>
          <w:szCs w:val="22"/>
        </w:rPr>
        <w:t xml:space="preserve"> </w:t>
      </w:r>
      <w:r w:rsidRPr="00A353B8">
        <w:rPr>
          <w:sz w:val="22"/>
          <w:szCs w:val="22"/>
        </w:rPr>
        <w:t>from</w:t>
      </w:r>
      <w:r w:rsidRPr="00A353B8">
        <w:rPr>
          <w:sz w:val="22"/>
          <w:szCs w:val="22"/>
        </w:rPr>
        <w:t xml:space="preserve"> Brighton</w:t>
      </w:r>
      <w:r w:rsidRPr="00A353B8">
        <w:rPr>
          <w:sz w:val="22"/>
          <w:szCs w:val="22"/>
        </w:rPr>
        <w:t xml:space="preserve"> to the </w:t>
      </w:r>
      <w:r w:rsidRPr="00A353B8">
        <w:rPr>
          <w:sz w:val="22"/>
          <w:szCs w:val="22"/>
        </w:rPr>
        <w:t>North East</w:t>
      </w:r>
      <w:r w:rsidRPr="00A353B8">
        <w:rPr>
          <w:sz w:val="22"/>
          <w:szCs w:val="22"/>
        </w:rPr>
        <w:t>,</w:t>
      </w:r>
      <w:r w:rsidRPr="00A353B8">
        <w:rPr>
          <w:sz w:val="22"/>
          <w:szCs w:val="22"/>
        </w:rPr>
        <w:t xml:space="preserve"> the cumulative effect on regional economies is significant. </w:t>
      </w:r>
    </w:p>
    <w:p w:rsidR="000366AE" w:rsidRPr="00EC1B90" w:rsidP="0031450F">
      <w:pPr>
        <w:spacing w:line="276" w:lineRule="auto"/>
        <w:rPr>
          <w:b/>
          <w:bCs/>
          <w:color w:val="153D63" w:themeColor="text2" w:themeTint="E6"/>
          <w:sz w:val="22"/>
          <w:szCs w:val="22"/>
        </w:rPr>
      </w:pPr>
      <w:r w:rsidRPr="00EC1B90">
        <w:rPr>
          <w:b/>
          <w:bCs/>
          <w:color w:val="153D63" w:themeColor="text2" w:themeTint="E6"/>
          <w:sz w:val="22"/>
          <w:szCs w:val="22"/>
        </w:rPr>
        <w:t xml:space="preserve">1.4 </w:t>
      </w:r>
      <w:r>
        <w:rPr>
          <w:b/>
          <w:bCs/>
          <w:color w:val="153D63" w:themeColor="text2" w:themeTint="E6"/>
          <w:sz w:val="22"/>
          <w:szCs w:val="22"/>
        </w:rPr>
        <w:t>Managing the carbon impact of tourism</w:t>
      </w:r>
    </w:p>
    <w:p w:rsidR="000366AE" w:rsidP="0031450F">
      <w:pPr>
        <w:spacing w:line="276" w:lineRule="auto"/>
        <w:rPr>
          <w:sz w:val="22"/>
          <w:szCs w:val="22"/>
        </w:rPr>
      </w:pPr>
      <w:r w:rsidRPr="00FA1303">
        <w:rPr>
          <w:sz w:val="22"/>
          <w:szCs w:val="22"/>
        </w:rPr>
        <w:t xml:space="preserve">Tourism is one of the UK's great economic </w:t>
      </w:r>
      <w:r w:rsidRPr="00FA1303">
        <w:rPr>
          <w:sz w:val="22"/>
          <w:szCs w:val="22"/>
        </w:rPr>
        <w:t>assets</w:t>
      </w:r>
      <w:r>
        <w:rPr>
          <w:sz w:val="22"/>
          <w:szCs w:val="22"/>
        </w:rPr>
        <w:t xml:space="preserve"> </w:t>
      </w:r>
      <w:r w:rsidRPr="00FA1303">
        <w:rPr>
          <w:sz w:val="22"/>
          <w:szCs w:val="22"/>
        </w:rPr>
        <w:t>but it carries a carbon cost</w:t>
      </w:r>
      <w:r>
        <w:rPr>
          <w:sz w:val="22"/>
          <w:szCs w:val="22"/>
        </w:rPr>
        <w:t xml:space="preserve">. </w:t>
      </w:r>
      <w:r w:rsidRPr="00FA1303">
        <w:rPr>
          <w:sz w:val="22"/>
          <w:szCs w:val="22"/>
        </w:rPr>
        <w:t>Public transport has a central role to play in keeping th</w:t>
      </w:r>
      <w:r>
        <w:rPr>
          <w:sz w:val="22"/>
          <w:szCs w:val="22"/>
        </w:rPr>
        <w:t>e carbon impact of tourism</w:t>
      </w:r>
      <w:r w:rsidRPr="00FA1303">
        <w:rPr>
          <w:sz w:val="22"/>
          <w:szCs w:val="22"/>
        </w:rPr>
        <w:t xml:space="preserve"> manageable.</w:t>
      </w:r>
      <w:r>
        <w:rPr>
          <w:sz w:val="22"/>
          <w:szCs w:val="22"/>
        </w:rPr>
        <w:t xml:space="preserve"> </w:t>
      </w:r>
      <w:r w:rsidRPr="00FA1303">
        <w:rPr>
          <w:sz w:val="22"/>
          <w:szCs w:val="22"/>
        </w:rPr>
        <w:t>Every visitor who travels by bus or train rather than private car is contributing to a lower-carbon tourism economy and the cumulative effect of millions of such journeys across the country is significant.</w:t>
      </w:r>
      <w:r>
        <w:rPr>
          <w:sz w:val="22"/>
          <w:szCs w:val="22"/>
        </w:rPr>
        <w:t xml:space="preserve"> </w:t>
      </w:r>
    </w:p>
    <w:p w:rsidR="000366AE" w:rsidP="0031450F">
      <w:pPr>
        <w:spacing w:line="276" w:lineRule="auto"/>
        <w:rPr>
          <w:sz w:val="22"/>
          <w:szCs w:val="22"/>
        </w:rPr>
      </w:pPr>
      <w:r>
        <w:rPr>
          <w:sz w:val="22"/>
          <w:szCs w:val="22"/>
        </w:rPr>
        <w:t xml:space="preserve">Added to this is the reduction in carbon emissions from new technologies like zero emission buses. </w:t>
      </w:r>
      <w:r w:rsidRPr="00FA1303">
        <w:rPr>
          <w:sz w:val="22"/>
          <w:szCs w:val="22"/>
        </w:rPr>
        <w:t>Go-Ahead operate</w:t>
      </w:r>
      <w:r>
        <w:rPr>
          <w:sz w:val="22"/>
          <w:szCs w:val="22"/>
        </w:rPr>
        <w:t>s</w:t>
      </w:r>
      <w:r w:rsidRPr="00FA1303">
        <w:rPr>
          <w:sz w:val="22"/>
          <w:szCs w:val="22"/>
        </w:rPr>
        <w:t xml:space="preserve"> the UK's largest zero-emission bus fleet</w:t>
      </w:r>
      <w:r>
        <w:rPr>
          <w:sz w:val="22"/>
          <w:szCs w:val="22"/>
        </w:rPr>
        <w:t>, and in</w:t>
      </w:r>
      <w:r w:rsidRPr="00FA1303">
        <w:rPr>
          <w:sz w:val="22"/>
          <w:szCs w:val="22"/>
        </w:rPr>
        <w:t xml:space="preserve"> London, our operations have already cut carbon emissions by 21% since 2020. </w:t>
      </w:r>
    </w:p>
    <w:p w:rsidR="000366AE" w:rsidP="0031450F">
      <w:pPr>
        <w:spacing w:line="276" w:lineRule="auto"/>
        <w:rPr>
          <w:sz w:val="22"/>
          <w:szCs w:val="22"/>
        </w:rPr>
      </w:pPr>
      <w:r>
        <w:rPr>
          <w:sz w:val="22"/>
          <w:szCs w:val="22"/>
        </w:rPr>
        <w:t>The more tourists using public transport, the better for the environment: less carbon, cleaner air and reduced congestion. To take this further, the g</w:t>
      </w:r>
      <w:r>
        <w:rPr>
          <w:sz w:val="22"/>
          <w:szCs w:val="22"/>
        </w:rPr>
        <w:t>overnment</w:t>
      </w:r>
      <w:r w:rsidRPr="00FA1303">
        <w:rPr>
          <w:sz w:val="22"/>
          <w:szCs w:val="22"/>
        </w:rPr>
        <w:t xml:space="preserve"> and industry </w:t>
      </w:r>
      <w:r>
        <w:rPr>
          <w:sz w:val="22"/>
          <w:szCs w:val="22"/>
        </w:rPr>
        <w:t xml:space="preserve">must continue </w:t>
      </w:r>
      <w:r w:rsidRPr="00FA1303">
        <w:rPr>
          <w:sz w:val="22"/>
          <w:szCs w:val="22"/>
        </w:rPr>
        <w:t xml:space="preserve">to work closely together to increase the share of visitor journeys made by public transport. </w:t>
      </w:r>
    </w:p>
    <w:p w:rsidR="000366AE" w:rsidRPr="007131BE" w:rsidP="0031450F">
      <w:pPr>
        <w:pStyle w:val="Heading1"/>
        <w:spacing w:before="320" w:after="160" w:line="276" w:lineRule="auto"/>
        <w:rPr>
          <w:rFonts w:ascii="Arial" w:eastAsia="Arial" w:hAnsi="Arial" w:cs="Arial"/>
          <w:b/>
          <w:bCs/>
          <w:color w:val="1A3C6E"/>
          <w:sz w:val="28"/>
          <w:szCs w:val="28"/>
        </w:rPr>
      </w:pPr>
      <w:r>
        <w:rPr>
          <w:rFonts w:ascii="Arial" w:eastAsia="Arial" w:hAnsi="Arial" w:cs="Arial"/>
          <w:b/>
          <w:bCs/>
          <w:color w:val="1A3C6E"/>
          <w:sz w:val="28"/>
          <w:szCs w:val="28"/>
        </w:rPr>
        <w:t xml:space="preserve">2. </w:t>
      </w:r>
      <w:r w:rsidRPr="003070E2">
        <w:rPr>
          <w:rFonts w:ascii="Arial" w:eastAsia="Arial" w:hAnsi="Arial" w:cs="Arial"/>
          <w:b/>
          <w:bCs/>
          <w:color w:val="1A3C6E"/>
          <w:sz w:val="28"/>
          <w:szCs w:val="28"/>
        </w:rPr>
        <w:t xml:space="preserve">Go-Ahead as a </w:t>
      </w:r>
      <w:r w:rsidRPr="003070E2">
        <w:rPr>
          <w:rFonts w:ascii="Arial" w:eastAsia="Arial" w:hAnsi="Arial" w:cs="Arial"/>
          <w:b/>
          <w:bCs/>
          <w:color w:val="1A3C6E"/>
          <w:sz w:val="28"/>
          <w:szCs w:val="28"/>
        </w:rPr>
        <w:t>s</w:t>
      </w:r>
      <w:r w:rsidRPr="003070E2">
        <w:rPr>
          <w:rFonts w:ascii="Arial" w:eastAsia="Arial" w:hAnsi="Arial" w:cs="Arial"/>
          <w:b/>
          <w:bCs/>
          <w:color w:val="1A3C6E"/>
          <w:sz w:val="28"/>
          <w:szCs w:val="28"/>
        </w:rPr>
        <w:t xml:space="preserve">ignificant </w:t>
      </w:r>
      <w:r w:rsidRPr="003070E2">
        <w:rPr>
          <w:rFonts w:ascii="Arial" w:eastAsia="Arial" w:hAnsi="Arial" w:cs="Arial"/>
          <w:b/>
          <w:bCs/>
          <w:color w:val="1A3C6E"/>
          <w:sz w:val="28"/>
          <w:szCs w:val="28"/>
        </w:rPr>
        <w:t>e</w:t>
      </w:r>
      <w:r w:rsidRPr="003070E2">
        <w:rPr>
          <w:rFonts w:ascii="Arial" w:eastAsia="Arial" w:hAnsi="Arial" w:cs="Arial"/>
          <w:b/>
          <w:bCs/>
          <w:color w:val="1A3C6E"/>
          <w:sz w:val="28"/>
          <w:szCs w:val="28"/>
        </w:rPr>
        <w:t xml:space="preserve">nabler of </w:t>
      </w:r>
      <w:r w:rsidRPr="003070E2">
        <w:rPr>
          <w:rFonts w:ascii="Arial" w:eastAsia="Arial" w:hAnsi="Arial" w:cs="Arial"/>
          <w:b/>
          <w:bCs/>
          <w:color w:val="1A3C6E"/>
          <w:sz w:val="28"/>
          <w:szCs w:val="28"/>
        </w:rPr>
        <w:t>t</w:t>
      </w:r>
      <w:r w:rsidRPr="003070E2">
        <w:rPr>
          <w:rFonts w:ascii="Arial" w:eastAsia="Arial" w:hAnsi="Arial" w:cs="Arial"/>
          <w:b/>
          <w:bCs/>
          <w:color w:val="1A3C6E"/>
          <w:sz w:val="28"/>
          <w:szCs w:val="28"/>
        </w:rPr>
        <w:t>ourism</w:t>
      </w:r>
    </w:p>
    <w:p w:rsidR="000366AE" w:rsidRPr="003070E2" w:rsidP="0031450F">
      <w:pPr>
        <w:spacing w:line="276" w:lineRule="auto"/>
        <w:rPr>
          <w:sz w:val="22"/>
          <w:szCs w:val="22"/>
        </w:rPr>
      </w:pPr>
      <w:r w:rsidRPr="003070E2">
        <w:rPr>
          <w:sz w:val="22"/>
          <w:szCs w:val="22"/>
        </w:rPr>
        <w:t xml:space="preserve">Tourism </w:t>
      </w:r>
      <w:r w:rsidRPr="003070E2">
        <w:rPr>
          <w:sz w:val="22"/>
          <w:szCs w:val="22"/>
        </w:rPr>
        <w:t xml:space="preserve">and </w:t>
      </w:r>
      <w:r w:rsidRPr="003070E2">
        <w:rPr>
          <w:sz w:val="22"/>
          <w:szCs w:val="22"/>
        </w:rPr>
        <w:t>transport</w:t>
      </w:r>
      <w:r w:rsidRPr="003070E2">
        <w:rPr>
          <w:sz w:val="22"/>
          <w:szCs w:val="22"/>
        </w:rPr>
        <w:t xml:space="preserve"> are intertwined</w:t>
      </w:r>
      <w:r w:rsidRPr="003070E2">
        <w:rPr>
          <w:sz w:val="22"/>
          <w:szCs w:val="22"/>
        </w:rPr>
        <w:t>. Whether it is an international visitor travelling from Heathrow to Stonehenge, a family taking a hop-on hop-off bus around Oxford’s historic colleges or a day-tripper catching an open-top service along Brighton’s seafront, Go-Ahead services are connecting visitors to the UK’s most treasured destinations.</w:t>
      </w:r>
    </w:p>
    <w:p w:rsidR="000366AE" w:rsidRPr="003070E2" w:rsidP="0031450F">
      <w:pPr>
        <w:spacing w:line="276" w:lineRule="auto"/>
        <w:rPr>
          <w:sz w:val="22"/>
          <w:szCs w:val="22"/>
        </w:rPr>
      </w:pPr>
      <w:r w:rsidRPr="003070E2">
        <w:rPr>
          <w:sz w:val="22"/>
          <w:szCs w:val="22"/>
        </w:rPr>
        <w:t>Independent modelling by Oxford Economics, drawing on customer volumes across our dedicated tourist routes and international visitor card data, estimates that Go-Ahead’s services enabled £125 million in visitor spending in 2025. This supported:</w:t>
      </w:r>
    </w:p>
    <w:p w:rsidR="000366AE" w:rsidRPr="003070E2" w:rsidP="0031450F">
      <w:pPr>
        <w:pStyle w:val="ListParagraph"/>
        <w:numPr>
          <w:ilvl w:val="0"/>
          <w:numId w:val="14"/>
        </w:numPr>
        <w:spacing w:line="276" w:lineRule="auto"/>
        <w:rPr>
          <w:sz w:val="22"/>
          <w:szCs w:val="22"/>
        </w:rPr>
      </w:pPr>
      <w:r w:rsidRPr="003070E2">
        <w:rPr>
          <w:sz w:val="22"/>
          <w:szCs w:val="22"/>
        </w:rPr>
        <w:t>£110 million in GDP contribution to the UK economy</w:t>
      </w:r>
    </w:p>
    <w:p w:rsidR="000366AE" w:rsidRPr="003070E2" w:rsidP="0031450F">
      <w:pPr>
        <w:pStyle w:val="ListParagraph"/>
        <w:numPr>
          <w:ilvl w:val="0"/>
          <w:numId w:val="14"/>
        </w:numPr>
        <w:spacing w:line="276" w:lineRule="auto"/>
        <w:rPr>
          <w:sz w:val="22"/>
          <w:szCs w:val="22"/>
        </w:rPr>
      </w:pPr>
      <w:r w:rsidRPr="003070E2">
        <w:rPr>
          <w:sz w:val="22"/>
          <w:szCs w:val="22"/>
        </w:rPr>
        <w:t>1,900 jobs — predominantly in accommodation, food services, and retail</w:t>
      </w:r>
    </w:p>
    <w:p w:rsidR="000366AE" w:rsidRPr="003070E2" w:rsidP="0031450F">
      <w:pPr>
        <w:pStyle w:val="ListParagraph"/>
        <w:numPr>
          <w:ilvl w:val="0"/>
          <w:numId w:val="14"/>
        </w:numPr>
        <w:spacing w:line="276" w:lineRule="auto"/>
        <w:rPr>
          <w:sz w:val="22"/>
          <w:szCs w:val="22"/>
        </w:rPr>
      </w:pPr>
      <w:r w:rsidRPr="003070E2">
        <w:rPr>
          <w:sz w:val="22"/>
          <w:szCs w:val="22"/>
        </w:rPr>
        <w:t>£40 million in tax revenues to the Exchequer</w:t>
      </w:r>
    </w:p>
    <w:p w:rsidR="000366AE" w:rsidRPr="003070E2" w:rsidP="0031450F">
      <w:pPr>
        <w:spacing w:line="276" w:lineRule="auto"/>
        <w:rPr>
          <w:sz w:val="22"/>
          <w:szCs w:val="22"/>
        </w:rPr>
      </w:pPr>
      <w:r w:rsidRPr="003070E2">
        <w:rPr>
          <w:sz w:val="22"/>
          <w:szCs w:val="22"/>
        </w:rPr>
        <w:t xml:space="preserve">Of the 2.8 million tourist journeys supported, approximately 1.4 million were by international visitors travelling on our wider bus network </w:t>
      </w:r>
      <w:r w:rsidRPr="003070E2">
        <w:rPr>
          <w:sz w:val="22"/>
          <w:szCs w:val="22"/>
        </w:rPr>
        <w:t>which</w:t>
      </w:r>
      <w:r w:rsidRPr="003070E2">
        <w:rPr>
          <w:sz w:val="22"/>
          <w:szCs w:val="22"/>
        </w:rPr>
        <w:t xml:space="preserve"> generat</w:t>
      </w:r>
      <w:r w:rsidRPr="003070E2">
        <w:rPr>
          <w:sz w:val="22"/>
          <w:szCs w:val="22"/>
        </w:rPr>
        <w:t>ed</w:t>
      </w:r>
      <w:r w:rsidRPr="003070E2">
        <w:rPr>
          <w:sz w:val="22"/>
          <w:szCs w:val="22"/>
        </w:rPr>
        <w:t xml:space="preserve"> around £80 million of the total GDP contribution. This underscores </w:t>
      </w:r>
      <w:r w:rsidRPr="003070E2">
        <w:rPr>
          <w:sz w:val="22"/>
          <w:szCs w:val="22"/>
        </w:rPr>
        <w:t>how our services</w:t>
      </w:r>
      <w:r w:rsidRPr="003070E2">
        <w:rPr>
          <w:sz w:val="22"/>
          <w:szCs w:val="22"/>
        </w:rPr>
        <w:t xml:space="preserve"> are a </w:t>
      </w:r>
      <w:r>
        <w:rPr>
          <w:sz w:val="22"/>
          <w:szCs w:val="22"/>
        </w:rPr>
        <w:t xml:space="preserve">vital </w:t>
      </w:r>
      <w:r w:rsidRPr="003070E2">
        <w:rPr>
          <w:sz w:val="22"/>
          <w:szCs w:val="22"/>
        </w:rPr>
        <w:t xml:space="preserve">part of the tourism infrastructure that </w:t>
      </w:r>
      <w:r w:rsidRPr="003070E2">
        <w:rPr>
          <w:sz w:val="22"/>
          <w:szCs w:val="22"/>
        </w:rPr>
        <w:t>will help</w:t>
      </w:r>
      <w:r w:rsidRPr="003070E2">
        <w:rPr>
          <w:sz w:val="22"/>
          <w:szCs w:val="22"/>
        </w:rPr>
        <w:t xml:space="preserve"> the UK</w:t>
      </w:r>
      <w:r w:rsidRPr="003070E2">
        <w:rPr>
          <w:sz w:val="22"/>
          <w:szCs w:val="22"/>
        </w:rPr>
        <w:t xml:space="preserve"> meet its </w:t>
      </w:r>
      <w:r w:rsidRPr="003070E2">
        <w:rPr>
          <w:sz w:val="22"/>
          <w:szCs w:val="22"/>
        </w:rPr>
        <w:t>ambition to grow international visitor numbers to 50 million by 2030.</w:t>
      </w:r>
    </w:p>
    <w:p w:rsidR="000366AE" w:rsidP="0031450F">
      <w:pPr>
        <w:spacing w:before="80" w:after="120" w:line="276" w:lineRule="auto"/>
        <w:jc w:val="both"/>
        <w:rPr>
          <w:sz w:val="22"/>
          <w:szCs w:val="22"/>
        </w:rPr>
      </w:pPr>
      <w:r w:rsidRPr="003070E2">
        <w:rPr>
          <w:sz w:val="22"/>
          <w:szCs w:val="22"/>
        </w:rPr>
        <w:t>Go-Ahead operates a range of purpose-built tourist routes that bring visitors to some of England’s most iconic destinations</w:t>
      </w:r>
      <w:r w:rsidRPr="003070E2">
        <w:rPr>
          <w:sz w:val="22"/>
          <w:szCs w:val="22"/>
        </w:rPr>
        <w:t xml:space="preserve">. </w:t>
      </w:r>
    </w:p>
    <w:tbl>
      <w:tblPr>
        <w:tblStyle w:val="TableGrid"/>
        <w:tblW w:w="0" w:type="auto"/>
        <w:tblCellMar>
          <w:top w:w="227" w:type="dxa"/>
          <w:left w:w="227" w:type="dxa"/>
          <w:bottom w:w="227" w:type="dxa"/>
          <w:right w:w="227" w:type="dxa"/>
        </w:tblCellMar>
        <w:tblLook w:val="04A0"/>
      </w:tblPr>
      <w:tblGrid>
        <w:gridCol w:w="9010"/>
      </w:tblGrid>
      <w:tr w:rsidTr="008311F7">
        <w:tblPrEx>
          <w:tblW w:w="0" w:type="auto"/>
          <w:tblCellMar>
            <w:top w:w="227" w:type="dxa"/>
            <w:left w:w="227" w:type="dxa"/>
            <w:bottom w:w="227" w:type="dxa"/>
            <w:right w:w="227" w:type="dxa"/>
          </w:tblCellMar>
          <w:tblLook w:val="04A0"/>
        </w:tblPrEx>
        <w:tc>
          <w:tcPr>
            <w:tcW w:w="9016" w:type="dxa"/>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shd w:val="clear" w:color="auto" w:fill="DAE9F7" w:themeFill="text2" w:themeFillTint="1A"/>
          </w:tcPr>
          <w:p w:rsidR="000366AE" w:rsidRPr="003070E2" w:rsidP="0031450F">
            <w:pPr>
              <w:spacing w:before="80" w:after="100" w:line="276" w:lineRule="auto"/>
              <w:rPr>
                <w:sz w:val="22"/>
                <w:szCs w:val="22"/>
              </w:rPr>
            </w:pPr>
            <w:r w:rsidRPr="003070E2">
              <w:rPr>
                <w:b/>
                <w:bCs/>
                <w:color w:val="1A3C6E"/>
                <w:sz w:val="22"/>
                <w:szCs w:val="22"/>
              </w:rPr>
              <w:t>Key tourist routes</w:t>
            </w:r>
          </w:p>
          <w:p w:rsidR="000366AE" w:rsidRPr="003070E2" w:rsidP="0031450F">
            <w:pPr>
              <w:pStyle w:val="ListParagraph"/>
              <w:numPr>
                <w:ilvl w:val="0"/>
                <w:numId w:val="8"/>
              </w:numPr>
              <w:spacing w:line="276" w:lineRule="auto"/>
              <w:rPr>
                <w:color w:val="000000" w:themeColor="text1"/>
                <w:sz w:val="22"/>
                <w:szCs w:val="22"/>
              </w:rPr>
            </w:pPr>
            <w:r w:rsidRPr="003070E2">
              <w:rPr>
                <w:color w:val="000000" w:themeColor="text1"/>
                <w:sz w:val="22"/>
                <w:szCs w:val="22"/>
              </w:rPr>
              <w:t>City Sightseeing Oxford: An open-top, hop-on hop-off service covering 18 stops at historic colleges and city centre sites</w:t>
            </w:r>
          </w:p>
          <w:p w:rsidR="000366AE" w:rsidRPr="003070E2" w:rsidP="0031450F">
            <w:pPr>
              <w:pStyle w:val="ListParagraph"/>
              <w:numPr>
                <w:ilvl w:val="0"/>
                <w:numId w:val="8"/>
              </w:numPr>
              <w:spacing w:line="276" w:lineRule="auto"/>
              <w:rPr>
                <w:color w:val="000000" w:themeColor="text1"/>
                <w:sz w:val="22"/>
                <w:szCs w:val="22"/>
              </w:rPr>
            </w:pPr>
            <w:r w:rsidRPr="003070E2">
              <w:rPr>
                <w:color w:val="000000" w:themeColor="text1"/>
                <w:sz w:val="22"/>
                <w:szCs w:val="22"/>
              </w:rPr>
              <w:t>Stonehenge Tour: From Salisbury city centre via Old Sarum to Stonehenge, with on-board commentary in 10 languages</w:t>
            </w:r>
          </w:p>
          <w:p w:rsidR="000366AE" w:rsidP="0031450F">
            <w:pPr>
              <w:pStyle w:val="ListParagraph"/>
              <w:numPr>
                <w:ilvl w:val="0"/>
                <w:numId w:val="8"/>
              </w:numPr>
              <w:spacing w:line="276" w:lineRule="auto"/>
              <w:rPr>
                <w:color w:val="000000" w:themeColor="text1"/>
                <w:sz w:val="22"/>
                <w:szCs w:val="22"/>
              </w:rPr>
            </w:pPr>
            <w:r w:rsidRPr="003070E2">
              <w:rPr>
                <w:color w:val="000000" w:themeColor="text1"/>
                <w:sz w:val="22"/>
                <w:szCs w:val="22"/>
              </w:rPr>
              <w:t xml:space="preserve">Downs </w:t>
            </w:r>
            <w:r w:rsidRPr="003070E2">
              <w:rPr>
                <w:color w:val="000000" w:themeColor="text1"/>
                <w:sz w:val="22"/>
                <w:szCs w:val="22"/>
              </w:rPr>
              <w:t>Breezer</w:t>
            </w:r>
            <w:r w:rsidRPr="003070E2">
              <w:rPr>
                <w:color w:val="000000" w:themeColor="text1"/>
                <w:sz w:val="22"/>
                <w:szCs w:val="22"/>
              </w:rPr>
              <w:t xml:space="preserve"> and Needles Breezer: Seasonal open-top routes across the Isle of Wight connecting visitors to the Needles and the island’s rural landscape</w:t>
            </w:r>
          </w:p>
          <w:p w:rsidR="000366AE" w:rsidRPr="008311F7" w:rsidP="0031450F">
            <w:pPr>
              <w:pStyle w:val="ListParagraph"/>
              <w:numPr>
                <w:ilvl w:val="0"/>
                <w:numId w:val="8"/>
              </w:numPr>
              <w:spacing w:line="276" w:lineRule="auto"/>
              <w:rPr>
                <w:color w:val="000000" w:themeColor="text1"/>
                <w:sz w:val="22"/>
                <w:szCs w:val="22"/>
              </w:rPr>
            </w:pPr>
            <w:r w:rsidRPr="001C405D">
              <w:rPr>
                <w:color w:val="000000" w:themeColor="text1"/>
                <w:sz w:val="22"/>
                <w:szCs w:val="22"/>
              </w:rPr>
              <w:t>City Sightseeing Brighton and Eastbourne Sightseeing: Taking in Palace Pier, the Marina, Beachy Head and Eastbourne’s Italian Gardens</w:t>
            </w:r>
          </w:p>
        </w:tc>
      </w:tr>
    </w:tbl>
    <w:p w:rsidR="000366AE" w:rsidRPr="003070E2" w:rsidP="0031450F">
      <w:pPr>
        <w:spacing w:before="80" w:after="120" w:line="276" w:lineRule="auto"/>
        <w:jc w:val="both"/>
        <w:rPr>
          <w:sz w:val="22"/>
          <w:szCs w:val="22"/>
        </w:rPr>
      </w:pPr>
    </w:p>
    <w:p w:rsidR="000366AE" w:rsidRPr="008311F7" w:rsidP="0031450F">
      <w:pPr>
        <w:spacing w:before="240" w:after="80" w:line="276" w:lineRule="auto"/>
        <w:rPr>
          <w:sz w:val="22"/>
          <w:szCs w:val="22"/>
        </w:rPr>
      </w:pPr>
      <w:r w:rsidRPr="003070E2">
        <w:rPr>
          <w:sz w:val="22"/>
          <w:szCs w:val="22"/>
        </w:rPr>
        <w:t xml:space="preserve">The Stonehenge Tour alone supported an estimated 160 jobs through tourist spending, while the Needles </w:t>
      </w:r>
      <w:r w:rsidRPr="003070E2">
        <w:rPr>
          <w:sz w:val="22"/>
          <w:szCs w:val="22"/>
        </w:rPr>
        <w:t>Breezer</w:t>
      </w:r>
      <w:r w:rsidRPr="003070E2">
        <w:rPr>
          <w:sz w:val="22"/>
          <w:szCs w:val="22"/>
        </w:rPr>
        <w:t xml:space="preserve"> supported a further 150</w:t>
      </w:r>
      <w:r w:rsidRPr="003070E2">
        <w:rPr>
          <w:sz w:val="22"/>
          <w:szCs w:val="22"/>
        </w:rPr>
        <w:t>,</w:t>
      </w:r>
      <w:r w:rsidRPr="003070E2">
        <w:rPr>
          <w:sz w:val="22"/>
          <w:szCs w:val="22"/>
        </w:rPr>
        <w:t xml:space="preserve"> demonstrating how well-designed tourist bus services can generate significant local economic benefit, particularly in rural and coastal areas that would otherwise be difficult to reach without a car.</w:t>
      </w:r>
    </w:p>
    <w:p w:rsidR="000366AE" w:rsidRPr="007131BE" w:rsidP="0031450F">
      <w:pPr>
        <w:spacing w:before="240" w:after="80" w:line="276" w:lineRule="auto"/>
        <w:rPr>
          <w:sz w:val="22"/>
          <w:szCs w:val="22"/>
        </w:rPr>
      </w:pPr>
      <w:r w:rsidRPr="007131BE">
        <w:rPr>
          <w:b/>
          <w:bCs/>
          <w:color w:val="153D63" w:themeColor="text2" w:themeTint="E6"/>
          <w:sz w:val="28"/>
          <w:szCs w:val="28"/>
        </w:rPr>
        <w:t>3.</w:t>
      </w:r>
      <w:r>
        <w:rPr>
          <w:b/>
          <w:bCs/>
          <w:color w:val="153D63" w:themeColor="text2" w:themeTint="E6"/>
          <w:sz w:val="28"/>
          <w:szCs w:val="28"/>
        </w:rPr>
        <w:t xml:space="preserve"> </w:t>
      </w:r>
      <w:r w:rsidRPr="007131BE">
        <w:rPr>
          <w:b/>
          <w:bCs/>
          <w:color w:val="153D63" w:themeColor="text2" w:themeTint="E6"/>
          <w:sz w:val="28"/>
          <w:szCs w:val="28"/>
        </w:rPr>
        <w:t xml:space="preserve">Integrated </w:t>
      </w:r>
      <w:r w:rsidRPr="007131BE">
        <w:rPr>
          <w:b/>
          <w:bCs/>
          <w:color w:val="1A3C6E"/>
          <w:sz w:val="28"/>
          <w:szCs w:val="28"/>
        </w:rPr>
        <w:t>transport: the key to unlocking tourism potential</w:t>
      </w:r>
    </w:p>
    <w:p w:rsidR="000366AE" w:rsidRPr="003070E2" w:rsidP="0031450F">
      <w:pPr>
        <w:spacing w:before="80" w:after="120" w:line="276" w:lineRule="auto"/>
        <w:jc w:val="both"/>
        <w:rPr>
          <w:sz w:val="22"/>
          <w:szCs w:val="22"/>
        </w:rPr>
      </w:pPr>
      <w:r w:rsidRPr="003070E2">
        <w:rPr>
          <w:sz w:val="22"/>
          <w:szCs w:val="22"/>
        </w:rPr>
        <w:t>The UK Government has set an ambitious target of 50 million international visitors by 2030. Achieving this will require seamless connectivity at home. Visitors who arrive at a UK port or airport and find it difficult to navigate onward by public transport will choose to travel by car or taxi or, at the planning stage, may choose a competitor destination altogether.</w:t>
      </w:r>
    </w:p>
    <w:p w:rsidR="000366AE" w:rsidRPr="003070E2" w:rsidP="0031450F">
      <w:pPr>
        <w:spacing w:before="80" w:after="120" w:line="276" w:lineRule="auto"/>
        <w:jc w:val="both"/>
        <w:rPr>
          <w:sz w:val="22"/>
          <w:szCs w:val="22"/>
        </w:rPr>
      </w:pPr>
      <w:r w:rsidRPr="003070E2">
        <w:rPr>
          <w:sz w:val="22"/>
          <w:szCs w:val="22"/>
        </w:rPr>
        <w:t xml:space="preserve">Go-Ahead is at the forefront of delivering integrated, multimodal transport. Our operating companies have worked with </w:t>
      </w:r>
      <w:r w:rsidRPr="003070E2">
        <w:rPr>
          <w:sz w:val="22"/>
          <w:szCs w:val="22"/>
        </w:rPr>
        <w:t xml:space="preserve">other </w:t>
      </w:r>
      <w:r w:rsidRPr="003070E2">
        <w:rPr>
          <w:sz w:val="22"/>
          <w:szCs w:val="22"/>
        </w:rPr>
        <w:t>rail operators, ferry services, local authorities and transport bodies to create genuin</w:t>
      </w:r>
      <w:r w:rsidRPr="003070E2">
        <w:rPr>
          <w:sz w:val="22"/>
          <w:szCs w:val="22"/>
        </w:rPr>
        <w:t>ely seamless journeys</w:t>
      </w:r>
      <w:r w:rsidRPr="003070E2">
        <w:rPr>
          <w:sz w:val="22"/>
          <w:szCs w:val="22"/>
        </w:rPr>
        <w:t xml:space="preserve"> for visitors and residents alike.</w:t>
      </w:r>
    </w:p>
    <w:p w:rsidR="000366AE" w:rsidRPr="003070E2" w:rsidP="0031450F">
      <w:pPr>
        <w:spacing w:before="80" w:after="120" w:line="276" w:lineRule="auto"/>
        <w:jc w:val="both"/>
        <w:rPr>
          <w:b/>
          <w:bCs/>
          <w:color w:val="153D63" w:themeColor="text2" w:themeTint="E6"/>
          <w:sz w:val="22"/>
          <w:szCs w:val="22"/>
        </w:rPr>
      </w:pPr>
      <w:r>
        <w:rPr>
          <w:b/>
          <w:bCs/>
          <w:color w:val="153D63" w:themeColor="text2" w:themeTint="E6"/>
          <w:sz w:val="22"/>
          <w:szCs w:val="22"/>
        </w:rPr>
        <w:t>3</w:t>
      </w:r>
      <w:r w:rsidRPr="003070E2">
        <w:rPr>
          <w:b/>
          <w:bCs/>
          <w:color w:val="153D63" w:themeColor="text2" w:themeTint="E6"/>
          <w:sz w:val="22"/>
          <w:szCs w:val="22"/>
        </w:rPr>
        <w:t>.1 Enabling car-free tourism</w:t>
      </w:r>
    </w:p>
    <w:p w:rsidR="000366AE" w:rsidRPr="003070E2" w:rsidP="0031450F">
      <w:pPr>
        <w:spacing w:before="80" w:after="120" w:line="276" w:lineRule="auto"/>
        <w:jc w:val="both"/>
        <w:rPr>
          <w:sz w:val="22"/>
          <w:szCs w:val="22"/>
        </w:rPr>
      </w:pPr>
      <w:r w:rsidRPr="003070E2">
        <w:rPr>
          <w:sz w:val="22"/>
          <w:szCs w:val="22"/>
        </w:rPr>
        <w:t xml:space="preserve">For many visitors, whether international tourists unfamiliar with UK roads, younger travellers who do not drive, or those who simply prefer to leave the car at home, the quality of public transport is not a secondary consideration, it determines whether a destination is on their itinerary at all. Go-Ahead operates services that make parts of the UK that would otherwise be difficult to reach, accessible without a car. For instance, on the Isle of Wight, Southern Vectis coordinates its timetable around ferry </w:t>
      </w:r>
      <w:r w:rsidRPr="003070E2">
        <w:rPr>
          <w:sz w:val="22"/>
          <w:szCs w:val="22"/>
        </w:rPr>
        <w:t xml:space="preserve">departures so that a visitor can travel from the mainland and explore the island's towns, coastline and countryside before returning home without ever needing to drive. </w:t>
      </w:r>
    </w:p>
    <w:p w:rsidR="000366AE" w:rsidRPr="003070E2" w:rsidP="0031450F">
      <w:pPr>
        <w:spacing w:before="80" w:after="120" w:line="276" w:lineRule="auto"/>
        <w:jc w:val="both"/>
        <w:rPr>
          <w:b/>
          <w:bCs/>
          <w:color w:val="153D63" w:themeColor="text2" w:themeTint="E6"/>
          <w:sz w:val="22"/>
          <w:szCs w:val="22"/>
        </w:rPr>
      </w:pPr>
      <w:r>
        <w:rPr>
          <w:b/>
          <w:bCs/>
          <w:color w:val="153D63" w:themeColor="text2" w:themeTint="E6"/>
          <w:sz w:val="22"/>
          <w:szCs w:val="22"/>
        </w:rPr>
        <w:t>3</w:t>
      </w:r>
      <w:r w:rsidRPr="003070E2">
        <w:rPr>
          <w:b/>
          <w:bCs/>
          <w:color w:val="153D63" w:themeColor="text2" w:themeTint="E6"/>
          <w:sz w:val="22"/>
          <w:szCs w:val="22"/>
        </w:rPr>
        <w:t>.</w:t>
      </w:r>
      <w:r w:rsidRPr="003070E2">
        <w:rPr>
          <w:b/>
          <w:bCs/>
          <w:color w:val="153D63" w:themeColor="text2" w:themeTint="E6"/>
          <w:sz w:val="22"/>
          <w:szCs w:val="22"/>
        </w:rPr>
        <w:t>2</w:t>
      </w:r>
      <w:r w:rsidRPr="003070E2">
        <w:rPr>
          <w:b/>
          <w:bCs/>
          <w:color w:val="153D63" w:themeColor="text2" w:themeTint="E6"/>
          <w:sz w:val="22"/>
          <w:szCs w:val="22"/>
        </w:rPr>
        <w:t xml:space="preserve"> Connecting </w:t>
      </w:r>
      <w:r w:rsidRPr="003070E2">
        <w:rPr>
          <w:b/>
          <w:bCs/>
          <w:color w:val="153D63" w:themeColor="text2" w:themeTint="E6"/>
          <w:sz w:val="22"/>
          <w:szCs w:val="22"/>
        </w:rPr>
        <w:t>v</w:t>
      </w:r>
      <w:r w:rsidRPr="003070E2">
        <w:rPr>
          <w:b/>
          <w:bCs/>
          <w:color w:val="153D63" w:themeColor="text2" w:themeTint="E6"/>
          <w:sz w:val="22"/>
          <w:szCs w:val="22"/>
        </w:rPr>
        <w:t xml:space="preserve">isitors to </w:t>
      </w:r>
      <w:r w:rsidRPr="003070E2">
        <w:rPr>
          <w:b/>
          <w:bCs/>
          <w:color w:val="153D63" w:themeColor="text2" w:themeTint="E6"/>
          <w:sz w:val="22"/>
          <w:szCs w:val="22"/>
        </w:rPr>
        <w:t xml:space="preserve">tourist destinations, directly </w:t>
      </w:r>
    </w:p>
    <w:p w:rsidR="000366AE" w:rsidRPr="003070E2" w:rsidP="0031450F">
      <w:pPr>
        <w:spacing w:before="80" w:after="120" w:line="276" w:lineRule="auto"/>
        <w:jc w:val="both"/>
        <w:rPr>
          <w:sz w:val="22"/>
          <w:szCs w:val="22"/>
        </w:rPr>
      </w:pPr>
      <w:r w:rsidRPr="003070E2">
        <w:rPr>
          <w:sz w:val="22"/>
          <w:szCs w:val="22"/>
        </w:rPr>
        <w:t xml:space="preserve">Some of the UK's most-visited attractions sit outside city centres, in locations that are difficult to reach without dedicated transport links. Go-Ahead </w:t>
      </w:r>
      <w:r w:rsidRPr="003070E2">
        <w:rPr>
          <w:sz w:val="22"/>
          <w:szCs w:val="22"/>
        </w:rPr>
        <w:t>provides</w:t>
      </w:r>
      <w:r w:rsidRPr="003070E2">
        <w:rPr>
          <w:sz w:val="22"/>
          <w:szCs w:val="22"/>
        </w:rPr>
        <w:t xml:space="preserve"> services specifically designed to bridge that gap. </w:t>
      </w:r>
      <w:r w:rsidRPr="003070E2">
        <w:rPr>
          <w:sz w:val="22"/>
          <w:szCs w:val="22"/>
        </w:rPr>
        <w:t>For example, o</w:t>
      </w:r>
      <w:r w:rsidRPr="003070E2">
        <w:rPr>
          <w:sz w:val="22"/>
          <w:szCs w:val="22"/>
        </w:rPr>
        <w:t xml:space="preserve">ur Stonehenge Tour, operated by Salisbury Reds, carries visitors from Salisbury city centre through the Wiltshire countryside to the site itself, removing the need for a hire car and opening the attraction to a far wider range of visitors. </w:t>
      </w:r>
    </w:p>
    <w:p w:rsidR="000366AE" w:rsidRPr="003070E2" w:rsidP="0031450F">
      <w:pPr>
        <w:spacing w:before="80" w:after="120" w:line="276" w:lineRule="auto"/>
        <w:jc w:val="both"/>
        <w:rPr>
          <w:b/>
          <w:bCs/>
          <w:color w:val="153D63" w:themeColor="text2" w:themeTint="E6"/>
          <w:sz w:val="22"/>
          <w:szCs w:val="22"/>
        </w:rPr>
      </w:pPr>
      <w:r>
        <w:rPr>
          <w:b/>
          <w:bCs/>
          <w:color w:val="153D63" w:themeColor="text2" w:themeTint="E6"/>
          <w:sz w:val="22"/>
          <w:szCs w:val="22"/>
        </w:rPr>
        <w:t>3</w:t>
      </w:r>
      <w:r w:rsidRPr="003070E2">
        <w:rPr>
          <w:b/>
          <w:bCs/>
          <w:color w:val="153D63" w:themeColor="text2" w:themeTint="E6"/>
          <w:sz w:val="22"/>
          <w:szCs w:val="22"/>
        </w:rPr>
        <w:t>.</w:t>
      </w:r>
      <w:r w:rsidRPr="003070E2">
        <w:rPr>
          <w:b/>
          <w:bCs/>
          <w:color w:val="153D63" w:themeColor="text2" w:themeTint="E6"/>
          <w:sz w:val="22"/>
          <w:szCs w:val="22"/>
        </w:rPr>
        <w:t>3</w:t>
      </w:r>
      <w:r w:rsidRPr="003070E2">
        <w:rPr>
          <w:b/>
          <w:bCs/>
          <w:color w:val="153D63" w:themeColor="text2" w:themeTint="E6"/>
          <w:sz w:val="22"/>
          <w:szCs w:val="22"/>
        </w:rPr>
        <w:t xml:space="preserve"> Supporting the </w:t>
      </w:r>
      <w:r w:rsidRPr="003070E2">
        <w:rPr>
          <w:b/>
          <w:bCs/>
          <w:color w:val="153D63" w:themeColor="text2" w:themeTint="E6"/>
          <w:sz w:val="22"/>
          <w:szCs w:val="22"/>
        </w:rPr>
        <w:t>t</w:t>
      </w:r>
      <w:r w:rsidRPr="003070E2">
        <w:rPr>
          <w:b/>
          <w:bCs/>
          <w:color w:val="153D63" w:themeColor="text2" w:themeTint="E6"/>
          <w:sz w:val="22"/>
          <w:szCs w:val="22"/>
        </w:rPr>
        <w:t xml:space="preserve">ourism </w:t>
      </w:r>
      <w:r w:rsidRPr="003070E2">
        <w:rPr>
          <w:b/>
          <w:bCs/>
          <w:color w:val="153D63" w:themeColor="text2" w:themeTint="E6"/>
          <w:sz w:val="22"/>
          <w:szCs w:val="22"/>
        </w:rPr>
        <w:t>w</w:t>
      </w:r>
      <w:r w:rsidRPr="003070E2">
        <w:rPr>
          <w:b/>
          <w:bCs/>
          <w:color w:val="153D63" w:themeColor="text2" w:themeTint="E6"/>
          <w:sz w:val="22"/>
          <w:szCs w:val="22"/>
        </w:rPr>
        <w:t>orkforce</w:t>
      </w:r>
    </w:p>
    <w:p w:rsidR="000366AE" w:rsidRPr="003070E2" w:rsidP="0031450F">
      <w:pPr>
        <w:spacing w:before="80" w:after="120" w:line="276" w:lineRule="auto"/>
        <w:jc w:val="both"/>
        <w:rPr>
          <w:sz w:val="22"/>
          <w:szCs w:val="22"/>
        </w:rPr>
      </w:pPr>
      <w:r>
        <w:rPr>
          <w:sz w:val="22"/>
          <w:szCs w:val="22"/>
        </w:rPr>
        <w:t>As well as</w:t>
      </w:r>
      <w:r w:rsidRPr="003070E2">
        <w:rPr>
          <w:sz w:val="22"/>
          <w:szCs w:val="22"/>
        </w:rPr>
        <w:t xml:space="preserve"> visitors being able to reach destinations, t</w:t>
      </w:r>
      <w:r>
        <w:rPr>
          <w:sz w:val="22"/>
          <w:szCs w:val="22"/>
        </w:rPr>
        <w:t>he tourism industry also relies</w:t>
      </w:r>
      <w:r w:rsidRPr="003070E2">
        <w:rPr>
          <w:sz w:val="22"/>
          <w:szCs w:val="22"/>
        </w:rPr>
        <w:t xml:space="preserve"> on workers being able to reach the jobs that serve them. </w:t>
      </w:r>
      <w:r w:rsidRPr="003070E2">
        <w:rPr>
          <w:sz w:val="22"/>
          <w:szCs w:val="22"/>
        </w:rPr>
        <w:t xml:space="preserve">An example of this is </w:t>
      </w:r>
      <w:r w:rsidRPr="003070E2">
        <w:rPr>
          <w:sz w:val="22"/>
          <w:szCs w:val="22"/>
        </w:rPr>
        <w:t xml:space="preserve">Go-Ahead's Metrobus services in Sussex have been designed with Gatwick Airport's shift patterns in mind, operating around the clock to ensure that the tens of thousands of people who work at one of Europe's busiest airports in hotels, terminals and logistics can get to work reliably at any hour. </w:t>
      </w:r>
    </w:p>
    <w:p w:rsidR="000366AE" w:rsidRPr="003070E2" w:rsidP="0031450F">
      <w:pPr>
        <w:spacing w:before="80" w:after="120" w:line="276" w:lineRule="auto"/>
        <w:jc w:val="both"/>
        <w:rPr>
          <w:b/>
          <w:bCs/>
          <w:color w:val="153D63" w:themeColor="text2" w:themeTint="E6"/>
          <w:sz w:val="22"/>
          <w:szCs w:val="22"/>
        </w:rPr>
      </w:pPr>
      <w:r>
        <w:rPr>
          <w:b/>
          <w:bCs/>
          <w:color w:val="153D63" w:themeColor="text2" w:themeTint="E6"/>
          <w:sz w:val="22"/>
          <w:szCs w:val="22"/>
        </w:rPr>
        <w:t>3</w:t>
      </w:r>
      <w:r w:rsidRPr="003070E2">
        <w:rPr>
          <w:b/>
          <w:bCs/>
          <w:color w:val="153D63" w:themeColor="text2" w:themeTint="E6"/>
          <w:sz w:val="22"/>
          <w:szCs w:val="22"/>
        </w:rPr>
        <w:t>.</w:t>
      </w:r>
      <w:r w:rsidRPr="003070E2">
        <w:rPr>
          <w:b/>
          <w:bCs/>
          <w:color w:val="153D63" w:themeColor="text2" w:themeTint="E6"/>
          <w:sz w:val="22"/>
          <w:szCs w:val="22"/>
        </w:rPr>
        <w:t>4</w:t>
      </w:r>
      <w:r w:rsidRPr="003070E2">
        <w:rPr>
          <w:b/>
          <w:bCs/>
          <w:color w:val="153D63" w:themeColor="text2" w:themeTint="E6"/>
          <w:sz w:val="22"/>
          <w:szCs w:val="22"/>
        </w:rPr>
        <w:t xml:space="preserve"> Creating </w:t>
      </w:r>
      <w:r w:rsidRPr="003070E2">
        <w:rPr>
          <w:b/>
          <w:bCs/>
          <w:color w:val="153D63" w:themeColor="text2" w:themeTint="E6"/>
          <w:sz w:val="22"/>
          <w:szCs w:val="22"/>
        </w:rPr>
        <w:t>s</w:t>
      </w:r>
      <w:r w:rsidRPr="003070E2">
        <w:rPr>
          <w:b/>
          <w:bCs/>
          <w:color w:val="153D63" w:themeColor="text2" w:themeTint="E6"/>
          <w:sz w:val="22"/>
          <w:szCs w:val="22"/>
        </w:rPr>
        <w:t xml:space="preserve">eamless </w:t>
      </w:r>
      <w:r w:rsidRPr="003070E2">
        <w:rPr>
          <w:b/>
          <w:bCs/>
          <w:color w:val="153D63" w:themeColor="text2" w:themeTint="E6"/>
          <w:sz w:val="22"/>
          <w:szCs w:val="22"/>
        </w:rPr>
        <w:t>t</w:t>
      </w:r>
      <w:r w:rsidRPr="003070E2">
        <w:rPr>
          <w:b/>
          <w:bCs/>
          <w:color w:val="153D63" w:themeColor="text2" w:themeTint="E6"/>
          <w:sz w:val="22"/>
          <w:szCs w:val="22"/>
        </w:rPr>
        <w:t>hrough-</w:t>
      </w:r>
      <w:r w:rsidRPr="003070E2">
        <w:rPr>
          <w:b/>
          <w:bCs/>
          <w:color w:val="153D63" w:themeColor="text2" w:themeTint="E6"/>
          <w:sz w:val="22"/>
          <w:szCs w:val="22"/>
        </w:rPr>
        <w:t>l</w:t>
      </w:r>
      <w:r w:rsidRPr="003070E2">
        <w:rPr>
          <w:b/>
          <w:bCs/>
          <w:color w:val="153D63" w:themeColor="text2" w:themeTint="E6"/>
          <w:sz w:val="22"/>
          <w:szCs w:val="22"/>
        </w:rPr>
        <w:t>inks</w:t>
      </w:r>
    </w:p>
    <w:p w:rsidR="000366AE" w:rsidRPr="003070E2" w:rsidP="0031450F">
      <w:pPr>
        <w:spacing w:before="80" w:after="120" w:line="276" w:lineRule="auto"/>
        <w:jc w:val="both"/>
        <w:rPr>
          <w:sz w:val="22"/>
          <w:szCs w:val="22"/>
        </w:rPr>
      </w:pPr>
      <w:r w:rsidRPr="003070E2">
        <w:rPr>
          <w:sz w:val="22"/>
          <w:szCs w:val="22"/>
        </w:rPr>
        <w:t xml:space="preserve">Tourists rarely want to think about which operator runs which service. What they need is a journey that works end to end. Go-Ahead has worked with rail operators to create genuine through-connections that make this possible. </w:t>
      </w:r>
      <w:r w:rsidRPr="003070E2">
        <w:rPr>
          <w:sz w:val="22"/>
          <w:szCs w:val="22"/>
        </w:rPr>
        <w:t>For example,</w:t>
      </w:r>
      <w:r w:rsidRPr="003070E2">
        <w:rPr>
          <w:sz w:val="22"/>
          <w:szCs w:val="22"/>
        </w:rPr>
        <w:t xml:space="preserve"> working with </w:t>
      </w:r>
      <w:r w:rsidRPr="003070E2">
        <w:rPr>
          <w:sz w:val="22"/>
          <w:szCs w:val="22"/>
        </w:rPr>
        <w:t>South Western</w:t>
      </w:r>
      <w:r w:rsidRPr="003070E2">
        <w:rPr>
          <w:sz w:val="22"/>
          <w:szCs w:val="22"/>
        </w:rPr>
        <w:t xml:space="preserve"> Railway, Go South Coast delivered a new bus-rail interchange and extended </w:t>
      </w:r>
      <w:r w:rsidRPr="003070E2">
        <w:rPr>
          <w:sz w:val="22"/>
          <w:szCs w:val="22"/>
        </w:rPr>
        <w:t>our</w:t>
      </w:r>
      <w:r w:rsidRPr="003070E2">
        <w:rPr>
          <w:sz w:val="22"/>
          <w:szCs w:val="22"/>
        </w:rPr>
        <w:t xml:space="preserve"> X3 service to terminate directly at the station, providing a seamless link for visitors travelling along the south coast corridor. In Oxford, </w:t>
      </w:r>
      <w:r w:rsidRPr="003070E2">
        <w:rPr>
          <w:sz w:val="22"/>
          <w:szCs w:val="22"/>
        </w:rPr>
        <w:t xml:space="preserve">our </w:t>
      </w:r>
      <w:r w:rsidRPr="003070E2">
        <w:rPr>
          <w:sz w:val="22"/>
          <w:szCs w:val="22"/>
        </w:rPr>
        <w:t>connections to GWR services at Didcot Parkway mean that rail passengers can continue directly into the city.</w:t>
      </w:r>
    </w:p>
    <w:p w:rsidR="000366AE" w:rsidRPr="003070E2" w:rsidP="0031450F">
      <w:pPr>
        <w:spacing w:before="80" w:after="120" w:line="276" w:lineRule="auto"/>
        <w:jc w:val="both"/>
        <w:rPr>
          <w:b/>
          <w:bCs/>
          <w:color w:val="153D63" w:themeColor="text2" w:themeTint="E6"/>
          <w:sz w:val="22"/>
          <w:szCs w:val="22"/>
        </w:rPr>
      </w:pPr>
      <w:r>
        <w:rPr>
          <w:b/>
          <w:bCs/>
          <w:color w:val="153D63" w:themeColor="text2" w:themeTint="E6"/>
          <w:sz w:val="22"/>
          <w:szCs w:val="22"/>
        </w:rPr>
        <w:t>3</w:t>
      </w:r>
      <w:r w:rsidRPr="003070E2">
        <w:rPr>
          <w:b/>
          <w:bCs/>
          <w:color w:val="153D63" w:themeColor="text2" w:themeTint="E6"/>
          <w:sz w:val="22"/>
          <w:szCs w:val="22"/>
        </w:rPr>
        <w:t>.</w:t>
      </w:r>
      <w:r w:rsidRPr="003070E2">
        <w:rPr>
          <w:b/>
          <w:bCs/>
          <w:color w:val="153D63" w:themeColor="text2" w:themeTint="E6"/>
          <w:sz w:val="22"/>
          <w:szCs w:val="22"/>
        </w:rPr>
        <w:t>5</w:t>
      </w:r>
      <w:r w:rsidRPr="003070E2">
        <w:rPr>
          <w:b/>
          <w:bCs/>
          <w:color w:val="153D63" w:themeColor="text2" w:themeTint="E6"/>
          <w:sz w:val="22"/>
          <w:szCs w:val="22"/>
        </w:rPr>
        <w:t xml:space="preserve"> Integrated </w:t>
      </w:r>
      <w:r w:rsidRPr="003070E2">
        <w:rPr>
          <w:b/>
          <w:bCs/>
          <w:color w:val="153D63" w:themeColor="text2" w:themeTint="E6"/>
          <w:sz w:val="22"/>
          <w:szCs w:val="22"/>
        </w:rPr>
        <w:t>t</w:t>
      </w:r>
      <w:r w:rsidRPr="003070E2">
        <w:rPr>
          <w:b/>
          <w:bCs/>
          <w:color w:val="153D63" w:themeColor="text2" w:themeTint="E6"/>
          <w:sz w:val="22"/>
          <w:szCs w:val="22"/>
        </w:rPr>
        <w:t>icketing</w:t>
      </w:r>
    </w:p>
    <w:p w:rsidR="000366AE" w:rsidRPr="00AC022A" w:rsidP="0031450F">
      <w:pPr>
        <w:shd w:val="clear" w:color="auto" w:fill="FFFFFF"/>
        <w:spacing w:after="300" w:line="276" w:lineRule="auto"/>
        <w:rPr>
          <w:color w:val="0B0C0C"/>
          <w:lang w:eastAsia="en-GB"/>
        </w:rPr>
      </w:pPr>
      <w:r w:rsidRPr="003070E2">
        <w:rPr>
          <w:sz w:val="22"/>
          <w:szCs w:val="22"/>
        </w:rPr>
        <w:t xml:space="preserve">For domestic visitors, navigating multiple operators and ticket types is a persistent barrier to choosing public transport. For international visitors, it can be decisive. Go-Ahead has long been a supporter of integrated ticketing schemes that make travel simpler to understand and easier to buy. </w:t>
      </w:r>
      <w:r>
        <w:rPr>
          <w:sz w:val="22"/>
          <w:szCs w:val="22"/>
        </w:rPr>
        <w:t xml:space="preserve">We </w:t>
      </w:r>
      <w:r>
        <w:rPr>
          <w:sz w:val="22"/>
          <w:szCs w:val="22"/>
        </w:rPr>
        <w:t>have been involved in Project Coral</w:t>
      </w:r>
      <w:r>
        <w:rPr>
          <w:sz w:val="22"/>
          <w:szCs w:val="22"/>
        </w:rPr>
        <w:t xml:space="preserve">, a </w:t>
      </w:r>
      <w:r>
        <w:rPr>
          <w:sz w:val="22"/>
          <w:szCs w:val="22"/>
        </w:rPr>
        <w:t xml:space="preserve">technology solution that </w:t>
      </w:r>
      <w:r>
        <w:rPr>
          <w:sz w:val="22"/>
          <w:szCs w:val="22"/>
        </w:rPr>
        <w:t>is de</w:t>
      </w:r>
      <w:r>
        <w:rPr>
          <w:sz w:val="22"/>
          <w:szCs w:val="22"/>
        </w:rPr>
        <w:t>signed to facilitate multi-operator ticketing on buses and trams</w:t>
      </w:r>
      <w:r>
        <w:rPr>
          <w:sz w:val="22"/>
          <w:szCs w:val="22"/>
        </w:rPr>
        <w:t xml:space="preserve">, from the beginning. </w:t>
      </w:r>
      <w:r>
        <w:rPr>
          <w:sz w:val="22"/>
          <w:szCs w:val="22"/>
        </w:rPr>
        <w:t>E</w:t>
      </w:r>
      <w:r>
        <w:rPr>
          <w:sz w:val="22"/>
          <w:szCs w:val="22"/>
        </w:rPr>
        <w:t>xample</w:t>
      </w:r>
      <w:r>
        <w:rPr>
          <w:sz w:val="22"/>
          <w:szCs w:val="22"/>
        </w:rPr>
        <w:t>s</w:t>
      </w:r>
      <w:r>
        <w:rPr>
          <w:sz w:val="22"/>
          <w:szCs w:val="22"/>
        </w:rPr>
        <w:t xml:space="preserve"> of </w:t>
      </w:r>
      <w:r>
        <w:rPr>
          <w:sz w:val="22"/>
          <w:szCs w:val="22"/>
        </w:rPr>
        <w:t xml:space="preserve">integrated ticketing </w:t>
      </w:r>
      <w:r>
        <w:rPr>
          <w:sz w:val="22"/>
          <w:szCs w:val="22"/>
        </w:rPr>
        <w:t>working well</w:t>
      </w:r>
      <w:r>
        <w:rPr>
          <w:sz w:val="22"/>
          <w:szCs w:val="22"/>
        </w:rPr>
        <w:t xml:space="preserve"> are</w:t>
      </w:r>
      <w:r>
        <w:rPr>
          <w:sz w:val="22"/>
          <w:szCs w:val="22"/>
        </w:rPr>
        <w:t xml:space="preserve"> </w:t>
      </w:r>
      <w:r>
        <w:rPr>
          <w:sz w:val="22"/>
          <w:szCs w:val="22"/>
        </w:rPr>
        <w:t>in</w:t>
      </w:r>
      <w:r w:rsidRPr="003070E2">
        <w:rPr>
          <w:sz w:val="22"/>
          <w:szCs w:val="22"/>
        </w:rPr>
        <w:t xml:space="preserve"> the </w:t>
      </w:r>
      <w:r w:rsidRPr="003070E2">
        <w:rPr>
          <w:sz w:val="22"/>
          <w:szCs w:val="22"/>
        </w:rPr>
        <w:t>North East</w:t>
      </w:r>
      <w:r>
        <w:rPr>
          <w:sz w:val="22"/>
          <w:szCs w:val="22"/>
        </w:rPr>
        <w:t xml:space="preserve"> where we</w:t>
      </w:r>
      <w:r w:rsidRPr="003070E2">
        <w:rPr>
          <w:sz w:val="22"/>
          <w:szCs w:val="22"/>
        </w:rPr>
        <w:t xml:space="preserve"> participate in the Network One multi-operator scheme which covers buses, Metro, ferries and National Rail under a single ticket</w:t>
      </w:r>
      <w:r>
        <w:rPr>
          <w:sz w:val="22"/>
          <w:szCs w:val="22"/>
        </w:rPr>
        <w:t xml:space="preserve"> and in</w:t>
      </w:r>
      <w:r w:rsidRPr="003070E2">
        <w:rPr>
          <w:sz w:val="22"/>
          <w:szCs w:val="22"/>
        </w:rPr>
        <w:t xml:space="preserve"> Oxford, the </w:t>
      </w:r>
      <w:r w:rsidRPr="003070E2">
        <w:rPr>
          <w:sz w:val="22"/>
          <w:szCs w:val="22"/>
        </w:rPr>
        <w:t>Smartzone</w:t>
      </w:r>
      <w:r w:rsidRPr="003070E2">
        <w:rPr>
          <w:sz w:val="22"/>
          <w:szCs w:val="22"/>
        </w:rPr>
        <w:t xml:space="preserve"> scheme </w:t>
      </w:r>
      <w:r>
        <w:rPr>
          <w:sz w:val="22"/>
          <w:szCs w:val="22"/>
        </w:rPr>
        <w:t xml:space="preserve">which </w:t>
      </w:r>
      <w:r w:rsidRPr="003070E2">
        <w:rPr>
          <w:sz w:val="22"/>
          <w:szCs w:val="22"/>
        </w:rPr>
        <w:t xml:space="preserve">brings coordinated networks, shared livery and interchangeable ticketing across operators. </w:t>
      </w:r>
    </w:p>
    <w:p w:rsidR="000366AE" w:rsidRPr="003070E2" w:rsidP="0031450F">
      <w:pPr>
        <w:spacing w:before="80" w:after="120" w:line="276" w:lineRule="auto"/>
        <w:jc w:val="both"/>
      </w:pPr>
      <w:r w:rsidRPr="003070E2">
        <w:rPr>
          <w:sz w:val="22"/>
          <w:szCs w:val="22"/>
        </w:rPr>
        <w:t>These examples represent best practice in integrated tourism connectivity. We believe Government and VisitBritain should work with transport operators to map and promote such integrated routes</w:t>
      </w:r>
      <w:r w:rsidRPr="003070E2">
        <w:rPr>
          <w:sz w:val="22"/>
          <w:szCs w:val="22"/>
        </w:rPr>
        <w:t xml:space="preserve">. </w:t>
      </w:r>
    </w:p>
    <w:p w:rsidR="000366AE" w:rsidRPr="003070E2" w:rsidP="0031450F">
      <w:pPr>
        <w:pStyle w:val="Heading1"/>
        <w:spacing w:before="320" w:after="160" w:line="276" w:lineRule="auto"/>
        <w:rPr>
          <w:rFonts w:ascii="Arial" w:hAnsi="Arial" w:cs="Arial"/>
        </w:rPr>
      </w:pPr>
      <w:r>
        <w:rPr>
          <w:rFonts w:ascii="Arial" w:eastAsia="Arial" w:hAnsi="Arial" w:cs="Arial"/>
          <w:b/>
          <w:bCs/>
          <w:color w:val="1A3C6E"/>
          <w:sz w:val="28"/>
          <w:szCs w:val="28"/>
        </w:rPr>
        <w:t>4</w:t>
      </w:r>
      <w:r w:rsidRPr="003070E2">
        <w:rPr>
          <w:rFonts w:ascii="Arial" w:eastAsia="Arial" w:hAnsi="Arial" w:cs="Arial"/>
          <w:b/>
          <w:bCs/>
          <w:color w:val="1A3C6E"/>
          <w:sz w:val="28"/>
          <w:szCs w:val="28"/>
        </w:rPr>
        <w:t xml:space="preserve">. The </w:t>
      </w:r>
      <w:r w:rsidRPr="003070E2">
        <w:rPr>
          <w:rFonts w:ascii="Arial" w:eastAsia="Arial" w:hAnsi="Arial" w:cs="Arial"/>
          <w:b/>
          <w:bCs/>
          <w:color w:val="1A3C6E"/>
          <w:sz w:val="28"/>
          <w:szCs w:val="28"/>
        </w:rPr>
        <w:t>p</w:t>
      </w:r>
      <w:r w:rsidRPr="003070E2">
        <w:rPr>
          <w:rFonts w:ascii="Arial" w:eastAsia="Arial" w:hAnsi="Arial" w:cs="Arial"/>
          <w:b/>
          <w:bCs/>
          <w:color w:val="1A3C6E"/>
          <w:sz w:val="28"/>
          <w:szCs w:val="28"/>
        </w:rPr>
        <w:t xml:space="preserve">olicy </w:t>
      </w:r>
      <w:r w:rsidRPr="003070E2">
        <w:rPr>
          <w:rFonts w:ascii="Arial" w:eastAsia="Arial" w:hAnsi="Arial" w:cs="Arial"/>
          <w:b/>
          <w:bCs/>
          <w:color w:val="1A3C6E"/>
          <w:sz w:val="28"/>
          <w:szCs w:val="28"/>
        </w:rPr>
        <w:t>c</w:t>
      </w:r>
      <w:r w:rsidRPr="003070E2">
        <w:rPr>
          <w:rFonts w:ascii="Arial" w:eastAsia="Arial" w:hAnsi="Arial" w:cs="Arial"/>
          <w:b/>
          <w:bCs/>
          <w:color w:val="1A3C6E"/>
          <w:sz w:val="28"/>
          <w:szCs w:val="28"/>
        </w:rPr>
        <w:t xml:space="preserve">onditions for </w:t>
      </w:r>
      <w:r w:rsidRPr="003070E2">
        <w:rPr>
          <w:rFonts w:ascii="Arial" w:eastAsia="Arial" w:hAnsi="Arial" w:cs="Arial"/>
          <w:b/>
          <w:bCs/>
          <w:color w:val="1A3C6E"/>
          <w:sz w:val="28"/>
          <w:szCs w:val="28"/>
        </w:rPr>
        <w:t>t</w:t>
      </w:r>
      <w:r w:rsidRPr="003070E2">
        <w:rPr>
          <w:rFonts w:ascii="Arial" w:eastAsia="Arial" w:hAnsi="Arial" w:cs="Arial"/>
          <w:b/>
          <w:bCs/>
          <w:color w:val="1A3C6E"/>
          <w:sz w:val="28"/>
          <w:szCs w:val="28"/>
        </w:rPr>
        <w:t xml:space="preserve">ourism to </w:t>
      </w:r>
      <w:r w:rsidRPr="003070E2">
        <w:rPr>
          <w:rFonts w:ascii="Arial" w:eastAsia="Arial" w:hAnsi="Arial" w:cs="Arial"/>
          <w:b/>
          <w:bCs/>
          <w:color w:val="1A3C6E"/>
          <w:sz w:val="28"/>
          <w:szCs w:val="28"/>
        </w:rPr>
        <w:t>t</w:t>
      </w:r>
      <w:r w:rsidRPr="003070E2">
        <w:rPr>
          <w:rFonts w:ascii="Arial" w:eastAsia="Arial" w:hAnsi="Arial" w:cs="Arial"/>
          <w:b/>
          <w:bCs/>
          <w:color w:val="1A3C6E"/>
          <w:sz w:val="28"/>
          <w:szCs w:val="28"/>
        </w:rPr>
        <w:t>hrive</w:t>
      </w:r>
    </w:p>
    <w:p w:rsidR="000366AE" w:rsidP="0031450F">
      <w:pPr>
        <w:spacing w:before="80" w:after="120" w:line="276" w:lineRule="auto"/>
        <w:jc w:val="both"/>
        <w:rPr>
          <w:sz w:val="22"/>
          <w:szCs w:val="22"/>
        </w:rPr>
      </w:pPr>
      <w:r w:rsidRPr="003070E2">
        <w:rPr>
          <w:sz w:val="22"/>
          <w:szCs w:val="22"/>
        </w:rPr>
        <w:t>Go-Ahead recognises the Government’s ambitions for the tourism sector and shares its commitment to growing visitor numbers and spreading their economic benefits across the country. To achieve this, the conditions for public transport</w:t>
      </w:r>
      <w:r w:rsidRPr="003070E2">
        <w:rPr>
          <w:sz w:val="22"/>
          <w:szCs w:val="22"/>
        </w:rPr>
        <w:t xml:space="preserve"> </w:t>
      </w:r>
      <w:r w:rsidRPr="003070E2">
        <w:rPr>
          <w:sz w:val="22"/>
          <w:szCs w:val="22"/>
        </w:rPr>
        <w:t>must be right.</w:t>
      </w:r>
      <w:r w:rsidRPr="35A3F787">
        <w:rPr>
          <w:sz w:val="22"/>
          <w:szCs w:val="22"/>
        </w:rPr>
        <w:t xml:space="preserve"> </w:t>
      </w:r>
    </w:p>
    <w:p w:rsidR="000366AE" w:rsidP="0031450F">
      <w:pPr>
        <w:spacing w:before="80" w:after="120" w:line="276" w:lineRule="auto"/>
        <w:jc w:val="both"/>
        <w:rPr>
          <w:sz w:val="22"/>
          <w:szCs w:val="22"/>
        </w:rPr>
      </w:pPr>
      <w:r w:rsidRPr="00090586">
        <w:rPr>
          <w:b/>
          <w:bCs/>
          <w:color w:val="153D63" w:themeColor="text2" w:themeTint="E6"/>
          <w:sz w:val="22"/>
          <w:szCs w:val="22"/>
        </w:rPr>
        <w:t>41.</w:t>
      </w:r>
      <w:r w:rsidRPr="00090586">
        <w:rPr>
          <w:color w:val="153D63" w:themeColor="text2" w:themeTint="E6"/>
          <w:sz w:val="22"/>
          <w:szCs w:val="22"/>
        </w:rPr>
        <w:t xml:space="preserve"> </w:t>
      </w:r>
      <w:r w:rsidRPr="008B5C62">
        <w:rPr>
          <w:sz w:val="22"/>
          <w:szCs w:val="22"/>
        </w:rPr>
        <w:t>Government should work with VisitBritain, VisitEngland, transport operators and local authorities to</w:t>
      </w:r>
      <w:r>
        <w:rPr>
          <w:sz w:val="22"/>
          <w:szCs w:val="22"/>
        </w:rPr>
        <w:t xml:space="preserve"> </w:t>
      </w:r>
      <w:r w:rsidRPr="008B5C62">
        <w:rPr>
          <w:sz w:val="22"/>
          <w:szCs w:val="22"/>
        </w:rPr>
        <w:t>that identif</w:t>
      </w:r>
      <w:r>
        <w:rPr>
          <w:sz w:val="22"/>
          <w:szCs w:val="22"/>
        </w:rPr>
        <w:t>y</w:t>
      </w:r>
      <w:r w:rsidRPr="008B5C62">
        <w:rPr>
          <w:sz w:val="22"/>
          <w:szCs w:val="22"/>
        </w:rPr>
        <w:t xml:space="preserve"> the critical connectivity corridors linking visitors to major destinations, maps gaps in provision and set out a plan to address them.</w:t>
      </w:r>
    </w:p>
    <w:p w:rsidR="000366AE" w:rsidP="0031450F">
      <w:pPr>
        <w:spacing w:before="80" w:after="120" w:line="276" w:lineRule="auto"/>
        <w:jc w:val="both"/>
        <w:rPr>
          <w:sz w:val="22"/>
          <w:szCs w:val="22"/>
        </w:rPr>
      </w:pPr>
      <w:r w:rsidRPr="00090586">
        <w:rPr>
          <w:b/>
          <w:bCs/>
          <w:color w:val="153D63" w:themeColor="text2" w:themeTint="E6"/>
          <w:sz w:val="22"/>
          <w:szCs w:val="22"/>
        </w:rPr>
        <w:t>4.2</w:t>
      </w:r>
      <w:r w:rsidRPr="00090586">
        <w:rPr>
          <w:color w:val="153D63" w:themeColor="text2" w:themeTint="E6"/>
          <w:sz w:val="22"/>
          <w:szCs w:val="22"/>
        </w:rPr>
        <w:t xml:space="preserve"> </w:t>
      </w:r>
      <w:r w:rsidRPr="00997C25">
        <w:rPr>
          <w:sz w:val="22"/>
          <w:szCs w:val="22"/>
        </w:rPr>
        <w:t>Government should set an ambition for every major visitor destination in England to be served by an integrated ticketing offer combining bus, rail and where relevant ferry services that a visitor can purchase in a single transaction, including before they arrive in the UK. VisitBritain should actively promote such schemes as part of its international marketing, so that ease of travel becomes part of the UK's offer to prospective visitors.</w:t>
      </w:r>
    </w:p>
    <w:p w:rsidR="000366AE" w:rsidRPr="002955C9" w:rsidP="0031450F">
      <w:pPr>
        <w:spacing w:before="80" w:after="120" w:line="276" w:lineRule="auto"/>
        <w:jc w:val="both"/>
        <w:rPr>
          <w:sz w:val="22"/>
          <w:szCs w:val="22"/>
        </w:rPr>
      </w:pPr>
      <w:r w:rsidRPr="00090586">
        <w:rPr>
          <w:b/>
          <w:bCs/>
          <w:color w:val="153D63" w:themeColor="text2" w:themeTint="E6"/>
          <w:sz w:val="22"/>
          <w:szCs w:val="22"/>
        </w:rPr>
        <w:t>4.3</w:t>
      </w:r>
      <w:r w:rsidRPr="00090586">
        <w:rPr>
          <w:color w:val="153D63" w:themeColor="text2" w:themeTint="E6"/>
          <w:sz w:val="22"/>
          <w:szCs w:val="22"/>
        </w:rPr>
        <w:t xml:space="preserve"> </w:t>
      </w:r>
      <w:r>
        <w:rPr>
          <w:sz w:val="22"/>
          <w:szCs w:val="22"/>
        </w:rPr>
        <w:t xml:space="preserve">The Department for Culture, Media and Sport </w:t>
      </w:r>
      <w:r w:rsidRPr="00A722A0">
        <w:rPr>
          <w:sz w:val="22"/>
          <w:szCs w:val="22"/>
        </w:rPr>
        <w:t>plays a significant role in distributing tourism-related funding and supporting destination development across the country. Embedding transport connectivity into the criteria by which tourism investment is assessed would help ensure that public money delivers the broadest possible benefit.</w:t>
      </w:r>
      <w:r>
        <w:rPr>
          <w:sz w:val="22"/>
          <w:szCs w:val="22"/>
        </w:rPr>
        <w:t xml:space="preserve"> Where new destinations are being developed, to make the process as seamless as possible, transport operators should also be involved from the beginning so that connectivity is </w:t>
      </w:r>
      <w:r>
        <w:rPr>
          <w:sz w:val="22"/>
          <w:szCs w:val="22"/>
        </w:rPr>
        <w:t xml:space="preserve">built in by design. </w:t>
      </w:r>
    </w:p>
    <w:p w:rsidR="000366AE" w:rsidRPr="003070E2" w:rsidP="0031450F">
      <w:pPr>
        <w:pStyle w:val="Heading2"/>
        <w:spacing w:before="240" w:after="120" w:line="276" w:lineRule="auto"/>
        <w:rPr>
          <w:rFonts w:ascii="Arial" w:hAnsi="Arial" w:cs="Arial"/>
        </w:rPr>
      </w:pPr>
      <w:r w:rsidRPr="003070E2">
        <w:rPr>
          <w:rFonts w:ascii="Arial" w:eastAsia="Arial" w:hAnsi="Arial" w:cs="Arial"/>
          <w:b/>
          <w:bCs/>
          <w:color w:val="1A3C6E"/>
          <w:sz w:val="28"/>
          <w:szCs w:val="28"/>
        </w:rPr>
        <w:t>Conclusion</w:t>
      </w:r>
    </w:p>
    <w:p w:rsidR="000366AE" w:rsidRPr="003070E2" w:rsidP="0031450F">
      <w:pPr>
        <w:spacing w:before="80" w:after="120" w:line="276" w:lineRule="auto"/>
        <w:jc w:val="both"/>
      </w:pPr>
      <w:r w:rsidRPr="003070E2">
        <w:rPr>
          <w:sz w:val="22"/>
          <w:szCs w:val="22"/>
        </w:rPr>
        <w:t>Public transport and tourism are inextricably linked. The UK’s ambition to welcome 50 million overseas visitors by 2030 and to ensure domestic tourism thrives</w:t>
      </w:r>
      <w:r w:rsidRPr="003070E2">
        <w:rPr>
          <w:sz w:val="22"/>
          <w:szCs w:val="22"/>
        </w:rPr>
        <w:t>,</w:t>
      </w:r>
      <w:r w:rsidRPr="003070E2">
        <w:rPr>
          <w:sz w:val="22"/>
          <w:szCs w:val="22"/>
        </w:rPr>
        <w:t xml:space="preserve"> will only be achieved if visitors can get to and around our </w:t>
      </w:r>
      <w:r w:rsidRPr="003070E2">
        <w:rPr>
          <w:sz w:val="22"/>
          <w:szCs w:val="22"/>
        </w:rPr>
        <w:t xml:space="preserve">visitor </w:t>
      </w:r>
      <w:r w:rsidRPr="003070E2">
        <w:rPr>
          <w:sz w:val="22"/>
          <w:szCs w:val="22"/>
        </w:rPr>
        <w:t>destinations easily</w:t>
      </w:r>
      <w:r w:rsidRPr="003070E2">
        <w:rPr>
          <w:sz w:val="22"/>
          <w:szCs w:val="22"/>
        </w:rPr>
        <w:t xml:space="preserve"> and </w:t>
      </w:r>
      <w:r>
        <w:rPr>
          <w:sz w:val="22"/>
          <w:szCs w:val="22"/>
        </w:rPr>
        <w:t>f</w:t>
      </w:r>
      <w:r>
        <w:rPr>
          <w:sz w:val="22"/>
          <w:szCs w:val="22"/>
        </w:rPr>
        <w:t>or</w:t>
      </w:r>
      <w:r w:rsidRPr="003070E2">
        <w:rPr>
          <w:sz w:val="22"/>
          <w:szCs w:val="22"/>
        </w:rPr>
        <w:t xml:space="preserve"> good value</w:t>
      </w:r>
      <w:r w:rsidRPr="003070E2">
        <w:rPr>
          <w:sz w:val="22"/>
          <w:szCs w:val="22"/>
        </w:rPr>
        <w:t>.</w:t>
      </w:r>
    </w:p>
    <w:p w:rsidR="000366AE" w:rsidRPr="003070E2" w:rsidP="0031450F">
      <w:pPr>
        <w:spacing w:before="80" w:after="120" w:line="276" w:lineRule="auto"/>
        <w:jc w:val="both"/>
      </w:pPr>
      <w:r w:rsidRPr="003070E2">
        <w:rPr>
          <w:sz w:val="22"/>
          <w:szCs w:val="22"/>
        </w:rPr>
        <w:t>Go-Ahead Group is already a significant enabler of tourism, connecting 2.8 million tourists to iconic destinations and supporting £125 million in visitor spending annually. We are committed to going further through zero-emission investment</w:t>
      </w:r>
      <w:r w:rsidRPr="003070E2">
        <w:rPr>
          <w:sz w:val="22"/>
          <w:szCs w:val="22"/>
        </w:rPr>
        <w:t xml:space="preserve"> and</w:t>
      </w:r>
      <w:r w:rsidRPr="003070E2">
        <w:rPr>
          <w:sz w:val="22"/>
          <w:szCs w:val="22"/>
        </w:rPr>
        <w:t xml:space="preserve"> integrated multimodal </w:t>
      </w:r>
      <w:r w:rsidRPr="003070E2">
        <w:rPr>
          <w:sz w:val="22"/>
          <w:szCs w:val="22"/>
        </w:rPr>
        <w:t>services</w:t>
      </w:r>
      <w:r w:rsidRPr="003070E2">
        <w:rPr>
          <w:sz w:val="22"/>
          <w:szCs w:val="22"/>
        </w:rPr>
        <w:t xml:space="preserve"> but we need stable, long-term policy conditions and </w:t>
      </w:r>
      <w:r w:rsidRPr="003070E2">
        <w:rPr>
          <w:sz w:val="22"/>
          <w:szCs w:val="22"/>
        </w:rPr>
        <w:t>g</w:t>
      </w:r>
      <w:r w:rsidRPr="003070E2">
        <w:rPr>
          <w:sz w:val="22"/>
          <w:szCs w:val="22"/>
        </w:rPr>
        <w:t>overnment partnership to do so.</w:t>
      </w:r>
    </w:p>
    <w:p w:rsidR="000366AE" w:rsidRPr="003070E2" w:rsidP="0031450F">
      <w:pPr>
        <w:spacing w:before="80" w:after="120" w:line="276" w:lineRule="auto"/>
        <w:jc w:val="both"/>
      </w:pPr>
      <w:r w:rsidRPr="003070E2">
        <w:rPr>
          <w:sz w:val="22"/>
          <w:szCs w:val="22"/>
        </w:rPr>
        <w:t>We are happy to provide any additional information requested.</w:t>
      </w:r>
    </w:p>
    <w:sectPr w:rsidSect="00115215">
      <w:headerReference w:type="default" r:id="rId7"/>
      <w:pgSz w:w="11906" w:h="16838"/>
      <w:pgMar w:top="1440" w:right="1440" w:bottom="1440"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6AE" w:rsidP="00115215">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E38C6"/>
    <w:multiLevelType w:val="hybridMultilevel"/>
    <w:tmpl w:val="2A9AB4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5D1ABD"/>
    <w:multiLevelType w:val="hybridMultilevel"/>
    <w:tmpl w:val="0C407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560CE1"/>
    <w:multiLevelType w:val="hybridMultilevel"/>
    <w:tmpl w:val="49E41E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0673D4"/>
    <w:multiLevelType w:val="hybridMultilevel"/>
    <w:tmpl w:val="D046A36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2070E3"/>
    <w:multiLevelType w:val="hybridMultilevel"/>
    <w:tmpl w:val="70225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DFC49B4"/>
    <w:multiLevelType w:val="hybridMultilevel"/>
    <w:tmpl w:val="825A4C26"/>
    <w:lvl w:ilvl="0">
      <w:start w:val="3"/>
      <w:numFmt w:val="decimal"/>
      <w:lvlText w:val="%1."/>
      <w:lvlJc w:val="left"/>
      <w:pPr>
        <w:ind w:left="720" w:hanging="360"/>
      </w:pPr>
      <w:rPr>
        <w:rFonts w:hint="default"/>
        <w:b/>
        <w:color w:val="0E2841" w:themeColor="text2"/>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6909B7"/>
    <w:multiLevelType w:val="hybridMultilevel"/>
    <w:tmpl w:val="0C407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331D0F"/>
    <w:multiLevelType w:val="hybridMultilevel"/>
    <w:tmpl w:val="2BCEF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4925FFE"/>
    <w:multiLevelType w:val="hybridMultilevel"/>
    <w:tmpl w:val="1A128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4C47DD0"/>
    <w:multiLevelType w:val="hybridMultilevel"/>
    <w:tmpl w:val="70421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B202E14"/>
    <w:multiLevelType w:val="hybridMultilevel"/>
    <w:tmpl w:val="C4C07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88F46F"/>
    <w:multiLevelType w:val="hybridMultilevel"/>
    <w:tmpl w:val="1DD83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60F4C85"/>
    <w:multiLevelType w:val="hybridMultilevel"/>
    <w:tmpl w:val="C4AA33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21BE236"/>
    <w:multiLevelType w:val="hybridMultilevel"/>
    <w:tmpl w:val="4108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8C93BF0"/>
    <w:multiLevelType w:val="hybridMultilevel"/>
    <w:tmpl w:val="603076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F9F92FA"/>
    <w:multiLevelType w:val="hybridMultilevel"/>
    <w:tmpl w:val="6FDA75F8"/>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FAB2496"/>
    <w:multiLevelType w:val="hybridMultilevel"/>
    <w:tmpl w:val="38384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16"/>
  </w:num>
  <w:num w:numId="4">
    <w:abstractNumId w:val="10"/>
  </w:num>
  <w:num w:numId="5">
    <w:abstractNumId w:val="6"/>
  </w:num>
  <w:num w:numId="6">
    <w:abstractNumId w:val="7"/>
  </w:num>
  <w:num w:numId="7">
    <w:abstractNumId w:val="11"/>
  </w:num>
  <w:num w:numId="8">
    <w:abstractNumId w:val="15"/>
  </w:num>
  <w:num w:numId="9">
    <w:abstractNumId w:val="12"/>
  </w:num>
  <w:num w:numId="10">
    <w:abstractNumId w:val="14"/>
  </w:num>
  <w:num w:numId="11">
    <w:abstractNumId w:val="9"/>
  </w:num>
  <w:num w:numId="12">
    <w:abstractNumId w:val="8"/>
  </w:num>
  <w:num w:numId="13">
    <w:abstractNumId w:val="0"/>
  </w:num>
  <w:num w:numId="14">
    <w:abstractNumId w:val="4"/>
  </w:num>
  <w:num w:numId="15">
    <w:abstractNumId w:val="13"/>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68B6DA4E"/>
    <w:rPr>
      <w:rFonts w:ascii="Arial" w:eastAsia="Arial" w:hAnsi="Arial" w:cs="Arial"/>
    </w:rPr>
  </w:style>
  <w:style w:type="paragraph" w:styleId="Heading1">
    <w:name w:val="heading 1"/>
    <w:basedOn w:val="Normal"/>
    <w:next w:val="Normal"/>
    <w:uiPriority w:val="9"/>
    <w:qFormat/>
    <w:rsid w:val="68B6D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8B6D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8B6DA4E"/>
    <w:pPr>
      <w:ind w:left="720"/>
      <w:contextualSpacing/>
    </w:pPr>
  </w:style>
  <w:style w:type="character" w:styleId="Hyperlink">
    <w:name w:val="Hyperlink"/>
    <w:basedOn w:val="DefaultParagraphFont"/>
    <w:uiPriority w:val="99"/>
    <w:unhideWhenUsed/>
    <w:rsid w:val="68B6DA4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169E1"/>
    <w:rPr>
      <w:b/>
      <w:bCs/>
    </w:rPr>
  </w:style>
  <w:style w:type="character" w:customStyle="1" w:styleId="CommentSubjectChar">
    <w:name w:val="Comment Subject Char"/>
    <w:basedOn w:val="CommentTextChar"/>
    <w:link w:val="CommentSubject"/>
    <w:uiPriority w:val="99"/>
    <w:semiHidden/>
    <w:rsid w:val="00C169E1"/>
    <w:rPr>
      <w:rFonts w:ascii="Arial" w:eastAsia="Arial" w:hAnsi="Arial" w:cs="Arial"/>
      <w:b/>
      <w:bCs/>
      <w:sz w:val="20"/>
      <w:szCs w:val="20"/>
    </w:rPr>
  </w:style>
  <w:style w:type="paragraph" w:styleId="Header">
    <w:name w:val="header"/>
    <w:basedOn w:val="Normal"/>
    <w:link w:val="HeaderChar"/>
    <w:uiPriority w:val="99"/>
    <w:unhideWhenUsed/>
    <w:rsid w:val="00115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215"/>
    <w:rPr>
      <w:rFonts w:ascii="Arial" w:eastAsia="Arial" w:hAnsi="Arial" w:cs="Arial"/>
    </w:rPr>
  </w:style>
  <w:style w:type="paragraph" w:styleId="Footer">
    <w:name w:val="footer"/>
    <w:basedOn w:val="Normal"/>
    <w:link w:val="FooterChar"/>
    <w:uiPriority w:val="99"/>
    <w:unhideWhenUsed/>
    <w:rsid w:val="00115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21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D089BB4A0FAE439E523C92CC14EF96" ma:contentTypeVersion="14" ma:contentTypeDescription="Create a new document." ma:contentTypeScope="" ma:versionID="aa9bbd8290d49a07e579a70ec5b2f1ef">
  <xsd:schema xmlns:xsd="http://www.w3.org/2001/XMLSchema" xmlns:xs="http://www.w3.org/2001/XMLSchema" xmlns:p="http://schemas.microsoft.com/office/2006/metadata/properties" xmlns:ns2="5c62c5c5-40d2-419a-90fa-826b03989c3e" xmlns:ns3="3cecf274-b3aa-4521-bd4b-ed5af353198c" targetNamespace="http://schemas.microsoft.com/office/2006/metadata/properties" ma:root="true" ma:fieldsID="59e45060d8bfdec311e720cbf72ba295" ns2:_="" ns3:_="">
    <xsd:import namespace="5c62c5c5-40d2-419a-90fa-826b03989c3e"/>
    <xsd:import namespace="3cecf274-b3aa-4521-bd4b-ed5af35319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c5c5-40d2-419a-90fa-826b03989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74c97a-2677-4c6f-9722-01b0cb9867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cf274-b3aa-4521-bd4b-ed5af35319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fbad84-1e11-476f-b40f-da881acc7e21}" ma:internalName="TaxCatchAll" ma:showField="CatchAllData" ma:web="3cecf274-b3aa-4521-bd4b-ed5af3531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c5c5-40d2-419a-90fa-826b03989c3e">
      <Terms xmlns="http://schemas.microsoft.com/office/infopath/2007/PartnerControls"/>
    </lcf76f155ced4ddcb4097134ff3c332f>
    <TaxCatchAll xmlns="3cecf274-b3aa-4521-bd4b-ed5af353198c" xsi:nil="true"/>
  </documentManagement>
</p:properties>
</file>

<file path=customXml/itemProps1.xml><?xml version="1.0" encoding="utf-8"?>
<ds:datastoreItem xmlns:ds="http://schemas.openxmlformats.org/officeDocument/2006/customXml" ds:itemID="{57AE3175-B345-405A-BE1F-A03850B3B759}">
  <ds:schemaRefs>
    <ds:schemaRef ds:uri="http://schemas.microsoft.com/sharepoint/v3/contenttype/forms"/>
  </ds:schemaRefs>
</ds:datastoreItem>
</file>

<file path=customXml/itemProps2.xml><?xml version="1.0" encoding="utf-8"?>
<ds:datastoreItem xmlns:ds="http://schemas.openxmlformats.org/officeDocument/2006/customXml" ds:itemID="{31CACAAE-524B-4951-BEB8-5F1BA4D8A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c5c5-40d2-419a-90fa-826b03989c3e"/>
    <ds:schemaRef ds:uri="3cecf274-b3aa-4521-bd4b-ed5af3531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4656F-934D-4E71-B8B9-E376B7B9B1D8}">
  <ds:schemaRefs>
    <ds:schemaRef ds:uri="http://schemas.microsoft.com/office/2006/metadata/properties"/>
    <ds:schemaRef ds:uri="http://schemas.microsoft.com/office/infopath/2007/PartnerControls"/>
    <ds:schemaRef ds:uri="5c62c5c5-40d2-419a-90fa-826b03989c3e"/>
    <ds:schemaRef ds:uri="3cecf274-b3aa-4521-bd4b-ed5af353198c"/>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TOU0004</dc:title>
  <cp:revision>0</cp:revision>
</cp:coreProperties>
</file>