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ore0.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 Id="rId5" Type="http://schemas.openxmlformats.org/officedocument/2006/relationships/metadata/core-properties" Target="docProps/core0.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31DBC" w:rsidRPr="00BD6ACC" w:rsidP="00CC6886">
      <w:pPr>
        <w:spacing w:after="160" w:line="259" w:lineRule="auto"/>
      </w:pPr>
      <w:bookmarkStart w:id="0" w:name="_Hlk211339302"/>
      <w:bookmarkStart w:id="1" w:name="OLE_LINK14"/>
      <w:r w:rsidRPr="744F0EBA">
        <w:rPr>
          <w:rFonts w:eastAsia="Arial Nova"/>
          <w:b/>
          <w:bCs/>
        </w:rPr>
        <w:t xml:space="preserve">Written evidence submitted by </w:t>
      </w:r>
      <w:r w:rsidRPr="00431DBC">
        <w:rPr>
          <w:rFonts w:eastAsia="Arial Nova"/>
          <w:b/>
          <w:bCs/>
        </w:rPr>
        <w:t>Professor Christopher J. Carman</w:t>
      </w:r>
      <w:r w:rsidR="006B54FB">
        <w:rPr>
          <w:rFonts w:eastAsia="Arial Nova"/>
          <w:b/>
          <w:bCs/>
        </w:rPr>
        <w:t xml:space="preserve"> </w:t>
      </w:r>
      <w:r w:rsidRPr="006B54FB" w:rsidR="006B54FB">
        <w:rPr>
          <w:rFonts w:eastAsia="Arial Nova"/>
          <w:b/>
          <w:bCs/>
        </w:rPr>
        <w:t>(University of Glasgow)</w:t>
      </w:r>
      <w:r>
        <w:rPr>
          <w:rFonts w:eastAsia="Arial Nova"/>
          <w:b/>
          <w:bCs/>
        </w:rPr>
        <w:t xml:space="preserve"> </w:t>
      </w:r>
      <w:r w:rsidRPr="744F0EBA">
        <w:rPr>
          <w:rFonts w:eastAsia="Arial Nova"/>
          <w:b/>
          <w:bCs/>
        </w:rPr>
        <w:t>(</w:t>
      </w:r>
      <w:r w:rsidRPr="00DA12B5">
        <w:rPr>
          <w:rFonts w:eastAsia="Arial Nova"/>
          <w:b/>
          <w:bCs/>
        </w:rPr>
        <w:t>BBB00</w:t>
      </w:r>
      <w:r>
        <w:rPr>
          <w:rFonts w:eastAsia="Arial Nova"/>
          <w:b/>
          <w:bCs/>
        </w:rPr>
        <w:t>10</w:t>
      </w:r>
      <w:r w:rsidRPr="744F0EBA">
        <w:rPr>
          <w:rFonts w:eastAsia="Arial Nova"/>
          <w:b/>
          <w:bCs/>
        </w:rPr>
        <w:t>)</w:t>
      </w:r>
      <w:bookmarkEnd w:id="0"/>
    </w:p>
    <w:p w:rsidR="00034701">
      <w:pPr>
        <w:pStyle w:val="Heading1"/>
      </w:pPr>
      <w:bookmarkEnd w:id="1"/>
      <w:r>
        <w:t>Summary</w:t>
      </w:r>
    </w:p>
    <w:p w:rsidR="00034701">
      <w:pPr>
        <w:spacing w:after="160" w:line="300" w:lineRule="auto"/>
        <w:jc w:val="both"/>
      </w:pPr>
      <w:r>
        <w:t>This submission makes the following points:</w:t>
      </w:r>
    </w:p>
    <w:p w:rsidR="00034701">
      <w:pPr>
        <w:pStyle w:val="ListParagraph"/>
        <w:numPr>
          <w:ilvl w:val="0"/>
          <w:numId w:val="4"/>
        </w:numPr>
        <w:spacing w:after="100" w:line="276" w:lineRule="auto"/>
      </w:pPr>
      <w:r>
        <w:t>The five Terms of Reference are best addressed as a set. The Backbench Business Committee (</w:t>
      </w:r>
      <w:r>
        <w:t>BBCom</w:t>
      </w:r>
      <w:r>
        <w:t xml:space="preserve">) and the Petitions Committee operate within an incomplete parliamentary architecture: the </w:t>
      </w:r>
      <w:r>
        <w:t>BBCom</w:t>
      </w:r>
      <w:r>
        <w:t xml:space="preserve"> was created without the House Business Committee envisaged by the Wright Committee, and the e-petitions system was bolted on to existing procedures rather than integrated into the Commons’ working life.</w:t>
      </w:r>
    </w:p>
    <w:p w:rsidR="00034701">
      <w:pPr>
        <w:pStyle w:val="ListParagraph"/>
        <w:numPr>
          <w:ilvl w:val="0"/>
          <w:numId w:val="5"/>
        </w:numPr>
        <w:spacing w:after="100" w:line="276" w:lineRule="auto"/>
      </w:pPr>
      <w:r>
        <w:t xml:space="preserve">My research in </w:t>
      </w:r>
      <w:r>
        <w:rPr>
          <w:i/>
          <w:iCs/>
        </w:rPr>
        <w:t>Political Studies</w:t>
      </w:r>
      <w:r>
        <w:t xml:space="preserve"> (Carman, 2010) and </w:t>
      </w:r>
      <w:r>
        <w:rPr>
          <w:i/>
          <w:iCs/>
        </w:rPr>
        <w:t>Parliamentary Affairs</w:t>
      </w:r>
      <w:r>
        <w:t xml:space="preserve"> (Carman, 2012), shows that </w:t>
      </w:r>
      <w:r>
        <w:rPr>
          <w:i/>
          <w:iCs/>
        </w:rPr>
        <w:t>petitioners’ perceptions of procedural fairness</w:t>
      </w:r>
      <w:r>
        <w:t xml:space="preserve"> are the strongest predictor of trust in the political system — substantially exceeding the effect of whether petitioners obtained their preferred outcome.</w:t>
      </w:r>
    </w:p>
    <w:p w:rsidR="00034701">
      <w:pPr>
        <w:pStyle w:val="ListParagraph"/>
        <w:numPr>
          <w:ilvl w:val="0"/>
          <w:numId w:val="6"/>
        </w:numPr>
        <w:spacing w:after="100" w:line="276" w:lineRule="auto"/>
      </w:pPr>
      <w:r>
        <w:rPr>
          <w:b/>
          <w:bCs/>
        </w:rPr>
        <w:t>On TOR 1 (timing/attendance):</w:t>
      </w:r>
      <w:r>
        <w:t xml:space="preserve"> Move </w:t>
      </w:r>
      <w:r>
        <w:t>BBCom</w:t>
      </w:r>
      <w:r>
        <w:t xml:space="preserve"> debates off Thursdays where </w:t>
      </w:r>
      <w:r>
        <w:t>possible, and</w:t>
      </w:r>
      <w:r>
        <w:t xml:space="preserve"> address the demand-side question — whether MPs and petitioners experience the current allocation as adequate — alongside the supply-side allocation.</w:t>
      </w:r>
    </w:p>
    <w:p w:rsidR="00034701">
      <w:pPr>
        <w:pStyle w:val="ListParagraph"/>
        <w:numPr>
          <w:ilvl w:val="0"/>
          <w:numId w:val="7"/>
        </w:numPr>
        <w:spacing w:after="100" w:line="276" w:lineRule="auto"/>
      </w:pPr>
      <w:r>
        <w:rPr>
          <w:b/>
          <w:bCs/>
        </w:rPr>
        <w:t>On TOR 2 (35-day allocation):</w:t>
      </w:r>
      <w:r>
        <w:t xml:space="preserve"> The 35-day figure is in tension with the way the time is allocated. Convert the sessional allocation to a monthly minimum guarantee, so that longer sessions do not mechanically diminish non-government time.</w:t>
      </w:r>
    </w:p>
    <w:p w:rsidR="00034701">
      <w:pPr>
        <w:pStyle w:val="ListParagraph"/>
        <w:numPr>
          <w:ilvl w:val="0"/>
          <w:numId w:val="8"/>
        </w:numPr>
        <w:spacing w:after="100" w:line="276" w:lineRule="auto"/>
      </w:pPr>
      <w:r>
        <w:rPr>
          <w:b/>
          <w:bCs/>
        </w:rPr>
        <w:t>On TOR 3 (Chamber/Westminster Hall split):</w:t>
      </w:r>
      <w:r>
        <w:t xml:space="preserve"> Retain the current split. The two venues serve genuinely different purposes; redistribution risks hollowing out one without strengthening the other.</w:t>
      </w:r>
    </w:p>
    <w:p w:rsidR="00034701">
      <w:pPr>
        <w:pStyle w:val="ListParagraph"/>
        <w:numPr>
          <w:ilvl w:val="0"/>
          <w:numId w:val="9"/>
        </w:numPr>
        <w:spacing w:after="100" w:line="276" w:lineRule="auto"/>
      </w:pPr>
      <w:r>
        <w:rPr>
          <w:b/>
          <w:bCs/>
        </w:rPr>
        <w:t>On TOR 4 (</w:t>
      </w:r>
      <w:r>
        <w:rPr>
          <w:b/>
          <w:bCs/>
        </w:rPr>
        <w:t>BBCom</w:t>
      </w:r>
      <w:r>
        <w:rPr>
          <w:b/>
          <w:bCs/>
        </w:rPr>
        <w:t xml:space="preserve"> application process):</w:t>
      </w:r>
      <w:r>
        <w:t xml:space="preserve"> Strengthen the </w:t>
      </w:r>
      <w:r>
        <w:t>BBCom</w:t>
      </w:r>
      <w:r>
        <w:t xml:space="preserve"> as a topic broker rather than a queue manager; protect its function as a cross-party space in which compromise is built; coordinate more closely with the Speaker’s ballot.</w:t>
      </w:r>
    </w:p>
    <w:p w:rsidR="00034701">
      <w:pPr>
        <w:pStyle w:val="ListParagraph"/>
        <w:numPr>
          <w:ilvl w:val="0"/>
          <w:numId w:val="10"/>
        </w:numPr>
        <w:spacing w:after="100" w:line="276" w:lineRule="auto"/>
      </w:pPr>
      <w:r>
        <w:rPr>
          <w:b/>
          <w:bCs/>
        </w:rPr>
        <w:t>On TOR 5 (Petitions Committee Chamber time):</w:t>
      </w:r>
      <w:r>
        <w:t xml:space="preserve"> The Committee should put petitioners front and centre. This submission recommends: research briefings on petitions reaching the lower (10,000) signature threshold; a salience-measurement mechanism at the point of signing; bundled debates to give less-signed but substantively important petitions a fair hearing; a clearer declaration of the Committee’s role; and a limited, criteria-based annual allocation of Chamber time — not a wholesale transfer of petitions debates to the Chamber.</w:t>
      </w:r>
    </w:p>
    <w:p w:rsidR="00034701">
      <w:pPr>
        <w:pStyle w:val="ListParagraph"/>
        <w:numPr>
          <w:ilvl w:val="0"/>
          <w:numId w:val="11"/>
        </w:numPr>
        <w:spacing w:after="100" w:line="276" w:lineRule="auto"/>
      </w:pPr>
      <w:r>
        <w:rPr>
          <w:b/>
          <w:bCs/>
        </w:rPr>
        <w:t>On reform method:</w:t>
      </w:r>
      <w:r>
        <w:t xml:space="preserve"> Reforms should be introduced through pilot programmes with pre-specified evaluation criteria rather than through immediate structural change. The Committee should specify what success would look like before any reform is enacted.</w:t>
      </w:r>
    </w:p>
    <w:p w:rsidR="00034701">
      <w:pPr>
        <w:pStyle w:val="Heading1"/>
      </w:pPr>
      <w:r>
        <w:t>Introduction and reason for submitting</w:t>
      </w:r>
    </w:p>
    <w:p w:rsidR="00034701">
      <w:pPr>
        <w:spacing w:after="160" w:line="300" w:lineRule="auto"/>
        <w:ind w:left="480" w:hanging="480"/>
        <w:jc w:val="both"/>
      </w:pPr>
      <w:r>
        <w:t>1.</w:t>
      </w:r>
      <w:r>
        <w:tab/>
        <w:t xml:space="preserve">I submit this evidence in a personal academic capacity. My credentials and prior work are in Footnote 1. My principal interest in the inquiry is in the Petitions Committee (TOR 5) and, secondarily, in the </w:t>
      </w:r>
      <w:r>
        <w:t>BBCom’s</w:t>
      </w:r>
      <w:r>
        <w:t xml:space="preserve"> application process (TOR 4), where my research on petitioners has most direct bearing. I address TORs 1, 2 and 3 more briefly.</w:t>
      </w:r>
    </w:p>
    <w:p w:rsidR="00034701">
      <w:pPr>
        <w:pStyle w:val="Heading1"/>
      </w:pPr>
      <w:r>
        <w:t>The framing argument: an incomplete ecosystem</w:t>
      </w:r>
    </w:p>
    <w:p w:rsidR="00034701">
      <w:pPr>
        <w:spacing w:after="160" w:line="300" w:lineRule="auto"/>
        <w:ind w:left="480" w:hanging="480"/>
        <w:jc w:val="both"/>
      </w:pPr>
      <w:r>
        <w:t>2.</w:t>
      </w:r>
      <w:r>
        <w:tab/>
        <w:t xml:space="preserve">Two structural facts shape the Terms of Reference. First, the </w:t>
      </w:r>
      <w:r>
        <w:t>BBCom</w:t>
      </w:r>
      <w:r>
        <w:t xml:space="preserve"> was established in 2010 following the Wright Committee’s </w:t>
      </w:r>
      <w:r>
        <w:rPr>
          <w:i/>
          <w:iCs/>
        </w:rPr>
        <w:t>Rebuilding the House</w:t>
      </w:r>
      <w:r>
        <w:t xml:space="preserve"> report</w:t>
      </w:r>
      <w:r>
        <w:rPr>
          <w:rStyle w:val="FootnoteReference"/>
        </w:rPr>
        <w:footnoteReference w:id="2"/>
      </w:r>
      <w:r>
        <w:t xml:space="preserve"> as one of two linked reforms. The companion reform — a House Business Committee giving MPs collective control over the weekly agenda — was never delivered. As Russell and Gover (2021) demonstrate, this omission has left the </w:t>
      </w:r>
      <w:r>
        <w:t>BBCom</w:t>
      </w:r>
      <w:r>
        <w:t xml:space="preserve"> operating in an environment where the government retains substantial residual control over the scheduling of non-government time.</w:t>
      </w:r>
      <w:r>
        <w:rPr>
          <w:rStyle w:val="FootnoteReference"/>
        </w:rPr>
        <w:footnoteReference w:id="3"/>
      </w:r>
      <w:r>
        <w:t xml:space="preserve"> Evans (2021) describes this as an ‘unfinished revolution’.</w:t>
      </w:r>
      <w:r>
        <w:rPr>
          <w:rStyle w:val="FootnoteReference"/>
        </w:rPr>
        <w:footnoteReference w:id="4"/>
      </w:r>
      <w:r>
        <w:t xml:space="preserve"> Second, the Westminster e-petitions system was, as I put it at the engagement event,</w:t>
      </w:r>
      <w:r>
        <w:rPr>
          <w:rStyle w:val="FootnoteReference"/>
        </w:rPr>
        <w:footnoteReference w:id="5"/>
      </w:r>
      <w:r>
        <w:t xml:space="preserve"> “bolted on” to existing parliamentary procedure rather than woven into the Commons’ working life. Successive workarounds have been tried; this inquiry affords the opportunity to rethink that integration properly.</w:t>
      </w:r>
    </w:p>
    <w:p w:rsidR="00034701">
      <w:pPr>
        <w:spacing w:after="160" w:line="300" w:lineRule="auto"/>
        <w:ind w:left="480" w:hanging="480"/>
        <w:jc w:val="both"/>
      </w:pPr>
      <w:r>
        <w:t>3.</w:t>
      </w:r>
      <w:r>
        <w:tab/>
        <w:t xml:space="preserve">These facts together produce what I call an </w:t>
      </w:r>
      <w:r>
        <w:rPr>
          <w:b/>
          <w:bCs/>
        </w:rPr>
        <w:t>ecosystem problem</w:t>
      </w:r>
      <w:r>
        <w:t xml:space="preserve">. Strengthening the Petitions Committee in isolation will not deliver the public engagement benefits the Committee seeks. A well-functioning petitions system requires committee capacity, a credible committee-to-Chamber link, and mechanisms for substantive filtering and deliberation of public input. Reform of the </w:t>
      </w:r>
      <w:r>
        <w:t>BBCom</w:t>
      </w:r>
      <w:r>
        <w:t xml:space="preserve"> and the Petitions Committee should be considered together as part of one project, not as parallel exercises. In that sense, fuller consideration of how these elements fit into the overall parliamentary ecosystem is required in addressing the issues raised in the TOR.</w:t>
      </w:r>
    </w:p>
    <w:p w:rsidR="00034701">
      <w:pPr>
        <w:spacing w:after="160" w:line="300" w:lineRule="auto"/>
        <w:ind w:left="480" w:hanging="480"/>
        <w:jc w:val="both"/>
      </w:pPr>
      <w:r>
        <w:t>4.</w:t>
      </w:r>
      <w:r>
        <w:tab/>
        <w:t xml:space="preserve">Underlying both the </w:t>
      </w:r>
      <w:r>
        <w:t>BBCom</w:t>
      </w:r>
      <w:r>
        <w:t xml:space="preserve"> and Petitions Committee questions is a more fundamental issue of </w:t>
      </w:r>
      <w:r>
        <w:rPr>
          <w:b/>
          <w:bCs/>
        </w:rPr>
        <w:t>trust and confidence</w:t>
      </w:r>
      <w:r>
        <w:t>. The democratic value of either body flows in large part from whether the public and MPs experience their work as substantively and procedurally fair. As I develop in the discussion of TOR 5 below, where the public encounter a parliamentary mechanism that is formally available but substantively hollow, the effect is to corrode rather than to build trust. The implication is that the question is not only about parliamentary time as internal management, but about whether the most visible points of public contact with the Commons are working as intended.</w:t>
      </w:r>
    </w:p>
    <w:p w:rsidR="00034701">
      <w:pPr>
        <w:pStyle w:val="Heading1"/>
      </w:pPr>
      <w:r>
        <w:t>TOR 1: Is the current allocation of time appropriate and effective? Scheduling and attendance</w:t>
      </w:r>
    </w:p>
    <w:p w:rsidR="00034701">
      <w:pPr>
        <w:spacing w:after="160" w:line="300" w:lineRule="auto"/>
        <w:ind w:left="480" w:hanging="480"/>
        <w:jc w:val="both"/>
      </w:pPr>
      <w:r>
        <w:t>5.</w:t>
      </w:r>
      <w:r>
        <w:tab/>
        <w:t xml:space="preserve">The current allocation can only be assessed in light of the demand for it. There is some evidence — reflected in academic commentary on the </w:t>
      </w:r>
      <w:r>
        <w:t>BBCom</w:t>
      </w:r>
      <w:r>
        <w:t xml:space="preserve"> and in the discussion at the engagement event — that MPs experience time as constrained relative to the demand for backbench debate </w:t>
      </w:r>
      <w:r>
        <w:t>slots.</w:t>
      </w:r>
      <w:r>
        <w:rPr>
          <w:rStyle w:val="FootnoteReference"/>
        </w:rPr>
        <w:footnoteReference w:id="6"/>
      </w:r>
      <w:r>
        <w:t xml:space="preserve"> If demand for petitions debates were higher, or if more MPs sought </w:t>
      </w:r>
      <w:r>
        <w:t>BBCom</w:t>
      </w:r>
      <w:r>
        <w:t xml:space="preserve"> slots than can be accommodated, an allocation that looked adequate in supply terms would in practice be inadequate. The Committee should therefore consider the demand-side picture alongside the supply-side numbers, including views from MPs who have applied unsuccessfully for </w:t>
      </w:r>
      <w:r>
        <w:t>BBCom</w:t>
      </w:r>
      <w:r>
        <w:t xml:space="preserve"> time and from petitioners whose petitions have not been debated.</w:t>
      </w:r>
    </w:p>
    <w:p w:rsidR="00034701">
      <w:pPr>
        <w:spacing w:after="160" w:line="300" w:lineRule="auto"/>
        <w:ind w:left="480" w:hanging="480"/>
        <w:jc w:val="both"/>
      </w:pPr>
      <w:r>
        <w:t>6.</w:t>
      </w:r>
      <w:r>
        <w:tab/>
        <w:t>On scheduling, the engagement event noted that the Wright Committee explicitly recommended that backbench business should not be scheduled on Thursdays because Thursday is the day on which many MPs return to their constituencies.</w:t>
      </w:r>
      <w:r>
        <w:rPr>
          <w:rStyle w:val="FootnoteReference"/>
        </w:rPr>
        <w:footnoteReference w:id="7"/>
      </w:r>
      <w:r>
        <w:t xml:space="preserve"> The status quo inverts the Wright recommendation: backbench business has gravitated toward Thursdays precisely because Monday to Wednesday is occupied by government business. The most direct reform is to protect a guaranteed number of </w:t>
      </w:r>
      <w:r>
        <w:t>BBCom</w:t>
      </w:r>
      <w:r>
        <w:t xml:space="preserve"> Chamber days on non-Thursday sitting days. Shorter, topical formats — such as 30-minute debates — also merit piloting, with pre-defined evaluation criteria.</w:t>
      </w:r>
    </w:p>
    <w:p w:rsidR="00034701">
      <w:pPr>
        <w:pStyle w:val="Heading1"/>
      </w:pPr>
      <w:r>
        <w:t>TOR 2: Are the 35 days appropriate?</w:t>
      </w:r>
    </w:p>
    <w:p w:rsidR="00034701">
      <w:pPr>
        <w:spacing w:after="160" w:line="300" w:lineRule="auto"/>
        <w:ind w:left="480" w:hanging="480"/>
        <w:jc w:val="both"/>
      </w:pPr>
      <w:r>
        <w:t>7.</w:t>
      </w:r>
      <w:r>
        <w:tab/>
        <w:t>There is a tension between the 35-day figure itself and how that time is allocated. In aggregate, 35 days is not obviously deficient. The structural weakness lies in the sessional basis of the allocation: in a long session, 35 days shrinks as a proportion of the Commons calendar while the government enjoys mechanically increasing residual time.</w:t>
      </w:r>
      <w:r>
        <w:rPr>
          <w:rStyle w:val="FootnoteReference"/>
        </w:rPr>
        <w:footnoteReference w:id="8"/>
      </w:r>
      <w:r>
        <w:t xml:space="preserve"> There is no corresponding ratchet upward for backbench, committee or petitions business.</w:t>
      </w:r>
    </w:p>
    <w:p w:rsidR="00034701">
      <w:pPr>
        <w:spacing w:after="160" w:line="300" w:lineRule="auto"/>
        <w:ind w:left="480" w:hanging="480"/>
        <w:jc w:val="both"/>
      </w:pPr>
      <w:r>
        <w:t>8.</w:t>
      </w:r>
      <w:r>
        <w:tab/>
        <w:t xml:space="preserve">The simplest remedy is to convert the allocation to a monthly minimum guarantee — for example three backbench days per sitting month, with a sessional floor. This would remove the perverse incentive for the government to draw out </w:t>
      </w:r>
      <w:r>
        <w:t>sessions, and</w:t>
      </w:r>
      <w:r>
        <w:t xml:space="preserve"> would give the </w:t>
      </w:r>
      <w:r>
        <w:t>BBCom</w:t>
      </w:r>
      <w:r>
        <w:t xml:space="preserve"> more predictable forward planning. It would also align Westminster more closely with the Welsh Senedd, whose Standing Orders prescribe a 3:2 split between government and Senedd business.</w:t>
      </w:r>
    </w:p>
    <w:p w:rsidR="00034701">
      <w:pPr>
        <w:pStyle w:val="Heading1"/>
      </w:pPr>
      <w:r>
        <w:t xml:space="preserve">TOR 3: Is the 27:8 Chamber/Westminster Hall </w:t>
      </w:r>
      <w:r>
        <w:t>split</w:t>
      </w:r>
      <w:r>
        <w:t xml:space="preserve"> correct?</w:t>
      </w:r>
    </w:p>
    <w:p w:rsidR="00034701">
      <w:pPr>
        <w:spacing w:after="160" w:line="300" w:lineRule="auto"/>
        <w:ind w:left="480" w:hanging="480"/>
        <w:jc w:val="both"/>
      </w:pPr>
      <w:r>
        <w:t>9.</w:t>
      </w:r>
      <w:r>
        <w:tab/>
        <w:t>The current split should be retained. Chamber debates carry greater visibility and, where on substantive motions, greater capacity to apply pressure on government; Westminster Hall debates serve as a lower-friction forum for constructive, consensus-oriented discussion. The two venues serve genuinely different purposes, and rebalancing risks hollowing out one without strengthening the other. The implication for TOR 5, developed below, is that any guarantee of Chamber time for petitions debates should be narrow and criteria-based rather than wholesale.</w:t>
      </w:r>
    </w:p>
    <w:p w:rsidR="00034701">
      <w:pPr>
        <w:pStyle w:val="Heading1"/>
      </w:pPr>
      <w:r>
        <w:t xml:space="preserve">TOR 4: Improvements to the </w:t>
      </w:r>
      <w:r>
        <w:t>BBCom</w:t>
      </w:r>
      <w:r>
        <w:t xml:space="preserve"> application process</w:t>
      </w:r>
    </w:p>
    <w:p w:rsidR="00034701">
      <w:pPr>
        <w:spacing w:after="160" w:line="300" w:lineRule="auto"/>
        <w:ind w:left="480" w:hanging="480"/>
        <w:jc w:val="both"/>
      </w:pPr>
      <w:r>
        <w:t>10.</w:t>
      </w:r>
      <w:r>
        <w:tab/>
        <w:t xml:space="preserve">The engagement event captured a concern that the </w:t>
      </w:r>
      <w:r>
        <w:t>BBCom</w:t>
      </w:r>
      <w:r>
        <w:t xml:space="preserve"> has drifted from its original conception — as a selector of topics of sufficient backbench interest for the House’s collective consideration — toward operating as a queue manager.</w:t>
      </w:r>
      <w:r>
        <w:rPr>
          <w:rStyle w:val="FootnoteReference"/>
        </w:rPr>
        <w:footnoteReference w:id="9"/>
      </w:r>
      <w:r>
        <w:t xml:space="preserve"> Recent empirical work by Leston-Bandeira and Thompson identifies similar challenges around participation, transparency and the Committee’s representative function;</w:t>
      </w:r>
      <w:r>
        <w:rPr>
          <w:rStyle w:val="FootnoteReference"/>
        </w:rPr>
        <w:footnoteReference w:id="10"/>
      </w:r>
      <w:r>
        <w:t xml:space="preserve"> Russell and Kelly (2025) reach broadly similar conclusions and recommend changes to return the </w:t>
      </w:r>
      <w:r>
        <w:t>BBCom</w:t>
      </w:r>
      <w:r>
        <w:t xml:space="preserve"> to the Wright Committee’s vision.</w:t>
      </w:r>
      <w:r>
        <w:rPr>
          <w:rStyle w:val="FootnoteReference"/>
        </w:rPr>
        <w:footnoteReference w:id="11"/>
      </w:r>
      <w:r>
        <w:t xml:space="preserve"> Four reforms are worth consideration.</w:t>
      </w:r>
    </w:p>
    <w:p w:rsidR="00034701">
      <w:pPr>
        <w:spacing w:after="160" w:line="300" w:lineRule="auto"/>
        <w:ind w:left="480" w:hanging="480"/>
        <w:jc w:val="both"/>
      </w:pPr>
      <w:r>
        <w:t>11.</w:t>
      </w:r>
      <w:r>
        <w:tab/>
      </w:r>
      <w:r>
        <w:rPr>
          <w:b/>
          <w:bCs/>
        </w:rPr>
        <w:t xml:space="preserve">Broker, not queue manager. </w:t>
      </w:r>
      <w:r>
        <w:t xml:space="preserve">The </w:t>
      </w:r>
      <w:r>
        <w:t>BBCom</w:t>
      </w:r>
      <w:r>
        <w:t xml:space="preserve"> should be empowered — and expected — to shape the debate calendar more actively: suggesting topical subjects, pairing applications on related themes, and exercising more substantive judgement about whether a given topic is better suited to the Chamber or Westminster Hall, and for what duration. This requires the Committee to be willing to decline applications. The engagement event surfaced a legitimate concern about the interpersonal difficulty of rejecting colleagues’ applications; mitigations include broader cross-party membership (including smaller parties) and the publication of clearer selection criteria so that rejections are grounded in visible rules rather than personal judgement.</w:t>
      </w:r>
    </w:p>
    <w:p w:rsidR="00034701">
      <w:pPr>
        <w:spacing w:after="160" w:line="300" w:lineRule="auto"/>
        <w:ind w:left="480" w:hanging="480"/>
        <w:jc w:val="both"/>
      </w:pPr>
      <w:r>
        <w:t>12.</w:t>
      </w:r>
      <w:r>
        <w:tab/>
      </w:r>
      <w:r>
        <w:rPr>
          <w:b/>
          <w:bCs/>
        </w:rPr>
        <w:t xml:space="preserve">Coordination with the Speaker’s ballot. </w:t>
      </w:r>
      <w:r>
        <w:t xml:space="preserve">Multiple, uncoordinated entry points for general debates — the Speaker’s ballot for Westminster Hall and the </w:t>
      </w:r>
      <w:r>
        <w:t>BBCom</w:t>
      </w:r>
      <w:r>
        <w:t xml:space="preserve"> application route — sometimes produce duplication. A lightweight coordination mechanism between the </w:t>
      </w:r>
      <w:r>
        <w:t>BBCom</w:t>
      </w:r>
      <w:r>
        <w:t xml:space="preserve"> secretariat and the Speaker’s Office would reduce unnecessary overlap without abolishing either route.</w:t>
      </w:r>
    </w:p>
    <w:p w:rsidR="00034701">
      <w:pPr>
        <w:spacing w:after="160" w:line="300" w:lineRule="auto"/>
        <w:ind w:left="480" w:hanging="480"/>
        <w:jc w:val="both"/>
      </w:pPr>
      <w:r>
        <w:t>13.</w:t>
      </w:r>
      <w:r>
        <w:tab/>
      </w:r>
      <w:r>
        <w:rPr>
          <w:b/>
          <w:bCs/>
        </w:rPr>
        <w:t xml:space="preserve">Select committee input. </w:t>
      </w:r>
      <w:r>
        <w:t xml:space="preserve">Select committees should be invited to recommend topics for </w:t>
      </w:r>
      <w:r>
        <w:t>BBCom</w:t>
      </w:r>
      <w:r>
        <w:t xml:space="preserve"> time on a regular cycle. Debates on select committee reports extend the reach of evidence-based scrutiny into the Chamber and address the long-standing disjunction between committee work and chamber consideration that has been a feature of academic commentary on the post-Wright settlement.</w:t>
      </w:r>
    </w:p>
    <w:p w:rsidR="00034701">
      <w:pPr>
        <w:spacing w:after="160" w:line="300" w:lineRule="auto"/>
        <w:ind w:left="480" w:hanging="480"/>
        <w:jc w:val="both"/>
      </w:pPr>
      <w:r>
        <w:t>14.</w:t>
      </w:r>
      <w:r>
        <w:tab/>
      </w:r>
      <w:r>
        <w:rPr>
          <w:b/>
          <w:bCs/>
        </w:rPr>
        <w:t xml:space="preserve">Timing of applications. </w:t>
      </w:r>
      <w:r>
        <w:t>Applications accepted too far in advance of debate risk their sponsors being unavailable when the debate is eventually scheduled. A monthly rolling allocation — see TOR 2 above — would allow shorter application windows and better attendance certainty.</w:t>
      </w:r>
    </w:p>
    <w:p w:rsidR="00034701">
      <w:pPr>
        <w:spacing w:after="160" w:line="300" w:lineRule="auto"/>
        <w:ind w:left="480" w:hanging="480"/>
        <w:jc w:val="both"/>
      </w:pPr>
      <w:r>
        <w:t>15.</w:t>
      </w:r>
      <w:r>
        <w:tab/>
        <w:t xml:space="preserve">There is one further function of the </w:t>
      </w:r>
      <w:r>
        <w:t>BBCom</w:t>
      </w:r>
      <w:r>
        <w:t xml:space="preserve"> that deserves emphasis, and that risks being lost if reform focuses narrowly on procedural efficiency. The </w:t>
      </w:r>
      <w:r>
        <w:t>BBCom</w:t>
      </w:r>
      <w:r>
        <w:t xml:space="preserve"> is one of the few formal cross-party working spaces in the Commons in which backbench MPs from different parties must </w:t>
      </w:r>
      <w:r>
        <w:t xml:space="preserve">regularly negotiate, prioritise and compromise. As I argue with my co-authors in </w:t>
      </w:r>
      <w:r>
        <w:rPr>
          <w:i/>
          <w:iCs/>
        </w:rPr>
        <w:t>Dealmakers: The Psychology of Legislative Compromise</w:t>
      </w:r>
      <w:r>
        <w:t>,</w:t>
      </w:r>
      <w:r>
        <w:rPr>
          <w:rStyle w:val="FootnoteReference"/>
        </w:rPr>
        <w:footnoteReference w:id="12"/>
      </w:r>
      <w:r>
        <w:t xml:space="preserve"> compromise is not a residual virtue in legislative politics: it is a core mechanism by which legislatures function, and the institutional spaces in which compromise is practised matter for the broader political culture of the chamber. The </w:t>
      </w:r>
      <w:r>
        <w:t>BBCom’s</w:t>
      </w:r>
      <w:r>
        <w:t xml:space="preserve"> application sessions, in which MPs from across the House meet, hear one another’s pitches and reach decisions on collective time, have value beyond the specific scheduling decisions they produce. Reform proposals that would, for example, allocate </w:t>
      </w:r>
      <w:r>
        <w:t>BBCom</w:t>
      </w:r>
      <w:r>
        <w:t xml:space="preserve"> time directly to parties in proportion to seats would secure formal party representation but would erode this cross-party working function. The Committee should weigh that trade-off explicitly. The cross-party deliberative character of the </w:t>
      </w:r>
      <w:r>
        <w:t>BBCom</w:t>
      </w:r>
      <w:r>
        <w:t xml:space="preserve"> should be retained and strengthened — by broadening the membership to include smaller parties, by making the Committee’s deliberations and selection criteria more transparent, and by resisting reforms that would make the </w:t>
      </w:r>
      <w:r>
        <w:t>BBCom</w:t>
      </w:r>
      <w:r>
        <w:t xml:space="preserve"> a procedural pass-through rather than a deliberative body.</w:t>
      </w:r>
    </w:p>
    <w:p w:rsidR="00034701">
      <w:pPr>
        <w:pStyle w:val="Heading1"/>
      </w:pPr>
      <w:r>
        <w:t>TOR 5: Should the Petitions Committee have guaranteed Chamber time?</w:t>
      </w:r>
    </w:p>
    <w:p w:rsidR="00034701">
      <w:pPr>
        <w:spacing w:after="160" w:line="300" w:lineRule="auto"/>
        <w:ind w:left="480" w:hanging="480"/>
        <w:jc w:val="both"/>
      </w:pPr>
      <w:r>
        <w:t>16.</w:t>
      </w:r>
      <w:r>
        <w:tab/>
        <w:t xml:space="preserve">This is the question on which my prior research most directly bears, and it requires the most careful answer. I argue here for a </w:t>
      </w:r>
      <w:r>
        <w:rPr>
          <w:b/>
          <w:bCs/>
        </w:rPr>
        <w:t>qualified yes</w:t>
      </w:r>
      <w:r>
        <w:t xml:space="preserve">: a limited, defined guarantee of Chamber time, conditional on prior reforms to how petitions are selected, researched and prepared for debate. The argument develops in three steps: first, the procedural justice framework that I have applied to petitioning </w:t>
      </w:r>
      <w:r>
        <w:t>systems</w:t>
      </w:r>
      <w:r>
        <w:t xml:space="preserve"> and which underpins my analysis; second, the implications of that framework for petitioner trust and institutional legitimacy; and third, the specific reforms I recommend.</w:t>
      </w:r>
    </w:p>
    <w:p w:rsidR="00034701">
      <w:pPr>
        <w:pStyle w:val="Heading2"/>
        <w:spacing w:before="240"/>
      </w:pPr>
      <w:r>
        <w:t>Procedural justice and why process matters</w:t>
      </w:r>
    </w:p>
    <w:p w:rsidR="00034701">
      <w:pPr>
        <w:spacing w:after="160" w:line="300" w:lineRule="auto"/>
        <w:ind w:left="480" w:hanging="480"/>
        <w:jc w:val="both"/>
      </w:pPr>
      <w:r>
        <w:t>17.</w:t>
      </w:r>
      <w:r>
        <w:tab/>
        <w:t xml:space="preserve">The starting point for my analysis is the body of research on </w:t>
      </w:r>
      <w:r>
        <w:rPr>
          <w:b/>
          <w:bCs/>
        </w:rPr>
        <w:t>procedural justice</w:t>
      </w:r>
      <w:r>
        <w:t xml:space="preserve"> originating with Tom Tyler</w:t>
      </w:r>
      <w:r>
        <w:rPr>
          <w:rStyle w:val="FootnoteReference"/>
        </w:rPr>
        <w:footnoteReference w:id="13"/>
      </w:r>
      <w:r>
        <w:t xml:space="preserve"> and developed in a substantial empirical literature in social psychology and political science. The core finding is striking and consistent: when people perceive a process to be fair, they are far more likely to accept its outcome — even when they </w:t>
      </w:r>
      <w:r>
        <w:rPr>
          <w:i/>
          <w:iCs/>
        </w:rPr>
        <w:t>do not</w:t>
      </w:r>
      <w:r>
        <w:t xml:space="preserve"> get the outcome they wanted. Conversely, when people perceive a process to be unfair, they are far less likely to be satisfied with the outcome — even when they get the outcome they wanted. Process, in other words, has an independent and powerful effect on how people evaluate the institutions they interact with, separable from whether they ‘win’ or ‘lose’. At the end of the day, people want to feel assured that their concerns were handled and considered in a procedurally fair way.</w:t>
      </w:r>
    </w:p>
    <w:p w:rsidR="00034701">
      <w:pPr>
        <w:spacing w:after="160" w:line="300" w:lineRule="auto"/>
        <w:ind w:left="480" w:hanging="480"/>
        <w:jc w:val="both"/>
      </w:pPr>
      <w:r>
        <w:t>18.</w:t>
      </w:r>
      <w:r>
        <w:tab/>
        <w:t xml:space="preserve">My principal contribution to this literature has been to apply the procedural justice framework to public petitioning systems and citizen engagement policies in the UK, drawing on survey and </w:t>
      </w:r>
      <w:r>
        <w:t xml:space="preserve">qualitative evidence from petitioners to the Scottish Parliament. In an article in </w:t>
      </w:r>
      <w:r>
        <w:rPr>
          <w:i/>
          <w:iCs/>
        </w:rPr>
        <w:t>Political Studies</w:t>
      </w:r>
      <w:r>
        <w:t xml:space="preserve"> in 2010,</w:t>
      </w:r>
      <w:r>
        <w:rPr>
          <w:rStyle w:val="FootnoteReference"/>
        </w:rPr>
        <w:footnoteReference w:id="14"/>
      </w:r>
      <w:r>
        <w:t xml:space="preserve"> using survey data from Scottish Parliament petitioners I showed that procedural evaluations have a substantially stronger relationship with petitioners’ trust in the political system than do outcome evaluations. A one-standard-deviation increase in petitioners’ evaluations of procedural fairness predicted a 0.72 standard-deviation shift in trust in the Scottish political system. Outcome evaluations (i.e., did the petitioner “win” the outcome they sought) failed to achieve statistical significance in predicting system trust. The substantive implication is that </w:t>
      </w:r>
      <w:r>
        <w:rPr>
          <w:b/>
          <w:bCs/>
        </w:rPr>
        <w:t>how</w:t>
      </w:r>
      <w:r>
        <w:t xml:space="preserve"> petitions are handled matters more for petitioners’ trust in parliament than </w:t>
      </w:r>
      <w:r>
        <w:rPr>
          <w:b/>
          <w:bCs/>
        </w:rPr>
        <w:t>what</w:t>
      </w:r>
      <w:r>
        <w:t xml:space="preserve"> they get out of the petitions process. Note, too, that procedural fairness evaluations were also significant predictors of trust in the wider British political system. That is, there are clear spillover effects from procedural fairness.</w:t>
      </w:r>
    </w:p>
    <w:p w:rsidR="00034701">
      <w:pPr>
        <w:spacing w:after="160" w:line="300" w:lineRule="auto"/>
        <w:ind w:left="480" w:hanging="480"/>
        <w:jc w:val="both"/>
      </w:pPr>
      <w:r>
        <w:t>19.</w:t>
      </w:r>
      <w:r>
        <w:tab/>
        <w:t xml:space="preserve">My subsequent work in </w:t>
      </w:r>
      <w:r>
        <w:rPr>
          <w:i/>
          <w:iCs/>
        </w:rPr>
        <w:t>Parliamentary Affairs</w:t>
      </w:r>
      <w:r>
        <w:t xml:space="preserve"> examined who actually engages with petitioning systems, and found that resource barriers — time, internet access, awareness of available routes — systematically shape participation.</w:t>
      </w:r>
      <w:r>
        <w:rPr>
          <w:rStyle w:val="FootnoteReference"/>
        </w:rPr>
        <w:footnoteReference w:id="15"/>
      </w:r>
      <w:r>
        <w:t xml:space="preserve"> The implication for design is that institutional choices affect not only the experience of those who engage but also the demographic composition of who engages in the first place. A poorly designed system will skew engagement toward the already-resourced and already-mobilised, narrowing the democratic value of the petitions mechanism.</w:t>
      </w:r>
    </w:p>
    <w:p w:rsidR="00034701">
      <w:pPr>
        <w:pStyle w:val="Heading2"/>
        <w:spacing w:before="240"/>
      </w:pPr>
      <w:r>
        <w:t>Specific support, diffuse support, and the stakes for parliament</w:t>
      </w:r>
    </w:p>
    <w:p w:rsidR="00034701">
      <w:pPr>
        <w:spacing w:after="160" w:line="300" w:lineRule="auto"/>
        <w:ind w:left="480" w:hanging="480"/>
        <w:jc w:val="both"/>
      </w:pPr>
      <w:r>
        <w:t>20.</w:t>
      </w:r>
      <w:r>
        <w:tab/>
        <w:t xml:space="preserve">The procedural justice findings can be set within David Easton’s widely used distinction between </w:t>
      </w:r>
      <w:r>
        <w:rPr>
          <w:b/>
          <w:bCs/>
        </w:rPr>
        <w:t>specific support</w:t>
      </w:r>
      <w:r>
        <w:t xml:space="preserve"> — confidence in particular institutional outputs and authorities — and </w:t>
      </w:r>
      <w:r>
        <w:rPr>
          <w:b/>
          <w:bCs/>
        </w:rPr>
        <w:t>diffuse support</w:t>
      </w:r>
      <w:r>
        <w:t xml:space="preserve"> — generalised attachment to the political community and regime.</w:t>
      </w:r>
      <w:r>
        <w:rPr>
          <w:rStyle w:val="FootnoteReference"/>
        </w:rPr>
        <w:footnoteReference w:id="16"/>
      </w:r>
      <w:r>
        <w:t xml:space="preserve"> Diffuse support is more deeply rooted than specific support, but is built up or eroded over time by accumulated experiences of institutional fairness. Procedural fairness in petitioning is therefore an input into longer-term diffuse support for parliament, not only into confidence in the </w:t>
      </w:r>
      <w:r>
        <w:t>petitions</w:t>
      </w:r>
      <w:r>
        <w:t xml:space="preserve"> mechanism itself.</w:t>
      </w:r>
    </w:p>
    <w:p w:rsidR="00034701">
      <w:pPr>
        <w:spacing w:after="160" w:line="300" w:lineRule="auto"/>
        <w:ind w:left="480" w:hanging="480"/>
        <w:jc w:val="both"/>
      </w:pPr>
      <w:r>
        <w:t>21.</w:t>
      </w:r>
      <w:r>
        <w:tab/>
        <w:t xml:space="preserve">This matters for the Committee for two reasons. First, the petitions system is one of the most visible points of direct public contact with the Commons. For many members of the public, signing or starting a petition is their main direct encounter with parliament, and the procedural fairness with which it is handled carries weight beyond the fate of the individual petition. Second, the consequences of getting this wrong are asymmetric. A well-handled petition makes a modest positive contribution to specific support; a badly handled petition, especially one that crossed </w:t>
      </w:r>
      <w:r>
        <w:t>thresholds and generated public expectation, can make a substantial negative contribution both to specific support and, cumulatively, to diffuse support.</w:t>
      </w:r>
    </w:p>
    <w:p w:rsidR="00034701">
      <w:pPr>
        <w:spacing w:after="160" w:line="300" w:lineRule="auto"/>
        <w:ind w:left="480" w:hanging="480"/>
        <w:jc w:val="both"/>
      </w:pPr>
      <w:r>
        <w:t>22.</w:t>
      </w:r>
      <w:r>
        <w:tab/>
      </w:r>
      <w:r>
        <w:rPr>
          <w:b/>
          <w:bCs/>
        </w:rPr>
        <w:t xml:space="preserve">The policy implication for the Committee is straightforward. </w:t>
      </w:r>
      <w:r>
        <w:t xml:space="preserve">The petitions system is not merely a procedural question about parliamentary time, but about whether one of the most visible points of public contact with the Commons is experienced as fair, serious and substantive. If petitioners consistently find that their petition — having crossed the signature thresholds — is debated only in an under-attended Westminster Hall slot with no substantive government response and no onward reporting, the mechanism erodes trust rather than building it. This is not, however, an argument for moving all petitions debates to the Chamber. It is an argument for ensuring that the disposition of </w:t>
      </w:r>
      <w:r>
        <w:rPr>
          <w:i/>
          <w:iCs/>
        </w:rPr>
        <w:t>each</w:t>
      </w:r>
      <w:r>
        <w:t xml:space="preserve"> petition is substantive, transparent and procedurally fair. </w:t>
      </w:r>
    </w:p>
    <w:p w:rsidR="00034701">
      <w:pPr>
        <w:pStyle w:val="Heading2"/>
        <w:spacing w:before="240"/>
      </w:pPr>
      <w:r>
        <w:t>Learning from Scotland and Wales — including the warnings</w:t>
      </w:r>
    </w:p>
    <w:p w:rsidR="00034701">
      <w:pPr>
        <w:spacing w:after="160" w:line="300" w:lineRule="auto"/>
        <w:ind w:left="480" w:hanging="480"/>
        <w:jc w:val="both"/>
      </w:pPr>
      <w:r>
        <w:t>23.</w:t>
      </w:r>
      <w:r>
        <w:tab/>
        <w:t>The Scottish Parliament’s Citizen Participation and Public Petitions Committee is a mandatory committee under Standing Orders and has no signature threshold for petition consideration; the Welsh Senedd’s Petitions Committee operates with a 250-signature admissibility threshold. Neither has guaranteed Chamber time for petitions debates; in both cases, Chamber debates are routed through a Bureau or Business Committee. Both offer useful design comparisons for Westminster.</w:t>
      </w:r>
    </w:p>
    <w:p w:rsidR="00034701">
      <w:pPr>
        <w:spacing w:after="160" w:line="300" w:lineRule="auto"/>
        <w:ind w:left="480" w:hanging="480"/>
        <w:jc w:val="both"/>
      </w:pPr>
      <w:r>
        <w:t>24.</w:t>
      </w:r>
      <w:r>
        <w:tab/>
        <w:t>The Scottish experience also provides an important warning. As Mitchell and McLeish (2025) argue, and as Shephard’s analysis of Holyrood’s committees has documented,</w:t>
      </w:r>
      <w:r>
        <w:rPr>
          <w:rStyle w:val="FootnoteReference"/>
        </w:rPr>
        <w:footnoteReference w:id="17"/>
      </w:r>
      <w:r>
        <w:t xml:space="preserve"> Scottish committees were designed as the engine rooms of scrutiny and policy initiation, but have proven less effective than intended because, in a unicameral parliament, they are overwhelmed by government legislative business. Westminster, by contrast, enjoys a latent structural advantage: government legislation is handled by public bill committees rather than select committees, so select committee capacity for petitions follow-up and thematic inquiry is, in principle, better protected than at Holyrood. This advantage is not being fully exploited.</w:t>
      </w:r>
    </w:p>
    <w:p w:rsidR="00034701">
      <w:pPr>
        <w:pStyle w:val="Heading1"/>
      </w:pPr>
      <w:r>
        <w:t>Recommendations on the Petitions Committee: putting petitioners front and centre</w:t>
      </w:r>
    </w:p>
    <w:p w:rsidR="00034701">
      <w:pPr>
        <w:spacing w:after="160" w:line="300" w:lineRule="auto"/>
        <w:ind w:left="480" w:hanging="480"/>
        <w:jc w:val="both"/>
      </w:pPr>
      <w:r>
        <w:t>25.</w:t>
      </w:r>
      <w:r>
        <w:tab/>
        <w:t xml:space="preserve">On the basis of the analysis above, I recommend the following: </w:t>
      </w:r>
    </w:p>
    <w:p w:rsidR="00034701">
      <w:pPr>
        <w:spacing w:after="160" w:line="300" w:lineRule="auto"/>
        <w:ind w:left="480" w:hanging="480"/>
        <w:jc w:val="both"/>
      </w:pPr>
      <w:r>
        <w:t>26.</w:t>
      </w:r>
      <w:r>
        <w:tab/>
      </w:r>
      <w:r>
        <w:rPr>
          <w:b/>
          <w:bCs/>
        </w:rPr>
        <w:t>(</w:t>
      </w:r>
      <w:r>
        <w:rPr>
          <w:b/>
          <w:bCs/>
        </w:rPr>
        <w:t>i</w:t>
      </w:r>
      <w:r>
        <w:rPr>
          <w:b/>
          <w:bCs/>
        </w:rPr>
        <w:t xml:space="preserve">) A clear declaration of the Committee’s role. </w:t>
      </w:r>
      <w:r>
        <w:t xml:space="preserve">The Petitions Committee should articulate, in the description of its role, whether it is operating primarily as a </w:t>
      </w:r>
      <w:r>
        <w:rPr>
          <w:i/>
          <w:iCs/>
        </w:rPr>
        <w:t>gatekeeper</w:t>
      </w:r>
      <w:r>
        <w:t xml:space="preserve"> (filtering which petitions warrant parliamentary attention), an </w:t>
      </w:r>
      <w:r>
        <w:rPr>
          <w:i/>
          <w:iCs/>
        </w:rPr>
        <w:t>advocate</w:t>
      </w:r>
      <w:r>
        <w:t xml:space="preserve"> for petitioners (championing their cases through the parliamentary system), or a </w:t>
      </w:r>
      <w:r>
        <w:rPr>
          <w:i/>
          <w:iCs/>
        </w:rPr>
        <w:t>neutral arbiter</w:t>
      </w:r>
      <w:r>
        <w:t xml:space="preserve"> between petitioner and government. These roles imply different working methods, different success measures, and different </w:t>
      </w:r>
      <w:r>
        <w:t>relationships with petitioners. Ambiguity between them is itself a source of petitioner dissatisfaction, because petitioners reasonably form different procedural expectations depending on which role they perceive the Committee to be playing. Clarity here is the precondition for the procedural fairness on which everything else depends.</w:t>
      </w:r>
    </w:p>
    <w:p w:rsidR="00034701">
      <w:pPr>
        <w:spacing w:after="160" w:line="300" w:lineRule="auto"/>
        <w:ind w:left="480" w:hanging="480"/>
        <w:jc w:val="both"/>
      </w:pPr>
      <w:r>
        <w:t>27.</w:t>
      </w:r>
      <w:r>
        <w:tab/>
      </w:r>
      <w:r>
        <w:rPr>
          <w:b/>
          <w:bCs/>
        </w:rPr>
        <w:t xml:space="preserve">(ii) Research briefings on petitions reaching the lower (10,000) signature threshold. </w:t>
      </w:r>
      <w:r>
        <w:t xml:space="preserve">Petitions that reach the 10,000 </w:t>
      </w:r>
      <w:r>
        <w:t>threshold</w:t>
      </w:r>
      <w:r>
        <w:t xml:space="preserve"> should trigger the production of a Library briefing or a commissioned external briefing on the substantive issue raised. The Committee should review the briefing, share it with the petitioner, and use it as the basis for a substantive response — whether or not the petition reaches the 100,000 </w:t>
      </w:r>
      <w:r>
        <w:t>threshold</w:t>
      </w:r>
      <w:r>
        <w:t xml:space="preserve"> for debate. This addresses two problems at once: the engagement event’s concern about the volume of petitions seeking debate time, and the procedural justice imperative that petitions be examined substantively rather than merely processed.</w:t>
      </w:r>
    </w:p>
    <w:p w:rsidR="00034701">
      <w:pPr>
        <w:spacing w:after="160" w:line="300" w:lineRule="auto"/>
        <w:ind w:left="480" w:hanging="480"/>
        <w:jc w:val="both"/>
      </w:pPr>
      <w:r>
        <w:t>28.</w:t>
      </w:r>
      <w:r>
        <w:tab/>
      </w:r>
      <w:r>
        <w:rPr>
          <w:b/>
          <w:bCs/>
        </w:rPr>
        <w:t xml:space="preserve">(iii) A salience-measurement mechanism at the point of signing. </w:t>
      </w:r>
      <w:r>
        <w:t>When a member of the public signs a petition on the parliamentary site, a brief prompt should ask the signatory to rate the importance of the issue to them. This generates a data-driven signal of public salience — quite distinct from sheer signature count — that can inform the flexible application of the 100,000 threshold and the selection of petitions for debate. This addresses the concern, raised at the engagement event, that the existing threshold is a blunt instrument that under-weights less popular but substantively important petitions and over-weights well-resourced campaigns.</w:t>
      </w:r>
    </w:p>
    <w:p w:rsidR="00034701">
      <w:pPr>
        <w:spacing w:after="160" w:line="300" w:lineRule="auto"/>
        <w:ind w:left="480" w:hanging="480"/>
        <w:jc w:val="both"/>
      </w:pPr>
      <w:r>
        <w:t>29.</w:t>
      </w:r>
      <w:r>
        <w:tab/>
      </w:r>
      <w:r>
        <w:rPr>
          <w:b/>
          <w:bCs/>
        </w:rPr>
        <w:t xml:space="preserve">(iv) Bundled petitions debates. </w:t>
      </w:r>
      <w:r>
        <w:t>The practice of debating several thematically related petitions in a single session gives less-signed petitions a fair hearing without extending total debate time proportionally. This addresses both the demand-side pressure on petitions debate time and the equity concern that individual or community-initiated petitions are systematically out-competed by petitions backed by organisational infrastructure.</w:t>
      </w:r>
    </w:p>
    <w:p w:rsidR="00034701">
      <w:pPr>
        <w:spacing w:after="160" w:line="300" w:lineRule="auto"/>
        <w:ind w:left="480" w:hanging="480"/>
        <w:jc w:val="both"/>
      </w:pPr>
      <w:r>
        <w:t>30.</w:t>
      </w:r>
      <w:r>
        <w:tab/>
      </w:r>
      <w:r>
        <w:rPr>
          <w:b/>
          <w:bCs/>
        </w:rPr>
        <w:t xml:space="preserve">(v) A limited, criteria-based annual allocation of Chamber time. </w:t>
      </w:r>
      <w:r>
        <w:t>Only against the background of (</w:t>
      </w:r>
      <w:r>
        <w:t>i</w:t>
      </w:r>
      <w:r>
        <w:t>) to (iv) does the question of guaranteed Chamber time arise sensibly. I recommend that the Petitions Committee receive a small annual allocation of Chamber time — in the order of three to five days per session — to be used for debates on petitions meeting defined criteria: broad public salience, substantive scope, and fitness for a Chamber motion (rather than a general ‘considered’ motion). For petitions that do not meet these criteria, Westminster Hall should remain the more constructive venue. The point is to make Chamber time the upper end of a graduated set of responses, not the default destination for any petition that crosses a numeric threshold.</w:t>
      </w:r>
    </w:p>
    <w:p w:rsidR="00034701">
      <w:pPr>
        <w:pStyle w:val="Heading1"/>
      </w:pPr>
      <w:r>
        <w:t>A note on method: piloting and evaluating reform</w:t>
      </w:r>
    </w:p>
    <w:p w:rsidR="00034701">
      <w:pPr>
        <w:spacing w:after="160" w:line="300" w:lineRule="auto"/>
        <w:ind w:left="480" w:hanging="480"/>
        <w:jc w:val="both"/>
      </w:pPr>
      <w:r>
        <w:t>31.</w:t>
      </w:r>
      <w:r>
        <w:tab/>
        <w:t xml:space="preserve">A further recommendation cuts across the specific proposals above. </w:t>
      </w:r>
      <w:r>
        <w:rPr>
          <w:b/>
          <w:bCs/>
        </w:rPr>
        <w:t xml:space="preserve">Reforms to the Petitions Committee and the </w:t>
      </w:r>
      <w:r>
        <w:rPr>
          <w:b/>
          <w:bCs/>
        </w:rPr>
        <w:t>BBCom</w:t>
      </w:r>
      <w:r>
        <w:rPr>
          <w:b/>
          <w:bCs/>
        </w:rPr>
        <w:t xml:space="preserve"> should be introduced through defined pilot programmes with pre-specified evaluation criteria, rather than through immediate structural change.</w:t>
      </w:r>
      <w:r>
        <w:t xml:space="preserve"> Procedural reforms of this kind are easy to imagine in principle but prone to unintended consequences in </w:t>
      </w:r>
      <w:r>
        <w:t xml:space="preserve">practice. The Committee should therefore, for each reform it recommends, specify in advance what evidence it would accept as showing the reform had succeeded, what evidence would show it had failed, and over what timeframe that judgement should be made. Salient indicators will differ by reform — petitioner satisfaction and demographic reach for the </w:t>
      </w:r>
      <w:r>
        <w:t>petitions</w:t>
      </w:r>
      <w:r>
        <w:t xml:space="preserve"> reforms; attendance, cross-party breadth of participation, and debate quality for the </w:t>
      </w:r>
      <w:r>
        <w:t>BBCom</w:t>
      </w:r>
      <w:r>
        <w:t xml:space="preserve"> reforms — but the discipline of stating them in advance is important in every case. Piloting and evaluation should be treated as a standing feature of parliamentary reform in this area, not as an exception.</w:t>
      </w:r>
    </w:p>
    <w:p w:rsidR="00034701">
      <w:pPr>
        <w:pStyle w:val="Heading1"/>
      </w:pPr>
      <w:r>
        <w:t>Conclusion</w:t>
      </w:r>
    </w:p>
    <w:p w:rsidR="00034701">
      <w:pPr>
        <w:spacing w:after="160" w:line="300" w:lineRule="auto"/>
        <w:ind w:left="480" w:hanging="480"/>
        <w:jc w:val="both"/>
      </w:pPr>
      <w:r>
        <w:t>32.</w:t>
      </w:r>
      <w:r>
        <w:tab/>
        <w:t xml:space="preserve">The five Terms of Reference are more interconnected than their separate formulation suggests. The </w:t>
      </w:r>
      <w:r>
        <w:t>BBCom</w:t>
      </w:r>
      <w:r>
        <w:t xml:space="preserve"> and the Petitions Committee both exist within an incomplete post-Wright architecture; questions of time, format and venue cannot be settled without a view on what each body is for and how it fits with the other.</w:t>
      </w:r>
    </w:p>
    <w:p w:rsidR="00034701">
      <w:pPr>
        <w:spacing w:after="160" w:line="300" w:lineRule="auto"/>
        <w:ind w:left="480" w:hanging="480"/>
        <w:jc w:val="both"/>
      </w:pPr>
      <w:r>
        <w:t>33.</w:t>
      </w:r>
      <w:r>
        <w:tab/>
        <w:t xml:space="preserve">I would urge the Committee, in its reporting, to take three things seriously. </w:t>
      </w:r>
      <w:r>
        <w:rPr>
          <w:b/>
          <w:bCs/>
        </w:rPr>
        <w:t xml:space="preserve">First, </w:t>
      </w:r>
      <w:r>
        <w:t xml:space="preserve">petitioners should be placed front and centre in any reform of the petitions process. The democratic value of the system flows from petitioners’ experience of its procedural fairness, not from volume or visibility alone, and the empirical evidence on procedural justice and institutional trust gives a clear basis for designing on this principle. </w:t>
      </w:r>
      <w:r>
        <w:rPr>
          <w:b/>
          <w:bCs/>
        </w:rPr>
        <w:t xml:space="preserve">Second, </w:t>
      </w:r>
      <w:r>
        <w:t xml:space="preserve">reforms should be introduced as pilots with pre-specified evaluation criteria, as set out above; the Committee should know in advance what success looks like. </w:t>
      </w:r>
      <w:r>
        <w:rPr>
          <w:b/>
          <w:bCs/>
        </w:rPr>
        <w:t xml:space="preserve">Third, </w:t>
      </w:r>
      <w:r>
        <w:t xml:space="preserve">the Committee should resist the temptation to treat the petitions question as separable from the </w:t>
      </w:r>
      <w:r>
        <w:t>BBCom</w:t>
      </w:r>
      <w:r>
        <w:t xml:space="preserve"> question; both are symptoms of the same unfinished integration of non-government time into the Commons’ working life.</w:t>
      </w:r>
    </w:p>
    <w:p w:rsidR="00034701">
      <w:pPr>
        <w:spacing w:after="160" w:line="300" w:lineRule="auto"/>
        <w:ind w:left="480" w:hanging="480"/>
        <w:jc w:val="both"/>
      </w:pPr>
      <w:r>
        <w:t>34.</w:t>
      </w:r>
      <w:r>
        <w:tab/>
        <w:t>I would be pleased to provide oral evidence or further written material if that would assist the Committee.</w:t>
      </w:r>
    </w:p>
    <w:p w:rsidR="00431DBC" w:rsidRPr="007B5CC2" w:rsidP="00431DBC">
      <w:pPr>
        <w:jc w:val="right"/>
        <w:rPr>
          <w:b/>
          <w:bCs/>
          <w:i/>
          <w:iCs/>
        </w:rPr>
      </w:pPr>
      <w:r>
        <w:rPr>
          <w:b/>
          <w:bCs/>
          <w:i/>
          <w:iCs/>
        </w:rPr>
        <w:t>April</w:t>
      </w:r>
      <w:r w:rsidRPr="00C45984">
        <w:rPr>
          <w:b/>
          <w:bCs/>
          <w:i/>
          <w:iCs/>
        </w:rPr>
        <w:t xml:space="preserve"> 202</w:t>
      </w:r>
      <w:r>
        <w:rPr>
          <w:b/>
          <w:bCs/>
          <w:i/>
          <w:iCs/>
        </w:rPr>
        <w:t>6</w:t>
      </w:r>
    </w:p>
    <w:p w:rsidR="00034701" w:rsidP="00431DBC">
      <w:pPr>
        <w:spacing w:before="240"/>
      </w:pPr>
    </w:p>
    <w:sectPr>
      <w:pgSz w:w="11906" w:h="16838"/>
      <w:pgMar w:top="1440" w:right="1440" w:bottom="1440" w:left="1440" w:header="0" w:footer="708"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iberation Sans">
    <w:altName w:val="Arial"/>
    <w:charset w:val="00"/>
    <w:family w:val="roman"/>
    <w:pitch w:val="variable"/>
  </w:font>
  <w:font w:name="Noto Sans CJK SC">
    <w:charset w:val="00"/>
    <w:family w:val="roman"/>
    <w:pitch w:val="default"/>
  </w:font>
  <w:font w:name="FreeSans">
    <w:charset w:val="00"/>
    <w:family w:val="roman"/>
    <w:pitch w:val="default"/>
  </w:font>
  <w:font w:name="Arial Nova">
    <w:charset w:val="00"/>
    <w:family w:val="swiss"/>
    <w:pitch w:val="variable"/>
    <w:sig w:usb0="0000028F" w:usb1="00000002" w:usb2="00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0D1E79">
      <w:pPr>
        <w:rPr>
          <w:sz w:val="12"/>
        </w:rPr>
      </w:pPr>
      <w:r>
        <w:separator/>
      </w:r>
    </w:p>
  </w:footnote>
  <w:footnote w:type="continuationSeparator" w:id="1">
    <w:p w:rsidR="000D1E79">
      <w:pPr>
        <w:rPr>
          <w:sz w:val="12"/>
        </w:rPr>
      </w:pPr>
      <w:r>
        <w:continuationSeparator/>
      </w:r>
    </w:p>
  </w:footnote>
  <w:footnote w:id="2">
    <w:p w:rsidR="00034701">
      <w:r>
        <w:rPr>
          <w:rStyle w:val="FootnoteCharacters"/>
        </w:rPr>
        <w:footnoteRef/>
      </w:r>
      <w:r>
        <w:t xml:space="preserve">Reform of the House of Commons Select Committee [Wright Committee] (2009), </w:t>
      </w:r>
      <w:r>
        <w:rPr>
          <w:i/>
          <w:iCs/>
        </w:rPr>
        <w:t>Rebuilding the House</w:t>
      </w:r>
      <w:r>
        <w:t>, HC 1117.</w:t>
      </w:r>
    </w:p>
  </w:footnote>
  <w:footnote w:id="3">
    <w:p w:rsidR="00034701">
      <w:r>
        <w:rPr>
          <w:rStyle w:val="FootnoteCharacters"/>
        </w:rPr>
        <w:footnoteRef/>
      </w:r>
      <w:r>
        <w:t xml:space="preserve">Russell, M. &amp; Gover, D. (2021), </w:t>
      </w:r>
      <w:r>
        <w:rPr>
          <w:i/>
          <w:iCs/>
        </w:rPr>
        <w:t>Taking Back Control: Why the House of Commons Should Govern Its Own Time</w:t>
      </w:r>
      <w:r>
        <w:t xml:space="preserve"> (London: UCL Constitution Unit).</w:t>
      </w:r>
    </w:p>
  </w:footnote>
  <w:footnote w:id="4">
    <w:p w:rsidR="00034701">
      <w:r>
        <w:rPr>
          <w:rStyle w:val="FootnoteCharacters"/>
        </w:rPr>
        <w:footnoteRef/>
      </w:r>
      <w:r>
        <w:t xml:space="preserve">Evans, P. (2021), ‘The Backbench Business Committee: An Unfinished Revolution?’, </w:t>
      </w:r>
      <w:r>
        <w:rPr>
          <w:i/>
          <w:iCs/>
        </w:rPr>
        <w:t>Constitution Unit blog</w:t>
      </w:r>
      <w:r>
        <w:t>, January 2021.</w:t>
      </w:r>
    </w:p>
  </w:footnote>
  <w:footnote w:id="5">
    <w:p w:rsidR="00034701">
      <w:r>
        <w:rPr>
          <w:rStyle w:val="FootnoteCharacters"/>
        </w:rPr>
        <w:footnoteRef/>
      </w:r>
      <w:r>
        <w:t xml:space="preserve">House of Commons Modernisation Committee (2026), </w:t>
      </w:r>
      <w:r>
        <w:rPr>
          <w:i/>
          <w:iCs/>
        </w:rPr>
        <w:t>Summary note: Modernisation Committee Engagement event with experts and academics</w:t>
      </w:r>
      <w:r>
        <w:t>, 24 March 2026.</w:t>
      </w:r>
    </w:p>
  </w:footnote>
  <w:footnote w:id="6">
    <w:p w:rsidR="00034701">
      <w:r>
        <w:rPr>
          <w:rStyle w:val="FootnoteCharacters"/>
        </w:rPr>
        <w:footnoteRef/>
      </w:r>
      <w:r>
        <w:t xml:space="preserve">Leston-Bandeira, C. &amp; Thompson, L. (2026), ‘The Backbench Business Committee at 15: How backbench MPs gained a stronger voice in the House of Commons and the issues and challenges that have arisen’, </w:t>
      </w:r>
      <w:r>
        <w:rPr>
          <w:i/>
          <w:iCs/>
        </w:rPr>
        <w:t>Hansard Society blog</w:t>
      </w:r>
      <w:r>
        <w:t>, 6 March 2026.</w:t>
      </w:r>
    </w:p>
  </w:footnote>
  <w:footnote w:id="7">
    <w:p w:rsidR="00034701">
      <w:r>
        <w:rPr>
          <w:rStyle w:val="FootnoteCharacters"/>
        </w:rPr>
        <w:footnoteRef/>
      </w:r>
      <w:r>
        <w:t xml:space="preserve">House of Commons Modernisation Committee (2026), </w:t>
      </w:r>
      <w:r>
        <w:rPr>
          <w:i/>
          <w:iCs/>
        </w:rPr>
        <w:t>Summary note: Modernisation Committee Engagement event with experts and academics</w:t>
      </w:r>
      <w:r>
        <w:t>, 24 March 2026.</w:t>
      </w:r>
    </w:p>
  </w:footnote>
  <w:footnote w:id="8">
    <w:p w:rsidR="00034701">
      <w:r>
        <w:rPr>
          <w:rStyle w:val="FootnoteCharacters"/>
        </w:rPr>
        <w:footnoteRef/>
      </w:r>
      <w:r>
        <w:t xml:space="preserve">Russell, M. &amp; Gover, D. (2021), </w:t>
      </w:r>
      <w:r>
        <w:rPr>
          <w:i/>
          <w:iCs/>
        </w:rPr>
        <w:t>Taking Back Control: Why the House of Commons Should Govern Its Own Time</w:t>
      </w:r>
      <w:r>
        <w:t xml:space="preserve"> (London: UCL Constitution Unit).</w:t>
      </w:r>
    </w:p>
  </w:footnote>
  <w:footnote w:id="9">
    <w:p w:rsidR="00034701">
      <w:r>
        <w:rPr>
          <w:rStyle w:val="FootnoteCharacters"/>
        </w:rPr>
        <w:footnoteRef/>
      </w:r>
      <w:r>
        <w:t xml:space="preserve">House of Commons Modernisation Committee (2026), </w:t>
      </w:r>
      <w:r>
        <w:rPr>
          <w:i/>
          <w:iCs/>
        </w:rPr>
        <w:t>Summary note: Modernisation Committee Engagement event with experts and academics</w:t>
      </w:r>
      <w:r>
        <w:t>, 24 March 2026.</w:t>
      </w:r>
    </w:p>
  </w:footnote>
  <w:footnote w:id="10">
    <w:p w:rsidR="00034701">
      <w:r>
        <w:rPr>
          <w:rStyle w:val="FootnoteCharacters"/>
        </w:rPr>
        <w:footnoteRef/>
      </w:r>
      <w:r>
        <w:t xml:space="preserve">Leston-Bandeira, C. &amp; Thompson, L. (2026), ‘The Backbench Business Committee at 15: How backbench MPs gained a stronger voice in the House of Commons and the issues and challenges that have arisen’, </w:t>
      </w:r>
      <w:r>
        <w:rPr>
          <w:i/>
          <w:iCs/>
        </w:rPr>
        <w:t>Hansard Society blog</w:t>
      </w:r>
      <w:r>
        <w:t>, 6 March 2026.</w:t>
      </w:r>
    </w:p>
  </w:footnote>
  <w:footnote w:id="11">
    <w:p w:rsidR="00034701">
      <w:r>
        <w:rPr>
          <w:rStyle w:val="FootnoteCharacters"/>
        </w:rPr>
        <w:footnoteRef/>
      </w:r>
      <w:r>
        <w:t xml:space="preserve">Russell, M. &amp; Kelly, H. (2025), ‘Assessing the House of Commons Backbench Business Committee 15 Years On’, </w:t>
      </w:r>
      <w:r>
        <w:rPr>
          <w:i/>
          <w:iCs/>
        </w:rPr>
        <w:t>Constitution Unit blog</w:t>
      </w:r>
      <w:r>
        <w:t>, November 2025.</w:t>
      </w:r>
    </w:p>
  </w:footnote>
  <w:footnote w:id="12">
    <w:p w:rsidR="00034701">
      <w:r>
        <w:rPr>
          <w:rStyle w:val="FootnoteCharacters"/>
        </w:rPr>
        <w:footnoteRef/>
      </w:r>
      <w:r>
        <w:t xml:space="preserve">Barker, D., Ballard, A. &amp; Carman, C. J. (2025), </w:t>
      </w:r>
      <w:r>
        <w:rPr>
          <w:i/>
          <w:iCs/>
        </w:rPr>
        <w:t>Dealmakers: The Psychology of Legislative Compromise</w:t>
      </w:r>
      <w:r>
        <w:t xml:space="preserve"> (Oxford: Oxford University Press).</w:t>
      </w:r>
    </w:p>
  </w:footnote>
  <w:footnote w:id="13">
    <w:p w:rsidR="00034701">
      <w:r>
        <w:rPr>
          <w:rStyle w:val="FootnoteCharacters"/>
        </w:rPr>
        <w:footnoteRef/>
      </w:r>
      <w:r>
        <w:t xml:space="preserve">Tyler, T. R. (1990), </w:t>
      </w:r>
      <w:r>
        <w:rPr>
          <w:i/>
          <w:iCs/>
        </w:rPr>
        <w:t>Why People Obey the Law</w:t>
      </w:r>
      <w:r>
        <w:t xml:space="preserve"> (New Haven: Yale University Press). The procedural justice tradition is also developed in Tyler, T. R. (1997), ‘The Psychology of Legitimacy: A Relational Perspective on Voluntary Deference to Authorities’, </w:t>
      </w:r>
      <w:r>
        <w:rPr>
          <w:i/>
          <w:iCs/>
        </w:rPr>
        <w:t>Personality and Social Psychology Review</w:t>
      </w:r>
      <w:r>
        <w:t>, 1(4), 323–345.</w:t>
      </w:r>
    </w:p>
  </w:footnote>
  <w:footnote w:id="14">
    <w:p w:rsidR="00034701" w:rsidRPr="00264264">
      <w:r>
        <w:rPr>
          <w:rStyle w:val="FootnoteCharacters"/>
        </w:rPr>
        <w:footnoteRef/>
      </w:r>
      <w:r>
        <w:t xml:space="preserve">Carman, C. J. (2010), ‘The Process is the Reality: Perceptions of Procedural Fairness and Participatory Democracy’, </w:t>
      </w:r>
      <w:r>
        <w:rPr>
          <w:i/>
          <w:iCs/>
        </w:rPr>
        <w:t>Political Studies</w:t>
      </w:r>
      <w:r>
        <w:t xml:space="preserve">, 58(4), 731–751; cf. Carman, C.J. (2006) </w:t>
      </w:r>
      <w:r>
        <w:rPr>
          <w:i/>
          <w:iCs/>
        </w:rPr>
        <w:t>Assessment of the Scottish Parliament’s Public Petitions System</w:t>
      </w:r>
      <w:r>
        <w:t xml:space="preserve"> (Edinburgh; Scottish Parliament).</w:t>
      </w:r>
    </w:p>
  </w:footnote>
  <w:footnote w:id="15">
    <w:p w:rsidR="00034701">
      <w:r>
        <w:rPr>
          <w:rStyle w:val="FootnoteCharacters"/>
        </w:rPr>
        <w:footnoteRef/>
      </w:r>
      <w:r>
        <w:t xml:space="preserve">Carman, C. J. (2012), ‘Barriers are Barriers: Asymmetric Participation in the Scottish Public Petitions System’, </w:t>
      </w:r>
      <w:r>
        <w:rPr>
          <w:i/>
          <w:iCs/>
        </w:rPr>
        <w:t>Parliamentary Affairs</w:t>
      </w:r>
      <w:r>
        <w:t xml:space="preserve">, 67(1), 159–181; cf. Carman, C.J., Diffley, M. &amp; Chen, V. (2009) </w:t>
      </w:r>
      <w:r w:rsidRPr="00264264">
        <w:rPr>
          <w:i/>
          <w:iCs/>
        </w:rPr>
        <w:t>Engaging the public in the Scottish Parliament’s petitions process</w:t>
      </w:r>
      <w:r>
        <w:t xml:space="preserve">. </w:t>
      </w:r>
    </w:p>
  </w:footnote>
  <w:footnote w:id="16">
    <w:p w:rsidR="00034701">
      <w:r>
        <w:rPr>
          <w:rStyle w:val="FootnoteCharacters"/>
        </w:rPr>
        <w:footnoteRef/>
      </w:r>
      <w:r>
        <w:t xml:space="preserve">Easton, D. (1965), </w:t>
      </w:r>
      <w:r>
        <w:rPr>
          <w:i/>
          <w:iCs/>
        </w:rPr>
        <w:t>A Systems Analysis of Political Life</w:t>
      </w:r>
      <w:r>
        <w:t xml:space="preserve"> (New York: John Wiley &amp; Sons). </w:t>
      </w:r>
    </w:p>
  </w:footnote>
  <w:footnote w:id="17">
    <w:p w:rsidR="00034701">
      <w:r>
        <w:rPr>
          <w:rStyle w:val="FootnoteCharacters"/>
        </w:rPr>
        <w:footnoteRef/>
      </w:r>
      <w:r>
        <w:t xml:space="preserve">Mitchell, J. &amp; McLeish, H. (2025), </w:t>
      </w:r>
      <w:r>
        <w:rPr>
          <w:i/>
          <w:iCs/>
        </w:rPr>
        <w:t>Unfinished Business</w:t>
      </w:r>
      <w:r>
        <w:t xml:space="preserve"> (Edinburgh: </w:t>
      </w:r>
      <w:r>
        <w:t>Luath</w:t>
      </w:r>
      <w:r>
        <w:t xml:space="preserve"> Press); Shephard, M. (2019), in G. Hassan (ed.), </w:t>
      </w:r>
      <w:r>
        <w:rPr>
          <w:i/>
          <w:iCs/>
        </w:rPr>
        <w:t>The Story of the Scottish Parliament</w:t>
      </w:r>
      <w:r>
        <w:t xml:space="preserve"> (Edinburgh: Edinburgh University Press).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AE97355"/>
    <w:multiLevelType w:val="multilevel"/>
    <w:tmpl w:val="BEC2A474"/>
    <w:lvl w:ilvl="0">
      <w:start w:val="1"/>
      <w:numFmt w:val="bullet"/>
      <w:lvlText w:val=""/>
      <w:lvlJc w:val="left"/>
      <w:pPr>
        <w:tabs>
          <w:tab w:val="num" w:pos="0"/>
        </w:tabs>
        <w:ind w:left="720" w:hanging="360"/>
      </w:pPr>
      <w:rPr>
        <w:rFonts w:ascii="Symbol" w:hAnsi="Symbol" w:cs="Symbol" w:hint="default"/>
      </w:rPr>
    </w:lvl>
    <w:lvl w:ilvl="1">
      <w:start w:val="0"/>
      <w:numFmt w:val="decimal"/>
      <w:lvlJc w:val="left"/>
      <w:pPr>
        <w:tabs>
          <w:tab w:val="num" w:pos="0"/>
        </w:tabs>
        <w:ind w:left="0" w:firstLine="0"/>
      </w:pPr>
    </w:lvl>
    <w:lvl w:ilvl="2">
      <w:start w:val="0"/>
      <w:numFmt w:val="decimal"/>
      <w:lvlJc w:val="left"/>
      <w:pPr>
        <w:tabs>
          <w:tab w:val="num" w:pos="0"/>
        </w:tabs>
        <w:ind w:left="0" w:firstLine="0"/>
      </w:pPr>
    </w:lvl>
    <w:lvl w:ilvl="3">
      <w:start w:val="0"/>
      <w:numFmt w:val="decimal"/>
      <w:lvlJc w:val="left"/>
      <w:pPr>
        <w:tabs>
          <w:tab w:val="num" w:pos="0"/>
        </w:tabs>
        <w:ind w:left="0" w:firstLine="0"/>
      </w:pPr>
    </w:lvl>
    <w:lvl w:ilvl="4">
      <w:start w:val="0"/>
      <w:numFmt w:val="decimal"/>
      <w:lvlJc w:val="left"/>
      <w:pPr>
        <w:tabs>
          <w:tab w:val="num" w:pos="0"/>
        </w:tabs>
        <w:ind w:left="0" w:firstLine="0"/>
      </w:pPr>
    </w:lvl>
    <w:lvl w:ilvl="5">
      <w:start w:val="0"/>
      <w:numFmt w:val="decimal"/>
      <w:lvlJc w:val="left"/>
      <w:pPr>
        <w:tabs>
          <w:tab w:val="num" w:pos="0"/>
        </w:tabs>
        <w:ind w:left="0" w:firstLine="0"/>
      </w:pPr>
    </w:lvl>
    <w:lvl w:ilvl="6">
      <w:start w:val="0"/>
      <w:numFmt w:val="decimal"/>
      <w:lvlJc w:val="left"/>
      <w:pPr>
        <w:tabs>
          <w:tab w:val="num" w:pos="0"/>
        </w:tabs>
        <w:ind w:left="0" w:firstLine="0"/>
      </w:pPr>
    </w:lvl>
    <w:lvl w:ilvl="7">
      <w:start w:val="0"/>
      <w:numFmt w:val="decimal"/>
      <w:lvlJc w:val="left"/>
      <w:pPr>
        <w:tabs>
          <w:tab w:val="num" w:pos="0"/>
        </w:tabs>
        <w:ind w:left="0" w:firstLine="0"/>
      </w:pPr>
    </w:lvl>
    <w:lvl w:ilvl="8">
      <w:start w:val="0"/>
      <w:numFmt w:val="decimal"/>
      <w:lvlJc w:val="left"/>
      <w:pPr>
        <w:tabs>
          <w:tab w:val="num" w:pos="0"/>
        </w:tabs>
        <w:ind w:left="0" w:firstLine="0"/>
      </w:pPr>
    </w:lvl>
  </w:abstractNum>
  <w:abstractNum w:abstractNumId="1">
    <w:nsid w:val="520315B8"/>
    <w:multiLevelType w:val="multilevel"/>
    <w:tmpl w:val="C272349A"/>
    <w:lvl w:ilvl="0">
      <w:start w:val="1"/>
      <w:numFmt w:val="bullet"/>
      <w:lvlText w:val=""/>
      <w:lvlJc w:val="left"/>
      <w:pPr>
        <w:tabs>
          <w:tab w:val="num" w:pos="0"/>
        </w:tabs>
        <w:ind w:left="720" w:hanging="360"/>
      </w:pPr>
      <w:rPr>
        <w:rFonts w:ascii="Symbol" w:hAnsi="Symbol" w:cs="Symbol" w:hint="default"/>
      </w:rPr>
    </w:lvl>
    <w:lvl w:ilvl="1">
      <w:start w:val="0"/>
      <w:numFmt w:val="decimal"/>
      <w:lvlJc w:val="left"/>
      <w:pPr>
        <w:tabs>
          <w:tab w:val="num" w:pos="0"/>
        </w:tabs>
        <w:ind w:left="0" w:firstLine="0"/>
      </w:pPr>
    </w:lvl>
    <w:lvl w:ilvl="2">
      <w:start w:val="0"/>
      <w:numFmt w:val="decimal"/>
      <w:lvlJc w:val="left"/>
      <w:pPr>
        <w:tabs>
          <w:tab w:val="num" w:pos="0"/>
        </w:tabs>
        <w:ind w:left="0" w:firstLine="0"/>
      </w:pPr>
    </w:lvl>
    <w:lvl w:ilvl="3">
      <w:start w:val="0"/>
      <w:numFmt w:val="decimal"/>
      <w:lvlJc w:val="left"/>
      <w:pPr>
        <w:tabs>
          <w:tab w:val="num" w:pos="0"/>
        </w:tabs>
        <w:ind w:left="0" w:firstLine="0"/>
      </w:pPr>
    </w:lvl>
    <w:lvl w:ilvl="4">
      <w:start w:val="0"/>
      <w:numFmt w:val="decimal"/>
      <w:lvlJc w:val="left"/>
      <w:pPr>
        <w:tabs>
          <w:tab w:val="num" w:pos="0"/>
        </w:tabs>
        <w:ind w:left="0" w:firstLine="0"/>
      </w:pPr>
    </w:lvl>
    <w:lvl w:ilvl="5">
      <w:start w:val="0"/>
      <w:numFmt w:val="decimal"/>
      <w:lvlJc w:val="left"/>
      <w:pPr>
        <w:tabs>
          <w:tab w:val="num" w:pos="0"/>
        </w:tabs>
        <w:ind w:left="0" w:firstLine="0"/>
      </w:pPr>
    </w:lvl>
    <w:lvl w:ilvl="6">
      <w:start w:val="0"/>
      <w:numFmt w:val="decimal"/>
      <w:lvlJc w:val="left"/>
      <w:pPr>
        <w:tabs>
          <w:tab w:val="num" w:pos="0"/>
        </w:tabs>
        <w:ind w:left="0" w:firstLine="0"/>
      </w:pPr>
    </w:lvl>
    <w:lvl w:ilvl="7">
      <w:start w:val="0"/>
      <w:numFmt w:val="decimal"/>
      <w:lvlJc w:val="left"/>
      <w:pPr>
        <w:tabs>
          <w:tab w:val="num" w:pos="0"/>
        </w:tabs>
        <w:ind w:left="0" w:firstLine="0"/>
      </w:pPr>
    </w:lvl>
    <w:lvl w:ilvl="8">
      <w:start w:val="0"/>
      <w:numFmt w:val="decimal"/>
      <w:lvlJc w:val="left"/>
      <w:pPr>
        <w:tabs>
          <w:tab w:val="num" w:pos="0"/>
        </w:tabs>
        <w:ind w:left="0" w:firstLine="0"/>
      </w:pPr>
    </w:lvl>
  </w:abstractNum>
  <w:abstractNum w:abstractNumId="2">
    <w:nsid w:val="52CC2FE5"/>
    <w:multiLevelType w:val="multilevel"/>
    <w:tmpl w:val="308A97CE"/>
    <w:lvl w:ilvl="0">
      <w:start w:val="1"/>
      <w:numFmt w:val="none"/>
      <w:suff w:val="nothing"/>
      <w:lvlJc w:val="left"/>
      <w:pPr>
        <w:tabs>
          <w:tab w:val="num" w:pos="0"/>
        </w:tabs>
        <w:ind w:left="0" w:firstLine="0"/>
      </w:pPr>
    </w:lvl>
    <w:lvl w:ilvl="1">
      <w:start w:val="1"/>
      <w:numFmt w:val="none"/>
      <w:suff w:val="nothing"/>
      <w:lvlJc w:val="left"/>
      <w:pPr>
        <w:tabs>
          <w:tab w:val="num" w:pos="0"/>
        </w:tabs>
        <w:ind w:left="0" w:firstLine="0"/>
      </w:pPr>
    </w:lvl>
    <w:lvl w:ilvl="2">
      <w:start w:val="1"/>
      <w:numFmt w:val="none"/>
      <w:suff w:val="nothing"/>
      <w:lvlJc w:val="left"/>
      <w:pPr>
        <w:tabs>
          <w:tab w:val="num" w:pos="0"/>
        </w:tabs>
        <w:ind w:left="0" w:firstLine="0"/>
      </w:pPr>
    </w:lvl>
    <w:lvl w:ilvl="3">
      <w:start w:val="1"/>
      <w:numFmt w:val="none"/>
      <w:suff w:val="nothing"/>
      <w:lvlJc w:val="left"/>
      <w:pPr>
        <w:tabs>
          <w:tab w:val="num" w:pos="0"/>
        </w:tabs>
        <w:ind w:left="0" w:firstLine="0"/>
      </w:pPr>
    </w:lvl>
    <w:lvl w:ilvl="4">
      <w:start w:val="1"/>
      <w:numFmt w:val="none"/>
      <w:suff w:val="nothing"/>
      <w:lvlJc w:val="left"/>
      <w:pPr>
        <w:tabs>
          <w:tab w:val="num" w:pos="0"/>
        </w:tabs>
        <w:ind w:left="0" w:firstLine="0"/>
      </w:pPr>
    </w:lvl>
    <w:lvl w:ilvl="5">
      <w:start w:val="1"/>
      <w:numFmt w:val="none"/>
      <w:suff w:val="nothing"/>
      <w:lvlJc w:val="left"/>
      <w:pPr>
        <w:tabs>
          <w:tab w:val="num" w:pos="0"/>
        </w:tabs>
        <w:ind w:left="0" w:firstLine="0"/>
      </w:pPr>
    </w:lvl>
    <w:lvl w:ilvl="6">
      <w:start w:val="1"/>
      <w:numFmt w:val="none"/>
      <w:suff w:val="nothing"/>
      <w:lvlJc w:val="left"/>
      <w:pPr>
        <w:tabs>
          <w:tab w:val="num" w:pos="0"/>
        </w:tabs>
        <w:ind w:left="0" w:firstLine="0"/>
      </w:pPr>
    </w:lvl>
    <w:lvl w:ilvl="7">
      <w:start w:val="1"/>
      <w:numFmt w:val="none"/>
      <w:suff w:val="nothing"/>
      <w:lvlJc w:val="left"/>
      <w:pPr>
        <w:tabs>
          <w:tab w:val="num" w:pos="0"/>
        </w:tabs>
        <w:ind w:left="0" w:firstLine="0"/>
      </w:pPr>
    </w:lvl>
    <w:lvl w:ilvl="8">
      <w:start w:val="1"/>
      <w:numFmt w:val="none"/>
      <w:suff w:val="nothing"/>
      <w:lvlJc w:val="left"/>
      <w:pPr>
        <w:tabs>
          <w:tab w:val="num" w:pos="0"/>
        </w:tabs>
        <w:ind w:left="0" w:firstLine="0"/>
      </w:pPr>
    </w:lvl>
  </w:abstractNum>
  <w:num w:numId="1">
    <w:abstractNumId w:val="1"/>
  </w:num>
  <w:num w:numId="2">
    <w:abstractNumId w:val="0"/>
  </w:num>
  <w:num w:numId="3">
    <w:abstractNumId w:val="2"/>
  </w:num>
  <w:num w:numId="4">
    <w:abstractNumId w:val="0"/>
    <w:lvlOverride w:ilvl="0">
      <w:startOverride w:val="1"/>
    </w:lvlOverride>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removePersonalInformation/>
  <w:proofState w:spelling="clean" w:grammar="clean"/>
  <w:doNotTrackMoves/>
  <w:defaultTabStop w:val="720"/>
  <w:autoHyphenation/>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GB" w:eastAsia="en-GB"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uiPriority w:val="9"/>
    <w:qFormat/>
    <w:pPr>
      <w:spacing w:before="320" w:after="160"/>
      <w:outlineLvl w:val="0"/>
    </w:pPr>
    <w:rPr>
      <w:b/>
      <w:bCs/>
      <w:sz w:val="26"/>
      <w:szCs w:val="26"/>
    </w:rPr>
  </w:style>
  <w:style w:type="paragraph" w:styleId="Heading2">
    <w:name w:val="heading 2"/>
    <w:uiPriority w:val="9"/>
    <w:unhideWhenUsed/>
    <w:qFormat/>
    <w:pPr>
      <w:spacing w:before="220" w:after="120"/>
      <w:outlineLvl w:val="1"/>
    </w:pPr>
    <w:rPr>
      <w:b/>
      <w:bCs/>
      <w:i/>
      <w:iCs/>
      <w:sz w:val="23"/>
      <w:szCs w:val="23"/>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563C1"/>
      <w:u w:val="single"/>
    </w:rPr>
  </w:style>
  <w:style w:type="character" w:customStyle="1" w:styleId="FootnoteCharacters">
    <w:name w:val="Footnote Characters"/>
    <w:uiPriority w:val="99"/>
    <w:semiHidden/>
    <w:unhideWhenUsed/>
    <w:qFormat/>
    <w:rPr>
      <w:vertAlign w:val="superscript"/>
    </w:rPr>
  </w:style>
  <w:style w:type="character" w:styleId="FootnoteReference">
    <w:name w:val="footnote reference"/>
    <w:rPr>
      <w:vertAlign w:val="superscript"/>
    </w:rPr>
  </w:style>
  <w:style w:type="character" w:customStyle="1" w:styleId="FootnoteTextChar">
    <w:name w:val="Footnote Text Char"/>
    <w:link w:val="FootnoteText"/>
    <w:uiPriority w:val="99"/>
    <w:semiHidden/>
    <w:unhideWhenUsed/>
    <w:qFormat/>
    <w:rPr>
      <w:sz w:val="20"/>
      <w:szCs w:val="20"/>
    </w:rPr>
  </w:style>
  <w:style w:type="character" w:customStyle="1" w:styleId="EndnoteCharacters">
    <w:name w:val="Endnote Characters"/>
    <w:uiPriority w:val="99"/>
    <w:semiHidden/>
    <w:unhideWhenUsed/>
    <w:qFormat/>
    <w:rPr>
      <w:vertAlign w:val="superscript"/>
    </w:rPr>
  </w:style>
  <w:style w:type="character" w:styleId="EndnoteReference">
    <w:name w:val="endnote reference"/>
    <w:rPr>
      <w:vertAlign w:val="superscript"/>
    </w:rPr>
  </w:style>
  <w:style w:type="character" w:customStyle="1" w:styleId="EndnoteTextChar">
    <w:name w:val="Endnote Text Char"/>
    <w:link w:val="EndnoteText"/>
    <w:uiPriority w:val="99"/>
    <w:semiHidden/>
    <w:unhideWhenUsed/>
    <w:qFormat/>
    <w:rPr>
      <w:sz w:val="20"/>
      <w:szCs w:val="20"/>
    </w:rPr>
  </w:style>
  <w:style w:type="character" w:styleId="LineNumber">
    <w:name w:val="line number"/>
  </w:style>
  <w:style w:type="paragraph" w:customStyle="1" w:styleId="Heading">
    <w:name w:val="Heading"/>
    <w:basedOn w:val="Normal"/>
    <w:next w:val="BodyText"/>
    <w:qFormat/>
    <w:pPr>
      <w:keepNext/>
      <w:spacing w:before="240" w:after="120"/>
    </w:pPr>
    <w:rPr>
      <w:rFonts w:ascii="Liberation Sans" w:eastAsia="Noto Sans CJK SC" w:hAnsi="Liberation Sans" w:cs="FreeSans"/>
      <w:sz w:val="28"/>
      <w:szCs w:val="28"/>
    </w:rPr>
  </w:style>
  <w:style w:type="paragraph" w:styleId="BodyText">
    <w:name w:val="Body Text"/>
    <w:basedOn w:val="Normal"/>
    <w:pPr>
      <w:spacing w:after="140" w:line="276"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paragraph" w:styleId="FootnoteText">
    <w:name w:val="footnote text"/>
    <w:link w:val="FootnoteTextChar"/>
    <w:pPr>
      <w:spacing w:after="80"/>
    </w:pPr>
    <w:rPr>
      <w:sz w:val="18"/>
      <w:szCs w:val="18"/>
    </w:rPr>
  </w:style>
  <w:style w:type="paragraph" w:styleId="EndnoteText">
    <w:name w:val="endnote text"/>
    <w:link w:val="EndnoteTextChar"/>
    <w:uiPriority w:val="99"/>
    <w:semiHidden/>
    <w:unhideWhenUsed/>
    <w:rPr>
      <w:sz w:val="20"/>
      <w:szCs w:val="20"/>
    </w:rPr>
  </w:style>
  <w:style w:type="paragraph" w:styleId="Revision">
    <w:name w:val="Revision"/>
    <w:uiPriority w:val="99"/>
    <w:semiHidden/>
    <w:qFormat/>
    <w:rsid w:val="00574156"/>
  </w:style>
  <w:style w:type="paragraph" w:customStyle="1" w:styleId="HeaderandFooter">
    <w:name w:val="Header and Footer"/>
    <w:basedOn w:val="Normal"/>
    <w:qFormat/>
  </w:style>
  <w:style w:type="paragraph" w:styleId="Footer">
    <w:name w:val="footer"/>
    <w:basedOn w:val="HeaderandFooter"/>
  </w:style>
  <w:style w:type="paragraph" w:styleId="Header">
    <w:name w:val="header"/>
    <w:basedOn w:val="Normal"/>
    <w:link w:val="HeaderChar"/>
    <w:uiPriority w:val="99"/>
    <w:unhideWhenUsed/>
    <w:rsid w:val="00BD6ACC"/>
    <w:pPr>
      <w:tabs>
        <w:tab w:val="center" w:pos="4513"/>
        <w:tab w:val="right" w:pos="9026"/>
      </w:tabs>
    </w:pPr>
  </w:style>
  <w:style w:type="character" w:customStyle="1" w:styleId="HeaderChar">
    <w:name w:val="Header Char"/>
    <w:basedOn w:val="DefaultParagraphFont"/>
    <w:link w:val="Header"/>
    <w:uiPriority w:val="99"/>
    <w:rsid w:val="00BD6A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12700" cap="flat" cmpd="sng" algn="ctr">
          <a:prstDash val="solid"/>
          <a:miter lim="800000"/>
        </a:ln>
        <a:ln w="19050" cap="flat" cmpd="sng" algn="ctr">
          <a:prstDash val="solid"/>
          <a:miter lim="800000"/>
        </a:ln>
        <a:ln w="2540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BBB0010</dc:title>
  <cp:revision>0</cp:revision>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2026-04-24T11:08:00Z</dcterms:created>
  <dc:creator>Christopher J. Carman</dc:creator>
  <dc:description/>
  <dc:language>en-US</dc:language>
  <cp:lastModifiedBy/>
  <dcterms:modified xsi:type="dcterms:W3CDTF">2026-04-24T11:11:36Z</dcterms:modified>
  <cp:revision>3</cp:revision>
  <dc:subject/>
  <dc:title>Written evidence to the Modernisation Committee</dc:title>
</cp:coreProperties>
</file>