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75F3" w:rsidP="00A2082B">
      <w:pPr>
        <w:jc w:val="both"/>
      </w:pPr>
      <w:bookmarkStart w:id="0" w:name="_Hlk211339302"/>
      <w:r w:rsidRPr="744F0EBA">
        <w:rPr>
          <w:rFonts w:ascii="Calibri" w:eastAsia="Arial Nova" w:hAnsi="Calibri" w:cs="Calibri"/>
          <w:b/>
          <w:bCs/>
        </w:rPr>
        <w:t xml:space="preserve">Written evidence submitted by </w:t>
      </w:r>
      <w:r>
        <w:rPr>
          <w:rFonts w:ascii="Calibri" w:eastAsia="Arial Nova" w:hAnsi="Calibri" w:cs="Calibri"/>
          <w:b/>
          <w:bCs/>
        </w:rPr>
        <w:t xml:space="preserve">Dr Daniel Gover </w:t>
      </w:r>
      <w:r w:rsidRPr="0003261C" w:rsidR="0003261C">
        <w:rPr>
          <w:rFonts w:ascii="Calibri" w:eastAsia="Arial Nova" w:hAnsi="Calibri" w:cs="Calibri"/>
          <w:b/>
          <w:bCs/>
        </w:rPr>
        <w:t xml:space="preserve">(Queen Mary University) </w:t>
      </w:r>
      <w:r w:rsidRPr="744F0EBA">
        <w:rPr>
          <w:rFonts w:ascii="Calibri" w:eastAsia="Arial Nova" w:hAnsi="Calibri" w:cs="Calibri"/>
          <w:b/>
          <w:bCs/>
        </w:rPr>
        <w:t>(</w:t>
      </w:r>
      <w:r w:rsidRPr="00DA12B5">
        <w:rPr>
          <w:rFonts w:ascii="Calibri" w:eastAsia="Arial Nova" w:hAnsi="Calibri" w:cs="Calibri"/>
          <w:b/>
          <w:bCs/>
        </w:rPr>
        <w:t>BBB000</w:t>
      </w:r>
      <w:r>
        <w:rPr>
          <w:rFonts w:ascii="Calibri" w:eastAsia="Arial Nova" w:hAnsi="Calibri" w:cs="Calibri"/>
          <w:b/>
          <w:bCs/>
        </w:rPr>
        <w:t>9</w:t>
      </w:r>
      <w:r w:rsidRPr="744F0EBA">
        <w:rPr>
          <w:rFonts w:ascii="Calibri" w:eastAsia="Arial Nova" w:hAnsi="Calibri" w:cs="Calibri"/>
          <w:b/>
          <w:bCs/>
        </w:rPr>
        <w:t>)</w:t>
      </w:r>
      <w:bookmarkEnd w:id="0"/>
    </w:p>
    <w:p w:rsidR="000275F3" w:rsidP="00525FA8">
      <w:pPr>
        <w:spacing w:after="0" w:line="240" w:lineRule="auto"/>
      </w:pPr>
    </w:p>
    <w:p w:rsidR="000275F3" w:rsidP="00525FA8">
      <w:pPr>
        <w:pStyle w:val="ListParagraph"/>
        <w:numPr>
          <w:ilvl w:val="0"/>
          <w:numId w:val="1"/>
        </w:numPr>
        <w:spacing w:after="0" w:line="240" w:lineRule="auto"/>
      </w:pPr>
      <w:r>
        <w:t>This submission focuses on the use of Backbench Business time, and in particular how this time could be used to improve the consideration of private members’ bills (PMBs). It has been prepared by Dr Daniel Gover. I am currently conducting academic research into PMBs at Westminster, including the options for procedural reform. I intend to publish fuller proposals for reform of the process in due course.</w:t>
      </w:r>
    </w:p>
    <w:p w:rsidR="000275F3" w:rsidP="00584F28">
      <w:pPr>
        <w:spacing w:after="0" w:line="240" w:lineRule="auto"/>
      </w:pPr>
    </w:p>
    <w:p w:rsidR="000275F3" w:rsidP="00584F28">
      <w:pPr>
        <w:spacing w:after="0" w:line="240" w:lineRule="auto"/>
      </w:pPr>
    </w:p>
    <w:p w:rsidR="000275F3" w:rsidRPr="00584F28" w:rsidP="00584F28">
      <w:pPr>
        <w:spacing w:after="0" w:line="240" w:lineRule="auto"/>
        <w:rPr>
          <w:i/>
          <w:iCs/>
        </w:rPr>
      </w:pPr>
      <w:r w:rsidRPr="00584F28">
        <w:rPr>
          <w:i/>
          <w:iCs/>
        </w:rPr>
        <w:t xml:space="preserve">Making </w:t>
      </w:r>
      <w:r>
        <w:rPr>
          <w:i/>
          <w:iCs/>
        </w:rPr>
        <w:t>better</w:t>
      </w:r>
      <w:r w:rsidRPr="00584F28">
        <w:rPr>
          <w:i/>
          <w:iCs/>
        </w:rPr>
        <w:t xml:space="preserve"> use of backbench time: a new </w:t>
      </w:r>
      <w:r>
        <w:rPr>
          <w:i/>
          <w:iCs/>
        </w:rPr>
        <w:t xml:space="preserve">role for the Backbench Business Committee </w:t>
      </w:r>
      <w:r w:rsidRPr="00584F28">
        <w:rPr>
          <w:i/>
          <w:iCs/>
        </w:rPr>
        <w:t>on private members’ bills</w:t>
      </w:r>
    </w:p>
    <w:p w:rsidR="000275F3" w:rsidP="00584F28">
      <w:pPr>
        <w:spacing w:after="0" w:line="240" w:lineRule="auto"/>
      </w:pPr>
    </w:p>
    <w:p w:rsidR="000275F3" w:rsidP="00C811F1">
      <w:pPr>
        <w:pStyle w:val="ListParagraph"/>
        <w:numPr>
          <w:ilvl w:val="0"/>
          <w:numId w:val="1"/>
        </w:numPr>
        <w:spacing w:after="0" w:line="240" w:lineRule="auto"/>
      </w:pPr>
      <w:r>
        <w:t xml:space="preserve">The call for evidence asks about the appropriateness of current Backbench Business allocations. The </w:t>
      </w:r>
      <w:r w:rsidRPr="00B65F00">
        <w:rPr>
          <w:i/>
          <w:iCs/>
        </w:rPr>
        <w:t>volume</w:t>
      </w:r>
      <w:r>
        <w:t xml:space="preserve"> of time currently allocated is not obviously inappropriate, but more debatable is how that time is </w:t>
      </w:r>
      <w:r w:rsidRPr="001C0C07">
        <w:rPr>
          <w:i/>
          <w:iCs/>
        </w:rPr>
        <w:t>used</w:t>
      </w:r>
      <w:r>
        <w:t>. In its 15</w:t>
      </w:r>
      <w:r w:rsidRPr="00675400">
        <w:rPr>
          <w:vertAlign w:val="superscript"/>
        </w:rPr>
        <w:t>th</w:t>
      </w:r>
      <w:r>
        <w:t xml:space="preserve"> anniversary report, the Backbench Business Committee (BBCom) observed that there has since 2010 been a significant decline in the number of Backbench Business debates that were: (a) held on ‘substantive’ motions, or (b) subject to divisions. It concluded, rightly, that this represents a ‘lost opportunity for backbench Members’, and has stated that it will seek to encourage more Chamber debates on substantive motions </w:t>
      </w:r>
      <w:r w:rsidRPr="009A50AC">
        <w:rPr>
          <w:rFonts w:ascii="Aptos" w:hAnsi="Aptos"/>
        </w:rPr>
        <w:t>(2025, 14)</w:t>
      </w:r>
      <w:r>
        <w:t>. One obvious form of substantive business that could in future be scheduled during Backbench Business time would be debates on PMBs.</w:t>
      </w:r>
      <w:r>
        <w:rPr>
          <w:rStyle w:val="FootnoteReference"/>
        </w:rPr>
        <w:footnoteReference w:id="2"/>
      </w:r>
    </w:p>
    <w:p w:rsidR="000275F3" w:rsidP="00584F28">
      <w:pPr>
        <w:spacing w:after="0" w:line="240" w:lineRule="auto"/>
      </w:pPr>
    </w:p>
    <w:p w:rsidR="000275F3" w:rsidP="00584F28">
      <w:pPr>
        <w:pStyle w:val="ListParagraph"/>
        <w:numPr>
          <w:ilvl w:val="0"/>
          <w:numId w:val="1"/>
        </w:numPr>
        <w:spacing w:after="0" w:line="240" w:lineRule="auto"/>
      </w:pPr>
      <w:r>
        <w:t xml:space="preserve">There have been longstanding complaints that the current PMB system results in too few genuinely independent backbench proposals being seriously pursued, with those reaching the statute book typically dominated by government ‘handout’ bills </w:t>
      </w:r>
      <w:r w:rsidRPr="00114762">
        <w:rPr>
          <w:rFonts w:ascii="Aptos" w:hAnsi="Aptos"/>
        </w:rPr>
        <w:t>(Procedure Committee 2013, 2016)</w:t>
      </w:r>
      <w:r>
        <w:t>. There are at least two significant issues. First, PMBs that attract any significant disagreement are usually very difficult to progress, for example due to their vulnerability to being ‘talked out’ by small numbers of opponents. Second, where such hurdles are overcome, the PMB system lacks the same flexibility as on government bills to ensure that the bills are fully scrutinised (e.g. lacking mechanisms for pre-legislative consultation or to straightforwardly expand debating time). This concern was raised by some opponents of the Terminally Ill Adults (End of Life) Bill, though it reflects more longstanding complaints heard on other legislation as well.</w:t>
      </w:r>
    </w:p>
    <w:p w:rsidR="000275F3" w:rsidP="00553822">
      <w:pPr>
        <w:spacing w:after="0" w:line="240" w:lineRule="auto"/>
      </w:pPr>
    </w:p>
    <w:p w:rsidR="000275F3" w:rsidP="00584F28">
      <w:pPr>
        <w:pStyle w:val="ListParagraph"/>
        <w:numPr>
          <w:ilvl w:val="0"/>
          <w:numId w:val="1"/>
        </w:numPr>
        <w:spacing w:after="0" w:line="240" w:lineRule="auto"/>
      </w:pPr>
      <w:r>
        <w:t xml:space="preserve">Both sets of concerns could be addressed by creating a new role for BBCom on PMBs. The Procedure Committee </w:t>
      </w:r>
      <w:r w:rsidRPr="00114762">
        <w:rPr>
          <w:rFonts w:ascii="Aptos" w:hAnsi="Aptos"/>
        </w:rPr>
        <w:t>(2016)</w:t>
      </w:r>
      <w:r>
        <w:t xml:space="preserve"> previously recommended that BBCom be empowered to select up to four bills on merit each session to receive priority within the usual 13 PMB Friday sittings, a recommendation recently endorsed by BBCom itself </w:t>
      </w:r>
      <w:r w:rsidRPr="006A2F7F">
        <w:rPr>
          <w:rFonts w:ascii="Aptos" w:hAnsi="Aptos"/>
        </w:rPr>
        <w:t>(Backbench Business Committee 2025, 36)</w:t>
      </w:r>
      <w:r>
        <w:t>. Backbenchers’ ability to use PMBs to place issues on the political agenda, have them seriously considered, and occasionally pass them into law, is a valuable opportunity – as demonstrated by the Rare Cancers Bill in 2024-26 – and is consistent with the wider purposes of Backbench Business. There is a very strong case for this idea to be carefully considered by the Modernisation Committee, with a view to implementing it on a trial basis, as part of a wider review of PMB processes.</w:t>
      </w:r>
      <w:r>
        <w:br/>
      </w:r>
    </w:p>
    <w:p w:rsidR="000275F3" w:rsidP="00BF21D4">
      <w:pPr>
        <w:pStyle w:val="ListParagraph"/>
        <w:numPr>
          <w:ilvl w:val="0"/>
          <w:numId w:val="1"/>
        </w:numPr>
        <w:spacing w:after="0" w:line="240" w:lineRule="auto"/>
      </w:pPr>
      <w:r>
        <w:t xml:space="preserve">Creating such a role for BBCom on PMBs would also open up new possibilities, including for how to use Backbench Business time more effectively. In my written evidence to BBCom, I suggested that it should be given the option of allocating </w:t>
      </w:r>
      <w:r>
        <w:t>Backbench Business time to bills it has prioritised. This could be used, for example, where there is cross-party demand for additional debating time that cannot be straightforwardly met through PMB Friday sittings. Additional possibilities, that extend beyond the use of Backbench Business time, include:</w:t>
      </w:r>
    </w:p>
    <w:p w:rsidR="000275F3" w:rsidP="00D7519E">
      <w:pPr>
        <w:pStyle w:val="ListParagraph"/>
        <w:numPr>
          <w:ilvl w:val="1"/>
          <w:numId w:val="1"/>
        </w:numPr>
        <w:spacing w:after="0" w:line="240" w:lineRule="auto"/>
      </w:pPr>
      <w:r>
        <w:t>that BBCom could facilitate policy development and pre-legislative scrutiny work on some PMB proposals, by selecting them for scrutiny with a view to prioritising them for debate time in a future session;</w:t>
      </w:r>
    </w:p>
    <w:p w:rsidR="000275F3" w:rsidP="00D7519E">
      <w:pPr>
        <w:pStyle w:val="ListParagraph"/>
        <w:numPr>
          <w:ilvl w:val="1"/>
          <w:numId w:val="1"/>
        </w:numPr>
        <w:spacing w:after="0" w:line="240" w:lineRule="auto"/>
      </w:pPr>
      <w:r>
        <w:t>that PMBs selected by BBCom could become eligible for programming, with the committee drawing up suggested time allocations that are subject to approval by the House; and</w:t>
      </w:r>
    </w:p>
    <w:p w:rsidR="000275F3" w:rsidP="0071516B">
      <w:pPr>
        <w:pStyle w:val="ListParagraph"/>
        <w:numPr>
          <w:ilvl w:val="1"/>
          <w:numId w:val="1"/>
        </w:numPr>
        <w:spacing w:after="0" w:line="240" w:lineRule="auto"/>
      </w:pPr>
      <w:r>
        <w:t>that BBCom could, in particular, encourage PMB proposals from cross-party select committees.</w:t>
      </w:r>
    </w:p>
    <w:p w:rsidR="000275F3" w:rsidP="0071516B">
      <w:pPr>
        <w:spacing w:after="0" w:line="240" w:lineRule="auto"/>
      </w:pPr>
    </w:p>
    <w:p w:rsidR="000275F3" w:rsidP="00D7519E">
      <w:pPr>
        <w:pStyle w:val="ListParagraph"/>
        <w:numPr>
          <w:ilvl w:val="0"/>
          <w:numId w:val="1"/>
        </w:numPr>
        <w:spacing w:after="0" w:line="240" w:lineRule="auto"/>
      </w:pPr>
      <w:r>
        <w:t>Further detail on these and related suggestions is included in my written submission to BBCom.</w:t>
      </w:r>
      <w:r>
        <w:rPr>
          <w:rStyle w:val="FootnoteReference"/>
        </w:rPr>
        <w:footnoteReference w:id="3"/>
      </w:r>
    </w:p>
    <w:p w:rsidR="000275F3" w:rsidP="00F902A8">
      <w:pPr>
        <w:spacing w:after="0" w:line="240" w:lineRule="auto"/>
      </w:pPr>
    </w:p>
    <w:p w:rsidR="000275F3" w:rsidRPr="00C65C07" w:rsidP="00F902A8">
      <w:pPr>
        <w:spacing w:after="0" w:line="240" w:lineRule="auto"/>
        <w:rPr>
          <w:i/>
          <w:iCs/>
        </w:rPr>
      </w:pPr>
      <w:r w:rsidRPr="00C65C07">
        <w:rPr>
          <w:i/>
          <w:iCs/>
        </w:rPr>
        <w:t>Allocation of Backbench Business time</w:t>
      </w:r>
    </w:p>
    <w:p w:rsidR="000275F3" w:rsidP="00F902A8">
      <w:pPr>
        <w:spacing w:after="0" w:line="240" w:lineRule="auto"/>
      </w:pPr>
    </w:p>
    <w:p w:rsidR="000275F3" w:rsidP="00154FF6">
      <w:pPr>
        <w:pStyle w:val="ListParagraph"/>
        <w:numPr>
          <w:ilvl w:val="0"/>
          <w:numId w:val="1"/>
        </w:numPr>
        <w:spacing w:after="0" w:line="240" w:lineRule="auto"/>
      </w:pPr>
      <w:r>
        <w:t xml:space="preserve">Allocations for Backbench Business time (and Opposition Days) are set out in Standing Order No. 14 and are expressed in the form of a set number of days each session. There are two weaknesses to this. First, the number of days is not automatically uprated in longer sessions. Although additional days are often granted in such circumstances, practice has been inconsistent, particularly in the case of Opposition Days. Second, the timing of both types of business remains under the control of the government, with notable gaps during the 2017-19 session (at the height of the Brexit debates). Again, this particularly affected Opposition Days, but also to some extent Backbench Business. Further discussion of these issues is found in Russell and Gover </w:t>
      </w:r>
      <w:r w:rsidRPr="00154FF6">
        <w:rPr>
          <w:rFonts w:ascii="Aptos" w:hAnsi="Aptos" w:cs="Times New Roman"/>
          <w:kern w:val="0"/>
        </w:rPr>
        <w:t>(2021, 23–39)</w:t>
      </w:r>
      <w:r>
        <w:t>.</w:t>
      </w:r>
      <w:r>
        <w:rPr>
          <w:rStyle w:val="FootnoteReference"/>
        </w:rPr>
        <w:footnoteReference w:id="4"/>
      </w:r>
      <w:r>
        <w:t xml:space="preserve"> One of our recommendations was as follows:</w:t>
      </w:r>
      <w:r>
        <w:br/>
      </w:r>
    </w:p>
    <w:p w:rsidR="000275F3" w:rsidP="00154FF6">
      <w:pPr>
        <w:spacing w:after="0" w:line="240" w:lineRule="auto"/>
        <w:ind w:left="1440"/>
      </w:pPr>
      <w:r w:rsidRPr="00E60893">
        <w:rPr>
          <w:i/>
          <w:iCs/>
        </w:rPr>
        <w:t>The first, most obvious, change needed is an automatic mechanism for increased allocations of non-government business in longer parliamentary sessions. The simplest way of achieving this would be to express the allocation in Standing Order No. 14 as a regular (e.g. fortnightly or monthly) entitlement, rather than on a sessional basis.</w:t>
      </w:r>
      <w:r>
        <w:t xml:space="preserve"> </w:t>
      </w:r>
      <w:r w:rsidRPr="00E60893">
        <w:rPr>
          <w:rFonts w:ascii="Aptos" w:hAnsi="Aptos"/>
        </w:rPr>
        <w:t>(Russell and Gover 2021, 38)</w:t>
      </w:r>
    </w:p>
    <w:p w:rsidR="000275F3" w:rsidP="00E60893">
      <w:pPr>
        <w:spacing w:after="0" w:line="240" w:lineRule="auto"/>
      </w:pPr>
    </w:p>
    <w:p w:rsidR="000275F3" w:rsidP="00E60893">
      <w:pPr>
        <w:spacing w:after="0" w:line="240" w:lineRule="auto"/>
      </w:pPr>
    </w:p>
    <w:p w:rsidR="000275F3" w:rsidRPr="00E60893" w:rsidP="00E60893">
      <w:pPr>
        <w:spacing w:after="0" w:line="240" w:lineRule="auto"/>
        <w:rPr>
          <w:b/>
          <w:bCs/>
        </w:rPr>
      </w:pPr>
      <w:r w:rsidRPr="00E60893">
        <w:rPr>
          <w:b/>
          <w:bCs/>
        </w:rPr>
        <w:t>References</w:t>
      </w:r>
    </w:p>
    <w:p w:rsidR="000275F3" w:rsidP="00E60893">
      <w:pPr>
        <w:spacing w:after="0" w:line="240" w:lineRule="auto"/>
      </w:pPr>
    </w:p>
    <w:p w:rsidR="000275F3" w:rsidRPr="009A50AC" w:rsidP="009A50AC">
      <w:pPr>
        <w:pStyle w:val="Bibliography"/>
      </w:pPr>
      <w:r w:rsidRPr="009A50AC">
        <w:t xml:space="preserve">Backbench Business Committee. 2025. </w:t>
      </w:r>
      <w:r w:rsidRPr="009A50AC">
        <w:rPr>
          <w:i/>
          <w:iCs/>
        </w:rPr>
        <w:t>15th Anniversary of the Backbench Business Committee (First Special Report of Session 2024-26, HC</w:t>
      </w:r>
      <w:r>
        <w:rPr>
          <w:i/>
          <w:iCs/>
        </w:rPr>
        <w:t xml:space="preserve"> </w:t>
      </w:r>
      <w:r w:rsidRPr="009A50AC">
        <w:rPr>
          <w:i/>
          <w:iCs/>
        </w:rPr>
        <w:t>1548)</w:t>
      </w:r>
      <w:r w:rsidRPr="009A50AC">
        <w:t xml:space="preserve">. </w:t>
      </w:r>
      <w:r>
        <w:t xml:space="preserve">London: </w:t>
      </w:r>
      <w:r w:rsidRPr="009A50AC">
        <w:t>House of Commons.</w:t>
      </w:r>
    </w:p>
    <w:p w:rsidR="000275F3" w:rsidRPr="009A50AC" w:rsidP="009A50AC">
      <w:pPr>
        <w:pStyle w:val="Bibliography"/>
      </w:pPr>
      <w:r w:rsidRPr="009A50AC">
        <w:t xml:space="preserve">Procedure Committee. 2013. </w:t>
      </w:r>
      <w:r w:rsidRPr="009A50AC">
        <w:rPr>
          <w:i/>
          <w:iCs/>
        </w:rPr>
        <w:t>Private Members’ Bills (Second Report of Session 2013-14, Volume 1, HC 188-I)</w:t>
      </w:r>
      <w:r w:rsidRPr="009A50AC">
        <w:t xml:space="preserve">. </w:t>
      </w:r>
      <w:r>
        <w:t>London: House of Commons</w:t>
      </w:r>
      <w:r w:rsidRPr="009A50AC">
        <w:t>.</w:t>
      </w:r>
    </w:p>
    <w:p w:rsidR="000275F3" w:rsidRPr="009A50AC" w:rsidP="009A50AC">
      <w:pPr>
        <w:pStyle w:val="Bibliography"/>
      </w:pPr>
      <w:r w:rsidRPr="009A50AC">
        <w:t xml:space="preserve">Procedure Committee. 2016. </w:t>
      </w:r>
      <w:r w:rsidRPr="009A50AC">
        <w:rPr>
          <w:i/>
          <w:iCs/>
        </w:rPr>
        <w:t>Private Members’ Bills (Third Report of Session 2015-16, HC 684)</w:t>
      </w:r>
      <w:r w:rsidRPr="009A50AC">
        <w:t xml:space="preserve">. </w:t>
      </w:r>
      <w:r>
        <w:t xml:space="preserve">London: </w:t>
      </w:r>
      <w:r w:rsidRPr="009A50AC">
        <w:t>House of Commons.</w:t>
      </w:r>
    </w:p>
    <w:p w:rsidR="000275F3" w:rsidRPr="009A50AC" w:rsidP="009A50AC">
      <w:pPr>
        <w:pStyle w:val="Bibliography"/>
      </w:pPr>
      <w:r w:rsidRPr="009A50AC">
        <w:t xml:space="preserve">Russell, Meg, and Daniel Gover. 2021. </w:t>
      </w:r>
      <w:r w:rsidRPr="009A50AC">
        <w:rPr>
          <w:i/>
          <w:iCs/>
        </w:rPr>
        <w:t>Taking Back Control: Why the House of Commons Should Govern Its Own Time</w:t>
      </w:r>
      <w:r w:rsidRPr="009A50AC">
        <w:t xml:space="preserve">. Constitution Unit. </w:t>
      </w:r>
      <w:r>
        <w:t xml:space="preserve">Available online at </w:t>
      </w:r>
      <w:r>
        <w:fldChar w:fldCharType="begin"/>
      </w:r>
      <w:r>
        <w:instrText xml:space="preserve"> HYPERLINK "https://www.ucl.ac.uk/social-historical-sciences/sites/social_historical_sciences/files/190_taking_back_control_-_why_the_house_of_commons_should_govern_its_own_time_final_report_110121.pdf" </w:instrText>
      </w:r>
      <w:r>
        <w:fldChar w:fldCharType="separate"/>
      </w:r>
      <w:r w:rsidRPr="00403A5B">
        <w:rPr>
          <w:rStyle w:val="Hyperlink"/>
        </w:rPr>
        <w:t>https://www.ucl.ac.uk/social-historical-sciences/sites/social_historical_sciences/files/190_taking_back_control_-_why_the_house_of_commons_should_govern_its_own_time_final_report_110121.pdf</w:t>
      </w:r>
      <w:r>
        <w:fldChar w:fldCharType="end"/>
      </w:r>
      <w:r w:rsidRPr="009A50AC">
        <w:t>.</w:t>
      </w:r>
      <w:r>
        <w:t xml:space="preserve"> </w:t>
      </w:r>
    </w:p>
    <w:p w:rsidR="000275F3" w:rsidP="00E60893">
      <w:pPr>
        <w:spacing w:after="0" w:line="240" w:lineRule="auto"/>
      </w:pPr>
    </w:p>
    <w:p w:rsidR="00D724AA" w:rsidP="00A2082B">
      <w:pPr>
        <w:jc w:val="right"/>
        <w:rPr>
          <w:rFonts w:ascii="Calibri" w:hAnsi="Calibri" w:cs="Calibri"/>
          <w:b/>
          <w:bCs/>
          <w:i/>
          <w:iCs/>
        </w:rPr>
      </w:pPr>
    </w:p>
    <w:p w:rsidR="00A2082B" w:rsidRPr="00A2082B" w:rsidP="00A2082B">
      <w:pPr>
        <w:jc w:val="right"/>
        <w:rPr>
          <w:rFonts w:ascii="Calibri" w:hAnsi="Calibri" w:cs="Calibri"/>
          <w:b/>
          <w:bCs/>
          <w:i/>
          <w:iCs/>
        </w:rPr>
      </w:pPr>
      <w:r>
        <w:rPr>
          <w:rFonts w:ascii="Calibri" w:hAnsi="Calibri" w:cs="Calibri"/>
          <w:b/>
          <w:bCs/>
          <w:i/>
          <w:iCs/>
        </w:rPr>
        <w:t>April</w:t>
      </w:r>
      <w:r w:rsidRPr="00C45984">
        <w:rPr>
          <w:rFonts w:ascii="Calibri" w:hAnsi="Calibri" w:cs="Calibri"/>
          <w:b/>
          <w:bCs/>
          <w:i/>
          <w:iCs/>
        </w:rPr>
        <w:t xml:space="preserve"> 202</w:t>
      </w:r>
      <w:r>
        <w:rPr>
          <w:rFonts w:ascii="Calibri" w:hAnsi="Calibri" w:cs="Calibri"/>
          <w:b/>
          <w:bCs/>
          <w:i/>
          <w:iCs/>
        </w:rPr>
        <w:t>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73331" w:rsidP="00B5515F">
      <w:pPr>
        <w:spacing w:after="0" w:line="240" w:lineRule="auto"/>
      </w:pPr>
      <w:r>
        <w:separator/>
      </w:r>
    </w:p>
  </w:footnote>
  <w:footnote w:type="continuationSeparator" w:id="1">
    <w:p w:rsidR="00D73331" w:rsidP="00B5515F">
      <w:pPr>
        <w:spacing w:after="0" w:line="240" w:lineRule="auto"/>
      </w:pPr>
      <w:r>
        <w:continuationSeparator/>
      </w:r>
    </w:p>
  </w:footnote>
  <w:footnote w:id="2">
    <w:p w:rsidR="000275F3" w:rsidP="004661F2">
      <w:pPr>
        <w:pStyle w:val="FootnoteText"/>
      </w:pPr>
      <w:r>
        <w:rPr>
          <w:rStyle w:val="FootnoteReference"/>
        </w:rPr>
        <w:footnoteRef/>
      </w:r>
      <w:r>
        <w:t xml:space="preserve"> This would require some relatively minor changes to standing orders.</w:t>
      </w:r>
    </w:p>
  </w:footnote>
  <w:footnote w:id="3">
    <w:p w:rsidR="000275F3">
      <w:pPr>
        <w:pStyle w:val="FootnoteText"/>
      </w:pPr>
      <w:r>
        <w:rPr>
          <w:rStyle w:val="FootnoteReference"/>
        </w:rPr>
        <w:footnoteRef/>
      </w:r>
      <w:r>
        <w:t xml:space="preserve"> See: </w:t>
      </w:r>
      <w:r>
        <w:fldChar w:fldCharType="begin"/>
      </w:r>
      <w:r>
        <w:instrText xml:space="preserve"> HYPERLINK "https://committees.parliament.uk/publications/50745/documents/278012/default/" </w:instrText>
      </w:r>
      <w:r>
        <w:fldChar w:fldCharType="separate"/>
      </w:r>
      <w:r w:rsidRPr="008C40FB">
        <w:rPr>
          <w:rStyle w:val="Hyperlink"/>
        </w:rPr>
        <w:t>https://committees.parliament.uk/publications/50745/documents/278012/default/</w:t>
      </w:r>
      <w:r>
        <w:fldChar w:fldCharType="end"/>
      </w:r>
      <w:r>
        <w:t xml:space="preserve"> (pp10-13).</w:t>
      </w:r>
    </w:p>
  </w:footnote>
  <w:footnote w:id="4">
    <w:p w:rsidR="000275F3">
      <w:pPr>
        <w:pStyle w:val="FootnoteText"/>
      </w:pPr>
      <w:r>
        <w:rPr>
          <w:rStyle w:val="FootnoteReference"/>
        </w:rPr>
        <w:footnoteRef/>
      </w:r>
      <w:r>
        <w:t xml:space="preserve"> See: </w:t>
      </w:r>
      <w:r>
        <w:fldChar w:fldCharType="begin"/>
      </w:r>
      <w:r>
        <w:instrText xml:space="preserve"> HYPERLINK "https://www.ucl.ac.uk/social-historical-sciences/sites/social_historical_sciences/files/190_taking_back_control_-_why_the_house_of_commons_should_govern_its_own_time_final_report_110121.pdf" </w:instrText>
      </w:r>
      <w:r>
        <w:fldChar w:fldCharType="separate"/>
      </w:r>
      <w:r w:rsidRPr="00403A5B">
        <w:rPr>
          <w:rStyle w:val="Hyperlink"/>
        </w:rPr>
        <w:t>https://www.ucl.ac.uk/social-historical-sciences/sites/social_historical_sciences/files/190_taking_back_control_-_why_the_house_of_commons_should_govern_its_own_time_final_report_110121.pdf</w:t>
      </w:r>
      <w:r>
        <w:fldChar w:fldCharType="end"/>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C581CB1"/>
    <w:multiLevelType w:val="hybridMultilevel"/>
    <w:tmpl w:val="0C1AB9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proofState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25F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5F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5F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5F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5F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5F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5F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5F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5F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F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5F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5F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5F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5F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5F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5F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5F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5FA8"/>
    <w:rPr>
      <w:rFonts w:eastAsiaTheme="majorEastAsia" w:cstheme="majorBidi"/>
      <w:color w:val="272727" w:themeColor="text1" w:themeTint="D8"/>
    </w:rPr>
  </w:style>
  <w:style w:type="paragraph" w:styleId="Title">
    <w:name w:val="Title"/>
    <w:basedOn w:val="Normal"/>
    <w:next w:val="Normal"/>
    <w:link w:val="TitleChar"/>
    <w:uiPriority w:val="10"/>
    <w:qFormat/>
    <w:rsid w:val="00525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F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F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F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FA8"/>
    <w:pPr>
      <w:spacing w:before="160"/>
      <w:jc w:val="center"/>
    </w:pPr>
    <w:rPr>
      <w:i/>
      <w:iCs/>
      <w:color w:val="404040" w:themeColor="text1" w:themeTint="BF"/>
    </w:rPr>
  </w:style>
  <w:style w:type="character" w:customStyle="1" w:styleId="QuoteChar">
    <w:name w:val="Quote Char"/>
    <w:basedOn w:val="DefaultParagraphFont"/>
    <w:link w:val="Quote"/>
    <w:uiPriority w:val="29"/>
    <w:rsid w:val="00525FA8"/>
    <w:rPr>
      <w:i/>
      <w:iCs/>
      <w:color w:val="404040" w:themeColor="text1" w:themeTint="BF"/>
    </w:rPr>
  </w:style>
  <w:style w:type="paragraph" w:styleId="ListParagraph">
    <w:name w:val="List Paragraph"/>
    <w:basedOn w:val="Normal"/>
    <w:uiPriority w:val="34"/>
    <w:qFormat/>
    <w:rsid w:val="00525FA8"/>
    <w:pPr>
      <w:ind w:left="720"/>
      <w:contextualSpacing/>
    </w:pPr>
  </w:style>
  <w:style w:type="character" w:styleId="IntenseEmphasis">
    <w:name w:val="Intense Emphasis"/>
    <w:basedOn w:val="DefaultParagraphFont"/>
    <w:uiPriority w:val="21"/>
    <w:qFormat/>
    <w:rsid w:val="00525FA8"/>
    <w:rPr>
      <w:i/>
      <w:iCs/>
      <w:color w:val="0F4761" w:themeColor="accent1" w:themeShade="BF"/>
    </w:rPr>
  </w:style>
  <w:style w:type="paragraph" w:styleId="IntenseQuote">
    <w:name w:val="Intense Quote"/>
    <w:basedOn w:val="Normal"/>
    <w:next w:val="Normal"/>
    <w:link w:val="IntenseQuoteChar"/>
    <w:uiPriority w:val="30"/>
    <w:qFormat/>
    <w:rsid w:val="00525F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5FA8"/>
    <w:rPr>
      <w:i/>
      <w:iCs/>
      <w:color w:val="0F4761" w:themeColor="accent1" w:themeShade="BF"/>
    </w:rPr>
  </w:style>
  <w:style w:type="character" w:styleId="IntenseReference">
    <w:name w:val="Intense Reference"/>
    <w:basedOn w:val="DefaultParagraphFont"/>
    <w:uiPriority w:val="32"/>
    <w:qFormat/>
    <w:rsid w:val="00525FA8"/>
    <w:rPr>
      <w:b/>
      <w:bCs/>
      <w:smallCaps/>
      <w:color w:val="0F4761" w:themeColor="accent1" w:themeShade="BF"/>
      <w:spacing w:val="5"/>
    </w:rPr>
  </w:style>
  <w:style w:type="paragraph" w:styleId="FootnoteText">
    <w:name w:val="footnote text"/>
    <w:basedOn w:val="Normal"/>
    <w:link w:val="FootnoteTextChar"/>
    <w:uiPriority w:val="99"/>
    <w:semiHidden/>
    <w:unhideWhenUsed/>
    <w:rsid w:val="00B551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15F"/>
    <w:rPr>
      <w:sz w:val="20"/>
      <w:szCs w:val="20"/>
    </w:rPr>
  </w:style>
  <w:style w:type="character" w:styleId="FootnoteReference">
    <w:name w:val="footnote reference"/>
    <w:basedOn w:val="DefaultParagraphFont"/>
    <w:uiPriority w:val="99"/>
    <w:semiHidden/>
    <w:unhideWhenUsed/>
    <w:rsid w:val="00B5515F"/>
    <w:rPr>
      <w:vertAlign w:val="superscript"/>
    </w:rPr>
  </w:style>
  <w:style w:type="character" w:styleId="Hyperlink">
    <w:name w:val="Hyperlink"/>
    <w:basedOn w:val="DefaultParagraphFont"/>
    <w:uiPriority w:val="99"/>
    <w:unhideWhenUsed/>
    <w:rsid w:val="003A3873"/>
    <w:rPr>
      <w:color w:val="467886" w:themeColor="hyperlink"/>
      <w:u w:val="single"/>
    </w:rPr>
  </w:style>
  <w:style w:type="character" w:customStyle="1" w:styleId="UnresolvedMention1">
    <w:name w:val="Unresolved Mention1"/>
    <w:basedOn w:val="DefaultParagraphFont"/>
    <w:uiPriority w:val="99"/>
    <w:semiHidden/>
    <w:unhideWhenUsed/>
    <w:rsid w:val="003A3873"/>
    <w:rPr>
      <w:color w:val="605E5C"/>
      <w:shd w:val="clear" w:color="auto" w:fill="E1DFDD"/>
    </w:rPr>
  </w:style>
  <w:style w:type="paragraph" w:styleId="Bibliography">
    <w:name w:val="Bibliography"/>
    <w:basedOn w:val="Normal"/>
    <w:next w:val="Normal"/>
    <w:uiPriority w:val="37"/>
    <w:unhideWhenUsed/>
    <w:rsid w:val="00E60893"/>
    <w:pPr>
      <w:spacing w:after="240" w:line="240" w:lineRule="auto"/>
      <w:ind w:left="720" w:hanging="720"/>
    </w:pPr>
  </w:style>
  <w:style w:type="paragraph" w:styleId="Header">
    <w:name w:val="header"/>
    <w:basedOn w:val="Normal"/>
    <w:link w:val="HeaderChar"/>
    <w:uiPriority w:val="99"/>
    <w:unhideWhenUsed/>
    <w:rsid w:val="004A33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3A5"/>
  </w:style>
  <w:style w:type="paragraph" w:styleId="Footer">
    <w:name w:val="footer"/>
    <w:basedOn w:val="Normal"/>
    <w:link w:val="FooterChar"/>
    <w:uiPriority w:val="99"/>
    <w:unhideWhenUsed/>
    <w:rsid w:val="004A33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B5FF2-FEBF-4B08-ACE2-FFBD092750C0}">
  <ds:schemaRefs>
    <ds:schemaRef ds:uri="http://schemas.openxmlformats.org/officeDocument/2006/bibliography"/>
  </ds:schemaRefs>
</ds:datastoreItem>
</file>

<file path=docMetadata/LabelInfo.xml><?xml version="1.0" encoding="utf-8"?>
<clbl:labelList xmlns:clbl="http://schemas.microsoft.com/office/2020/mipLabelMetadata">
  <clbl:label id="{569df091-b013-40e3-86ee-bd9cb9e25814}" enabled="0" method="" siteId="{569df091-b013-40e3-86ee-bd9cb9e25814}"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BBB0009</dc:title>
  <cp:revision>0</cp:revision>
</cp:coreProperties>
</file>