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067F" w:rsidP="009D067F">
      <w:bookmarkStart w:id="0" w:name="_artok1uobxzy" w:colFirst="0" w:colLast="0"/>
      <w:bookmarkStart w:id="1" w:name="_Hlk211339302"/>
      <w:bookmarkEnd w:id="0"/>
      <w:r w:rsidRPr="744F0EBA">
        <w:rPr>
          <w:rFonts w:ascii="Calibri" w:eastAsia="Arial Nova" w:hAnsi="Calibri" w:cs="Calibri"/>
          <w:b/>
          <w:bCs/>
        </w:rPr>
        <w:t xml:space="preserve">Written evidence submitted by </w:t>
      </w:r>
      <w:r w:rsidRPr="00CF1DC3" w:rsidR="00CF1DC3">
        <w:rPr>
          <w:rFonts w:ascii="Calibri" w:eastAsia="Arial Nova" w:hAnsi="Calibri" w:cs="Calibri"/>
          <w:b/>
          <w:bCs/>
        </w:rPr>
        <w:t xml:space="preserve">Professor Hilde Coffé (University of Bath), Dr Jessica C. Smith (University of Southampton), </w:t>
      </w:r>
      <w:r w:rsidR="00CF1DC3">
        <w:rPr>
          <w:rFonts w:ascii="Calibri" w:eastAsia="Arial Nova" w:hAnsi="Calibri" w:cs="Calibri"/>
          <w:b/>
          <w:bCs/>
        </w:rPr>
        <w:t>and</w:t>
      </w:r>
      <w:r w:rsidRPr="00CF1DC3" w:rsidR="00CF1DC3">
        <w:rPr>
          <w:rFonts w:ascii="Calibri" w:eastAsia="Arial Nova" w:hAnsi="Calibri" w:cs="Calibri"/>
          <w:b/>
          <w:bCs/>
        </w:rPr>
        <w:t xml:space="preserve"> Professor Sarah Childs (University of Edinburgh)</w:t>
      </w:r>
      <w:r w:rsidRPr="00CF1DC3" w:rsidR="00CF1DC3">
        <w:rPr>
          <w:rFonts w:ascii="Calibri" w:eastAsia="Arial Nova" w:hAnsi="Calibri" w:cs="Calibri"/>
          <w:b/>
          <w:bCs/>
        </w:rPr>
        <w:t xml:space="preserve"> </w:t>
      </w:r>
      <w:r>
        <w:rPr>
          <w:rFonts w:ascii="Calibri" w:eastAsia="Arial Nova" w:hAnsi="Calibri" w:cs="Calibri"/>
          <w:b/>
          <w:bCs/>
        </w:rPr>
        <w:t>(BBB0008)</w:t>
      </w:r>
      <w:bookmarkEnd w:id="1"/>
    </w:p>
    <w:p w:rsidR="009D067F" w:rsidP="000B23C3">
      <w:pPr>
        <w:pStyle w:val="Title"/>
        <w:spacing w:after="0" w:line="280" w:lineRule="atLeast"/>
        <w:jc w:val="center"/>
        <w:rPr>
          <w:rFonts w:eastAsia="Times New Roman" w:asciiTheme="majorHAnsi" w:hAnsiTheme="majorHAnsi" w:cstheme="majorHAnsi"/>
          <w:b/>
          <w:bCs/>
          <w:sz w:val="24"/>
          <w:szCs w:val="24"/>
        </w:rPr>
      </w:pPr>
    </w:p>
    <w:p w:rsidR="00784791" w:rsidRPr="006B0471"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b/>
          <w:bCs/>
          <w:sz w:val="24"/>
          <w:szCs w:val="24"/>
        </w:rPr>
      </w:pPr>
      <w:r w:rsidRPr="006B0471">
        <w:rPr>
          <w:rFonts w:eastAsia="Times New Roman" w:asciiTheme="majorHAnsi" w:hAnsiTheme="majorHAnsi" w:cstheme="majorHAnsi"/>
          <w:b/>
          <w:bCs/>
          <w:sz w:val="24"/>
          <w:szCs w:val="24"/>
        </w:rPr>
        <w:t>Context</w:t>
      </w: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 xml:space="preserve">Our submission begins from the standpoint, as set out in previous </w:t>
      </w:r>
      <w:r>
        <w:fldChar w:fldCharType="begin"/>
      </w:r>
      <w:r>
        <w:instrText xml:space="preserve"> HYPERLINK "https://committees.parliament.uk/writtenevidence/132742/pdf/" </w:instrText>
      </w:r>
      <w:r>
        <w:fldChar w:fldCharType="separate"/>
      </w:r>
      <w:r w:rsidRPr="006B0471">
        <w:rPr>
          <w:rFonts w:eastAsia="Times New Roman" w:asciiTheme="majorHAnsi" w:hAnsiTheme="majorHAnsi" w:cstheme="majorHAnsi"/>
          <w:color w:val="1155CC"/>
          <w:sz w:val="24"/>
          <w:szCs w:val="24"/>
          <w:u w:val="single"/>
        </w:rPr>
        <w:t>evidence</w:t>
      </w:r>
      <w:r>
        <w:fldChar w:fldCharType="end"/>
      </w:r>
      <w:r w:rsidRPr="006B0471">
        <w:rPr>
          <w:rFonts w:eastAsia="Times New Roman" w:asciiTheme="majorHAnsi" w:hAnsiTheme="majorHAnsi" w:cstheme="majorHAnsi"/>
          <w:sz w:val="24"/>
          <w:szCs w:val="24"/>
        </w:rPr>
        <w:t xml:space="preserve"> submitted to the Modernisation Committee by Politics and Gender</w:t>
      </w:r>
      <w:r>
        <w:rPr>
          <w:rFonts w:eastAsia="Times New Roman" w:asciiTheme="majorHAnsi" w:hAnsiTheme="majorHAnsi" w:cstheme="majorHAnsi"/>
          <w:sz w:val="24"/>
          <w:szCs w:val="24"/>
        </w:rPr>
        <w:t xml:space="preserve"> scholars</w:t>
      </w:r>
      <w:r w:rsidRPr="006B0471">
        <w:rPr>
          <w:rFonts w:eastAsia="Times New Roman" w:asciiTheme="majorHAnsi" w:hAnsiTheme="majorHAnsi" w:cstheme="majorHAnsi"/>
          <w:sz w:val="24"/>
          <w:szCs w:val="24"/>
        </w:rPr>
        <w:t xml:space="preserve">, that a commitment to the principles of a Gender/Diversity Sensitive Parliament (G/DSP) should underpin all of the Committee’s work. </w:t>
      </w: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br/>
        <w:t xml:space="preserve">A parliament is </w:t>
      </w:r>
      <w:r w:rsidRPr="001124FD">
        <w:rPr>
          <w:rFonts w:eastAsia="Times New Roman" w:asciiTheme="majorHAnsi" w:hAnsiTheme="majorHAnsi" w:cstheme="majorHAnsi"/>
          <w:b/>
          <w:bCs/>
          <w:sz w:val="24"/>
          <w:szCs w:val="24"/>
        </w:rPr>
        <w:t>gender and diversity sensitive</w:t>
      </w:r>
      <w:r w:rsidRPr="006B0471">
        <w:rPr>
          <w:rFonts w:eastAsia="Times New Roman" w:asciiTheme="majorHAnsi" w:hAnsiTheme="majorHAnsi" w:cstheme="majorHAnsi"/>
          <w:sz w:val="24"/>
          <w:szCs w:val="24"/>
        </w:rPr>
        <w:t xml:space="preserve"> when it: </w:t>
      </w:r>
    </w:p>
    <w:p w:rsidR="00784791" w:rsidRPr="006B0471" w:rsidP="000B23C3">
      <w:pPr>
        <w:spacing w:line="280" w:lineRule="atLeast"/>
        <w:ind w:left="720"/>
        <w:jc w:val="both"/>
        <w:rPr>
          <w:rFonts w:eastAsia="Times New Roman" w:asciiTheme="majorHAnsi" w:hAnsiTheme="majorHAnsi" w:cstheme="majorHAnsi"/>
          <w:i/>
          <w:iCs/>
          <w:sz w:val="24"/>
          <w:szCs w:val="24"/>
        </w:rPr>
      </w:pPr>
      <w:r w:rsidRPr="006B0471">
        <w:rPr>
          <w:rFonts w:eastAsia="Times New Roman" w:asciiTheme="majorHAnsi" w:hAnsiTheme="majorHAnsi" w:cstheme="majorHAnsi"/>
          <w:i/>
          <w:iCs/>
          <w:sz w:val="24"/>
          <w:szCs w:val="24"/>
        </w:rPr>
        <w:t xml:space="preserve">values and prioritises gender (and other) equality as a social, economic and political objective and reorients and transforms a parliament’s institutional culture, processes and practices, and outputs towards these objectives (amended from </w:t>
      </w:r>
      <w:r>
        <w:fldChar w:fldCharType="begin"/>
      </w:r>
      <w:r>
        <w:instrText xml:space="preserve"> HYPERLINK "https://www.elgaronline.com/edcollchap/book/9781800374812/book-part-9781800374812-21.xml" </w:instrText>
      </w:r>
      <w:r>
        <w:fldChar w:fldCharType="separate"/>
      </w:r>
      <w:r w:rsidRPr="006B0471">
        <w:rPr>
          <w:rFonts w:eastAsia="Times New Roman" w:asciiTheme="majorHAnsi" w:hAnsiTheme="majorHAnsi" w:cstheme="majorHAnsi"/>
          <w:i/>
          <w:iCs/>
          <w:color w:val="1155CC"/>
          <w:sz w:val="24"/>
          <w:szCs w:val="24"/>
          <w:u w:val="single"/>
        </w:rPr>
        <w:t>Childs and Palmieri 2023</w:t>
      </w:r>
      <w:r>
        <w:fldChar w:fldCharType="end"/>
      </w:r>
      <w:r w:rsidRPr="006B0471">
        <w:rPr>
          <w:rFonts w:eastAsia="Times New Roman" w:asciiTheme="majorHAnsi" w:hAnsiTheme="majorHAnsi" w:cstheme="majorHAnsi"/>
          <w:i/>
          <w:iCs/>
          <w:sz w:val="24"/>
          <w:szCs w:val="24"/>
        </w:rPr>
        <w:t>)</w:t>
      </w:r>
      <w:r>
        <w:rPr>
          <w:rFonts w:eastAsia="Times New Roman" w:asciiTheme="majorHAnsi" w:hAnsiTheme="majorHAnsi" w:cstheme="majorHAnsi"/>
          <w:i/>
          <w:iCs/>
          <w:sz w:val="24"/>
          <w:szCs w:val="24"/>
        </w:rPr>
        <w:t>.</w:t>
      </w:r>
    </w:p>
    <w:p w:rsidR="00784791" w:rsidRPr="006B0471" w:rsidP="000B23C3">
      <w:pPr>
        <w:spacing w:line="280" w:lineRule="atLeast"/>
        <w:ind w:left="720"/>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Gender and diversity sensitivity should therefore not be treated as a separate or optional consideration for the Modernisation Committee. Rather, it must be a core analytical lens through which the Committee assesses evidence, evaluates proposed reforms, and judges reform outcomes.</w:t>
      </w:r>
    </w:p>
    <w:p w:rsidR="00784791" w:rsidRPr="006B0471"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 xml:space="preserve">In the aforementioned evidence presented to the Committee at the time of its establishment, Politics and Gender scholars </w:t>
      </w:r>
      <w:r w:rsidRPr="00670B4C">
        <w:rPr>
          <w:rFonts w:eastAsia="Times New Roman" w:asciiTheme="majorHAnsi" w:hAnsiTheme="majorHAnsi" w:cstheme="majorHAnsi"/>
          <w:sz w:val="24"/>
          <w:szCs w:val="24"/>
        </w:rPr>
        <w:t xml:space="preserve">argued </w:t>
      </w:r>
      <w:r w:rsidRPr="00670B4C">
        <w:rPr>
          <w:rFonts w:eastAsia="Times New Roman" w:asciiTheme="majorHAnsi" w:hAnsiTheme="majorHAnsi" w:cstheme="majorHAnsi"/>
          <w:sz w:val="24"/>
          <w:szCs w:val="24"/>
        </w:rPr>
        <w:t>that,</w:t>
      </w:r>
      <w:r w:rsidRPr="00670B4C">
        <w:rPr>
          <w:rFonts w:eastAsia="Times New Roman" w:asciiTheme="majorHAnsi" w:hAnsiTheme="majorHAnsi" w:cstheme="majorHAnsi"/>
          <w:sz w:val="24"/>
          <w:szCs w:val="24"/>
        </w:rPr>
        <w:t xml:space="preserve"> whatever else it undertakes, the Modernisation Committee should formally commit to subjecting all future proposals to a gender- and diversity-sensitive test. Such a commitment would help ensure that reforms are inclusive in both form and effect, do not inadvertently limit some Members’ ability to participate </w:t>
      </w:r>
      <w:r>
        <w:rPr>
          <w:rFonts w:eastAsia="Times New Roman" w:asciiTheme="majorHAnsi" w:hAnsiTheme="majorHAnsi" w:cstheme="majorHAnsi"/>
          <w:sz w:val="24"/>
          <w:szCs w:val="24"/>
        </w:rPr>
        <w:t>and thus be less</w:t>
      </w:r>
      <w:r w:rsidRPr="00670B4C">
        <w:rPr>
          <w:rFonts w:eastAsia="Times New Roman" w:asciiTheme="majorHAnsi" w:hAnsiTheme="majorHAnsi" w:cstheme="majorHAnsi"/>
          <w:sz w:val="24"/>
          <w:szCs w:val="24"/>
        </w:rPr>
        <w:t xml:space="preserve"> effective as representatives, and avoid unintended consequences for others working on the parliamentary estate, including staff.</w:t>
      </w:r>
    </w:p>
    <w:p w:rsidR="00784791" w:rsidRPr="006B0471" w:rsidP="000B23C3">
      <w:pPr>
        <w:spacing w:line="280" w:lineRule="atLeast"/>
        <w:jc w:val="both"/>
        <w:rPr>
          <w:rFonts w:eastAsia="Times New Roman" w:asciiTheme="majorHAnsi" w:hAnsiTheme="majorHAnsi" w:cstheme="majorHAnsi"/>
          <w:sz w:val="24"/>
          <w:szCs w:val="24"/>
        </w:rPr>
      </w:pPr>
    </w:p>
    <w:p w:rsidR="00784791" w:rsidRPr="006B0471" w:rsidP="000B23C3">
      <w:pPr>
        <w:shd w:val="clear" w:color="auto" w:fill="FFFFFF"/>
        <w:spacing w:line="280" w:lineRule="atLeast"/>
        <w:jc w:val="both"/>
        <w:rPr>
          <w:rFonts w:eastAsia="Times New Roman" w:asciiTheme="majorHAnsi" w:hAnsiTheme="majorHAnsi" w:cstheme="majorHAnsi"/>
          <w:color w:val="0D0D0D"/>
          <w:sz w:val="24"/>
          <w:szCs w:val="24"/>
        </w:rPr>
      </w:pPr>
      <w:r w:rsidRPr="006B0471">
        <w:rPr>
          <w:rFonts w:eastAsia="Times New Roman" w:asciiTheme="majorHAnsi" w:hAnsiTheme="majorHAnsi" w:cstheme="majorHAnsi"/>
          <w:color w:val="0D0D0D"/>
          <w:sz w:val="24"/>
          <w:szCs w:val="24"/>
        </w:rPr>
        <w:t xml:space="preserve">In practical terms, this requires two linked actions:  </w:t>
      </w:r>
    </w:p>
    <w:p w:rsidR="00784791" w:rsidRPr="006B0471" w:rsidP="000B23C3">
      <w:pPr>
        <w:numPr>
          <w:ilvl w:val="0"/>
          <w:numId w:val="2"/>
        </w:numPr>
        <w:shd w:val="clear" w:color="auto" w:fill="FFFFFF"/>
        <w:spacing w:line="280" w:lineRule="atLeast"/>
        <w:jc w:val="both"/>
        <w:rPr>
          <w:rFonts w:eastAsia="Times New Roman" w:asciiTheme="majorHAnsi" w:hAnsiTheme="majorHAnsi" w:cstheme="majorHAnsi"/>
          <w:color w:val="0D0D0D"/>
          <w:sz w:val="24"/>
          <w:szCs w:val="24"/>
        </w:rPr>
      </w:pPr>
      <w:r w:rsidRPr="00FB38C9">
        <w:rPr>
          <w:rFonts w:eastAsia="Times New Roman" w:asciiTheme="majorHAnsi" w:hAnsiTheme="majorHAnsi" w:cstheme="majorHAnsi"/>
          <w:color w:val="0D0D0D"/>
          <w:sz w:val="24"/>
          <w:szCs w:val="24"/>
        </w:rPr>
        <w:t>All proposed</w:t>
      </w:r>
      <w:r w:rsidRPr="006B0471">
        <w:rPr>
          <w:rFonts w:eastAsia="Times New Roman" w:asciiTheme="majorHAnsi" w:hAnsiTheme="majorHAnsi" w:cstheme="majorHAnsi"/>
          <w:color w:val="0D0D0D"/>
          <w:sz w:val="24"/>
          <w:szCs w:val="24"/>
        </w:rPr>
        <w:t xml:space="preserve"> reforms are subjected to </w:t>
      </w:r>
      <w:r w:rsidRPr="006B0471">
        <w:rPr>
          <w:rFonts w:eastAsia="Times New Roman" w:asciiTheme="majorHAnsi" w:hAnsiTheme="majorHAnsi" w:cstheme="majorHAnsi"/>
          <w:i/>
          <w:iCs/>
          <w:color w:val="0D0D0D"/>
          <w:sz w:val="24"/>
          <w:szCs w:val="24"/>
        </w:rPr>
        <w:t>a G/DSP test</w:t>
      </w:r>
      <w:r w:rsidRPr="006B0471">
        <w:rPr>
          <w:rFonts w:eastAsia="Times New Roman" w:asciiTheme="majorHAnsi" w:hAnsiTheme="majorHAnsi" w:cstheme="majorHAnsi"/>
          <w:color w:val="0D0D0D"/>
          <w:sz w:val="24"/>
          <w:szCs w:val="24"/>
        </w:rPr>
        <w:t>, informed by international best practice. The core question is straightforward: do the proposed reform(s) meet G/DSP principles and practices?</w:t>
      </w:r>
      <w:r>
        <w:rPr>
          <w:rFonts w:eastAsia="Times New Roman" w:asciiTheme="majorHAnsi" w:hAnsiTheme="majorHAnsi" w:cstheme="majorHAnsi"/>
          <w:color w:val="0D0D0D"/>
          <w:sz w:val="24"/>
          <w:szCs w:val="24"/>
          <w:vertAlign w:val="superscript"/>
        </w:rPr>
        <w:footnoteReference w:id="2"/>
      </w:r>
      <w:r w:rsidRPr="006B0471">
        <w:rPr>
          <w:rFonts w:eastAsia="Times New Roman" w:asciiTheme="majorHAnsi" w:hAnsiTheme="majorHAnsi" w:cstheme="majorHAnsi"/>
          <w:color w:val="0D0D0D"/>
          <w:sz w:val="24"/>
          <w:szCs w:val="24"/>
        </w:rPr>
        <w:t xml:space="preserve"> </w:t>
      </w:r>
    </w:p>
    <w:p w:rsidR="00784791" w:rsidRPr="006B0471" w:rsidP="000B23C3">
      <w:pPr>
        <w:numPr>
          <w:ilvl w:val="0"/>
          <w:numId w:val="2"/>
        </w:numPr>
        <w:shd w:val="clear" w:color="auto" w:fill="FFFFFF"/>
        <w:spacing w:line="280" w:lineRule="atLeast"/>
        <w:jc w:val="both"/>
        <w:rPr>
          <w:rFonts w:eastAsia="Times New Roman" w:asciiTheme="majorHAnsi" w:hAnsiTheme="majorHAnsi" w:cstheme="majorHAnsi"/>
          <w:color w:val="0D0D0D"/>
          <w:sz w:val="24"/>
          <w:szCs w:val="24"/>
        </w:rPr>
      </w:pPr>
      <w:r w:rsidRPr="006B0471">
        <w:rPr>
          <w:rFonts w:eastAsia="Times New Roman" w:asciiTheme="majorHAnsi" w:hAnsiTheme="majorHAnsi" w:cstheme="majorHAnsi"/>
          <w:color w:val="0D0D0D"/>
          <w:sz w:val="24"/>
          <w:szCs w:val="24"/>
        </w:rPr>
        <w:t xml:space="preserve">Robust </w:t>
      </w:r>
      <w:r w:rsidRPr="006B0471">
        <w:rPr>
          <w:rFonts w:eastAsia="Times New Roman" w:asciiTheme="majorHAnsi" w:hAnsiTheme="majorHAnsi" w:cstheme="majorHAnsi"/>
          <w:i/>
          <w:iCs/>
          <w:color w:val="0D0D0D"/>
          <w:sz w:val="24"/>
          <w:szCs w:val="24"/>
        </w:rPr>
        <w:t>data</w:t>
      </w:r>
      <w:r w:rsidRPr="006B0471">
        <w:rPr>
          <w:rFonts w:eastAsia="Times New Roman" w:asciiTheme="majorHAnsi" w:hAnsiTheme="majorHAnsi" w:cstheme="majorHAnsi"/>
          <w:color w:val="0D0D0D"/>
          <w:sz w:val="24"/>
          <w:szCs w:val="24"/>
        </w:rPr>
        <w:t xml:space="preserve"> must be collected on the effects of the reforms on currently under-represented groups within the House. This requires gender and other identity disaggregated data, collected and analysed on an intersectional basis. Importantly, any unintended consequences should be evaluated over time rather than assumed a priori.</w:t>
      </w:r>
    </w:p>
    <w:p w:rsidR="00784791" w:rsidRPr="006B0471" w:rsidP="000B23C3">
      <w:pPr>
        <w:shd w:val="clear" w:color="auto" w:fill="FFFFFF"/>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color w:val="0D0D0D"/>
          <w:sz w:val="24"/>
          <w:szCs w:val="24"/>
        </w:rPr>
        <w:t xml:space="preserve">Below we outline how this G/DSP approach applies to the present inquiry concerning the operation of </w:t>
      </w:r>
      <w:r w:rsidRPr="006B0471">
        <w:rPr>
          <w:rFonts w:eastAsia="Times New Roman" w:asciiTheme="majorHAnsi" w:hAnsiTheme="majorHAnsi" w:cstheme="majorHAnsi"/>
          <w:b/>
          <w:bCs/>
          <w:color w:val="0D0D0D"/>
          <w:sz w:val="24"/>
          <w:szCs w:val="24"/>
        </w:rPr>
        <w:t>the Backbench Business Committee and Petitions Committee</w:t>
      </w:r>
      <w:r w:rsidRPr="006B0471">
        <w:rPr>
          <w:rFonts w:eastAsia="Times New Roman" w:asciiTheme="majorHAnsi" w:hAnsiTheme="majorHAnsi" w:cstheme="majorHAnsi"/>
          <w:color w:val="0D0D0D"/>
          <w:sz w:val="24"/>
          <w:szCs w:val="24"/>
        </w:rPr>
        <w:t xml:space="preserve">. </w:t>
      </w:r>
      <w:r w:rsidRPr="00AC01EA">
        <w:rPr>
          <w:rFonts w:eastAsia="Times New Roman" w:asciiTheme="majorHAnsi" w:hAnsiTheme="majorHAnsi" w:cstheme="majorHAnsi"/>
          <w:sz w:val="24"/>
          <w:szCs w:val="24"/>
        </w:rPr>
        <w:t xml:space="preserve">We also emphasise </w:t>
      </w:r>
      <w:r w:rsidRPr="00AC01EA">
        <w:rPr>
          <w:rFonts w:eastAsia="Times New Roman" w:asciiTheme="majorHAnsi" w:hAnsiTheme="majorHAnsi" w:cstheme="majorHAnsi"/>
          <w:sz w:val="24"/>
          <w:szCs w:val="24"/>
        </w:rPr>
        <w:t>that this inquiry provides the Committee with an important opportunity to signal clearly that G/DSP is a core principle guiding its work at all times and across all areas.</w:t>
      </w:r>
    </w:p>
    <w:p w:rsidR="00784791" w:rsidRPr="006B0471" w:rsidP="000B23C3">
      <w:pPr>
        <w:spacing w:line="280" w:lineRule="atLeast"/>
        <w:jc w:val="both"/>
        <w:rPr>
          <w:rFonts w:eastAsia="Times New Roman" w:asciiTheme="majorHAnsi" w:hAnsiTheme="majorHAnsi" w:cstheme="majorHAnsi"/>
          <w:b/>
          <w:bCs/>
          <w:sz w:val="24"/>
          <w:szCs w:val="24"/>
        </w:rPr>
      </w:pPr>
      <w:r w:rsidRPr="006B0471">
        <w:rPr>
          <w:rFonts w:eastAsia="Times New Roman" w:asciiTheme="majorHAnsi" w:hAnsiTheme="majorHAnsi" w:cstheme="majorHAnsi"/>
          <w:sz w:val="24"/>
          <w:szCs w:val="24"/>
        </w:rPr>
        <w:t xml:space="preserve"> </w:t>
      </w:r>
    </w:p>
    <w:p w:rsidR="00784791" w:rsidRPr="006B0471" w:rsidP="000B23C3">
      <w:pPr>
        <w:spacing w:line="280" w:lineRule="atLeast"/>
        <w:jc w:val="both"/>
        <w:rPr>
          <w:rFonts w:eastAsia="Times New Roman" w:asciiTheme="majorHAnsi" w:hAnsiTheme="majorHAnsi" w:cstheme="majorHAnsi"/>
          <w:b/>
          <w:bCs/>
          <w:sz w:val="24"/>
          <w:szCs w:val="24"/>
        </w:rPr>
      </w:pPr>
      <w:r w:rsidRPr="006B0471">
        <w:rPr>
          <w:rFonts w:eastAsia="Times New Roman" w:asciiTheme="majorHAnsi" w:hAnsiTheme="majorHAnsi" w:cstheme="majorHAnsi"/>
          <w:b/>
          <w:bCs/>
          <w:sz w:val="24"/>
          <w:szCs w:val="24"/>
        </w:rPr>
        <w:t>Scheduling and the Parliamentary Timetable</w:t>
      </w: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This section speaks directly to the following questions set out in the call for evidence:</w:t>
      </w:r>
    </w:p>
    <w:p w:rsidR="00784791" w:rsidRPr="009D5DF2" w:rsidP="009D5DF2">
      <w:pPr>
        <w:numPr>
          <w:ilvl w:val="0"/>
          <w:numId w:val="4"/>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Is the current allocation of time for Petitions and Backbench Business debates appropriate and effective?</w:t>
      </w:r>
      <w:r>
        <w:rPr>
          <w:rFonts w:eastAsia="Times New Roman" w:asciiTheme="majorHAnsi" w:hAnsiTheme="majorHAnsi" w:cstheme="majorHAnsi"/>
          <w:sz w:val="24"/>
          <w:szCs w:val="24"/>
        </w:rPr>
        <w:t xml:space="preserve"> </w:t>
      </w:r>
      <w:r w:rsidRPr="009D5DF2">
        <w:rPr>
          <w:rFonts w:eastAsia="Times New Roman" w:asciiTheme="majorHAnsi" w:hAnsiTheme="majorHAnsi" w:cstheme="majorHAnsi"/>
          <w:sz w:val="24"/>
          <w:szCs w:val="24"/>
        </w:rPr>
        <w:t>What impact, if any, does the timing and scheduling of debates have on attendance?</w:t>
      </w:r>
    </w:p>
    <w:p w:rsidR="00784791" w:rsidRPr="006B0471" w:rsidP="000B23C3">
      <w:pPr>
        <w:numPr>
          <w:ilvl w:val="0"/>
          <w:numId w:val="4"/>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Are the 35 days allocated to the Backbench Business Committee appropriate in the context of other demands on the House’s time?</w:t>
      </w:r>
    </w:p>
    <w:p w:rsidR="00784791" w:rsidRPr="006B0471" w:rsidP="000B23C3">
      <w:pPr>
        <w:numPr>
          <w:ilvl w:val="0"/>
          <w:numId w:val="4"/>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Is the current allocation of Backbench Business debates between the Chamber (27 days) and Westminster Hall (8 days) correct?</w:t>
      </w:r>
    </w:p>
    <w:p w:rsidR="00784791" w:rsidRPr="006B0471"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 xml:space="preserve">With respect to proposals of additional time, we are persuaded that the issue is less a question of the amount of time, but more about </w:t>
      </w:r>
      <w:r w:rsidRPr="006B0471">
        <w:rPr>
          <w:rFonts w:eastAsia="Times New Roman" w:asciiTheme="majorHAnsi" w:hAnsiTheme="majorHAnsi" w:cstheme="majorHAnsi"/>
          <w:i/>
          <w:iCs/>
          <w:sz w:val="24"/>
          <w:szCs w:val="24"/>
        </w:rPr>
        <w:t>when</w:t>
      </w:r>
      <w:r w:rsidRPr="006B0471">
        <w:rPr>
          <w:rFonts w:eastAsia="Times New Roman" w:asciiTheme="majorHAnsi" w:hAnsiTheme="majorHAnsi" w:cstheme="majorHAnsi"/>
          <w:sz w:val="24"/>
          <w:szCs w:val="24"/>
        </w:rPr>
        <w:t xml:space="preserve"> time is allocated, and the predictability and security of that allocation. Bearing this in mind, we contend that any solution should avoid simply extending sitting hours on days when MPs are most likely to be present in Westminster. </w:t>
      </w:r>
    </w:p>
    <w:p w:rsidR="00784791" w:rsidRPr="006B0471" w:rsidP="000B23C3">
      <w:pPr>
        <w:spacing w:line="280" w:lineRule="atLeast"/>
        <w:jc w:val="both"/>
        <w:rPr>
          <w:rFonts w:eastAsia="Times New Roman" w:asciiTheme="majorHAnsi" w:hAnsiTheme="majorHAnsi" w:cstheme="majorHAnsi"/>
          <w:sz w:val="24"/>
          <w:szCs w:val="24"/>
        </w:rPr>
      </w:pPr>
    </w:p>
    <w:p w:rsidR="00784791" w:rsidRPr="00B474F6"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 xml:space="preserve">Lengthening the Parliamentary day is harmful both symbolically and substantively. Substantively, it undermines the ability for MPs and staff to balance work/life commitments (including, but not </w:t>
      </w:r>
      <w:r w:rsidRPr="00B474F6">
        <w:rPr>
          <w:rFonts w:eastAsia="Times New Roman" w:asciiTheme="majorHAnsi" w:hAnsiTheme="majorHAnsi" w:cstheme="majorHAnsi"/>
          <w:sz w:val="24"/>
          <w:szCs w:val="24"/>
        </w:rPr>
        <w:t xml:space="preserve">limited to, childcare). Symbolically, it risks reinstating norms associated with a 19th Century House of Commons, when men attended in the afternoon and evenings. </w:t>
      </w:r>
      <w:r w:rsidRPr="00B474F6">
        <w:rPr>
          <w:rFonts w:eastAsia="Times New Roman" w:asciiTheme="majorHAnsi" w:hAnsiTheme="majorHAnsi" w:cstheme="majorHAnsi"/>
          <w:sz w:val="24"/>
          <w:szCs w:val="24"/>
        </w:rPr>
        <w:t>Such a move,</w:t>
      </w:r>
      <w:r w:rsidRPr="00B474F6">
        <w:rPr>
          <w:rFonts w:eastAsia="Times New Roman" w:asciiTheme="majorHAnsi" w:hAnsiTheme="majorHAnsi" w:cstheme="majorHAnsi"/>
          <w:sz w:val="24"/>
          <w:szCs w:val="24"/>
        </w:rPr>
        <w:t xml:space="preserve"> would be a re-masculinisation </w:t>
      </w:r>
      <w:r w:rsidRPr="00B474F6">
        <w:rPr>
          <w:rFonts w:eastAsia="Times New Roman" w:asciiTheme="majorHAnsi" w:hAnsiTheme="majorHAnsi" w:cstheme="majorHAnsi"/>
          <w:sz w:val="24"/>
          <w:szCs w:val="24"/>
        </w:rPr>
        <w:t>of  parliamentary</w:t>
      </w:r>
      <w:r w:rsidRPr="00B474F6">
        <w:rPr>
          <w:rFonts w:eastAsia="Times New Roman" w:asciiTheme="majorHAnsi" w:hAnsiTheme="majorHAnsi" w:cstheme="majorHAnsi"/>
          <w:sz w:val="24"/>
          <w:szCs w:val="24"/>
        </w:rPr>
        <w:t xml:space="preserve"> working practices and would represent a retrograde step.</w:t>
      </w:r>
    </w:p>
    <w:p w:rsidR="00784791" w:rsidRPr="00B474F6" w:rsidP="000B23C3">
      <w:pPr>
        <w:spacing w:line="280" w:lineRule="atLeast"/>
        <w:jc w:val="both"/>
        <w:rPr>
          <w:rFonts w:eastAsia="Times New Roman" w:asciiTheme="majorHAnsi" w:hAnsiTheme="majorHAnsi" w:cstheme="majorHAnsi"/>
          <w:sz w:val="24"/>
          <w:szCs w:val="24"/>
        </w:rPr>
      </w:pPr>
    </w:p>
    <w:p w:rsidR="00784791" w:rsidRPr="00B474F6" w:rsidP="000B23C3">
      <w:pPr>
        <w:spacing w:line="280" w:lineRule="atLeast"/>
        <w:jc w:val="both"/>
        <w:rPr>
          <w:rFonts w:eastAsia="Times New Roman" w:asciiTheme="majorHAnsi" w:hAnsiTheme="majorHAnsi" w:cstheme="majorHAnsi"/>
          <w:sz w:val="24"/>
          <w:szCs w:val="24"/>
        </w:rPr>
      </w:pPr>
      <w:r w:rsidRPr="00B474F6">
        <w:rPr>
          <w:rFonts w:eastAsia="Times New Roman" w:asciiTheme="majorHAnsi" w:hAnsiTheme="majorHAnsi" w:cstheme="majorHAnsi"/>
          <w:sz w:val="24"/>
          <w:szCs w:val="24"/>
        </w:rPr>
        <w:t>Applying the G/DSP test requires the Committee to</w:t>
      </w:r>
      <w:r w:rsidRPr="00B474F6">
        <w:rPr>
          <w:rFonts w:eastAsia="Times New Roman" w:asciiTheme="majorHAnsi" w:hAnsiTheme="majorHAnsi" w:cstheme="majorHAnsi"/>
          <w:i/>
          <w:iCs/>
          <w:sz w:val="24"/>
          <w:szCs w:val="24"/>
        </w:rPr>
        <w:t xml:space="preserve"> identify who is included and who is excluded</w:t>
      </w:r>
      <w:r w:rsidRPr="00B474F6">
        <w:rPr>
          <w:rFonts w:eastAsia="Times New Roman" w:asciiTheme="majorHAnsi" w:hAnsiTheme="majorHAnsi" w:cstheme="majorHAnsi"/>
          <w:sz w:val="24"/>
          <w:szCs w:val="24"/>
        </w:rPr>
        <w:t xml:space="preserve"> by any proposed timetable change. </w:t>
      </w:r>
      <w:r w:rsidRPr="00B474F6">
        <w:rPr>
          <w:rFonts w:eastAsia="Times New Roman" w:asciiTheme="majorHAnsi" w:hAnsiTheme="majorHAnsi" w:cstheme="majorHAnsi"/>
          <w:sz w:val="24"/>
          <w:szCs w:val="24"/>
        </w:rPr>
        <w:t>Relying  on</w:t>
      </w:r>
      <w:r w:rsidRPr="00B474F6">
        <w:rPr>
          <w:rFonts w:eastAsia="Times New Roman" w:asciiTheme="majorHAnsi" w:hAnsiTheme="majorHAnsi" w:cstheme="majorHAnsi"/>
          <w:sz w:val="24"/>
          <w:szCs w:val="24"/>
        </w:rPr>
        <w:t xml:space="preserve"> what may appear to be the most popular timings is insufficient. A G/DSP check asks: popular for whom, and workable for whom? The Committee should acknowledge that some MP preferences are not always gender and diversity sensitive, precisely because they often reflect established ways of working rather than demonstrable effectiveness, efficiency, or inclusivity (Childs 2026). Subsequently, the effect of reforms</w:t>
      </w:r>
      <w:r>
        <w:rPr>
          <w:rFonts w:eastAsia="Times New Roman" w:asciiTheme="majorHAnsi" w:hAnsiTheme="majorHAnsi" w:cstheme="majorHAnsi"/>
          <w:sz w:val="24"/>
          <w:szCs w:val="24"/>
        </w:rPr>
        <w:t xml:space="preserve">, and </w:t>
      </w:r>
      <w:r w:rsidRPr="00B474F6">
        <w:rPr>
          <w:rFonts w:eastAsia="Times New Roman" w:asciiTheme="majorHAnsi" w:hAnsiTheme="majorHAnsi" w:cstheme="majorHAnsi"/>
          <w:sz w:val="24"/>
          <w:szCs w:val="24"/>
        </w:rPr>
        <w:t>specifically whether they deliver greater gender- and diversity-sensitive outcomes alongside other intended positive outcomes</w:t>
      </w:r>
      <w:r>
        <w:rPr>
          <w:rFonts w:eastAsia="Times New Roman" w:asciiTheme="majorHAnsi" w:hAnsiTheme="majorHAnsi" w:cstheme="majorHAnsi"/>
          <w:sz w:val="24"/>
          <w:szCs w:val="24"/>
        </w:rPr>
        <w:t xml:space="preserve">, </w:t>
      </w:r>
      <w:r w:rsidRPr="00B474F6">
        <w:rPr>
          <w:rFonts w:eastAsia="Times New Roman" w:asciiTheme="majorHAnsi" w:hAnsiTheme="majorHAnsi" w:cstheme="majorHAnsi"/>
          <w:sz w:val="24"/>
          <w:szCs w:val="24"/>
        </w:rPr>
        <w:t xml:space="preserve">should be systematically monitored, with refinements made where necessary. </w:t>
      </w:r>
    </w:p>
    <w:p w:rsidR="00784791" w:rsidRPr="00B474F6"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B474F6">
        <w:rPr>
          <w:rFonts w:eastAsia="Times New Roman" w:asciiTheme="majorHAnsi" w:hAnsiTheme="majorHAnsi" w:cstheme="majorHAnsi"/>
          <w:sz w:val="24"/>
          <w:szCs w:val="24"/>
        </w:rPr>
        <w:t>Ensuring that all MPs are able to participate fully in BB debates and Committee proceedings is especially important because these bodies and their activities constitute critical avenues for agenda-setting interventions. They frequently challenge</w:t>
      </w:r>
      <w:r>
        <w:rPr>
          <w:rFonts w:eastAsia="Times New Roman" w:asciiTheme="majorHAnsi" w:hAnsiTheme="majorHAnsi" w:cstheme="majorHAnsi"/>
          <w:sz w:val="24"/>
          <w:szCs w:val="24"/>
        </w:rPr>
        <w:t xml:space="preserve"> </w:t>
      </w:r>
      <w:r w:rsidRPr="00B474F6">
        <w:rPr>
          <w:rFonts w:eastAsia="Times New Roman" w:asciiTheme="majorHAnsi" w:hAnsiTheme="majorHAnsi" w:cstheme="majorHAnsi"/>
          <w:sz w:val="24"/>
          <w:szCs w:val="24"/>
        </w:rPr>
        <w:t xml:space="preserve">or extend existing policies, and raise issues that are marginal, or not sufficiently central, to the Commons’ agenda. Given existing evidence on who is most likely to </w:t>
      </w:r>
      <w:r>
        <w:rPr>
          <w:rFonts w:eastAsia="Times New Roman" w:asciiTheme="majorHAnsi" w:hAnsiTheme="majorHAnsi" w:cstheme="majorHAnsi"/>
          <w:sz w:val="24"/>
          <w:szCs w:val="24"/>
        </w:rPr>
        <w:t>“</w:t>
      </w:r>
      <w:r w:rsidRPr="00B474F6">
        <w:rPr>
          <w:rFonts w:eastAsia="Times New Roman" w:asciiTheme="majorHAnsi" w:hAnsiTheme="majorHAnsi" w:cstheme="majorHAnsi"/>
          <w:sz w:val="24"/>
          <w:szCs w:val="24"/>
        </w:rPr>
        <w:t>act for</w:t>
      </w:r>
      <w:r>
        <w:rPr>
          <w:rFonts w:eastAsia="Times New Roman" w:asciiTheme="majorHAnsi" w:hAnsiTheme="majorHAnsi" w:cstheme="majorHAnsi"/>
          <w:sz w:val="24"/>
          <w:szCs w:val="24"/>
        </w:rPr>
        <w:t>”</w:t>
      </w:r>
      <w:r w:rsidRPr="00B474F6">
        <w:rPr>
          <w:rFonts w:eastAsia="Times New Roman" w:asciiTheme="majorHAnsi" w:hAnsiTheme="majorHAnsi" w:cstheme="majorHAnsi"/>
          <w:sz w:val="24"/>
          <w:szCs w:val="24"/>
        </w:rPr>
        <w:t xml:space="preserve"> currently under-represented groups</w:t>
      </w:r>
      <w:r w:rsidRPr="006B0471">
        <w:rPr>
          <w:rFonts w:eastAsia="Times New Roman" w:asciiTheme="majorHAnsi" w:hAnsiTheme="majorHAnsi" w:cstheme="majorHAnsi"/>
          <w:sz w:val="24"/>
          <w:szCs w:val="24"/>
        </w:rPr>
        <w:t xml:space="preserve"> and marginalised political issues, it is critical that MPs most likely to be affected by gender and diversity insensitivities can fully participate. </w:t>
      </w:r>
    </w:p>
    <w:p w:rsidR="00784791" w:rsidRPr="006B0471"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In this respect, we draw attention to an earlier briefing note</w:t>
      </w:r>
      <w:r>
        <w:rPr>
          <w:rFonts w:eastAsia="Times New Roman" w:asciiTheme="majorHAnsi" w:hAnsiTheme="majorHAnsi" w:cstheme="majorHAnsi"/>
          <w:sz w:val="24"/>
          <w:szCs w:val="24"/>
          <w:vertAlign w:val="superscript"/>
        </w:rPr>
        <w:footnoteReference w:id="3"/>
      </w:r>
      <w:r w:rsidRPr="006B0471">
        <w:rPr>
          <w:rFonts w:eastAsia="Times New Roman" w:asciiTheme="majorHAnsi" w:hAnsiTheme="majorHAnsi" w:cstheme="majorHAnsi"/>
          <w:sz w:val="24"/>
          <w:szCs w:val="24"/>
        </w:rPr>
        <w:t xml:space="preserve"> shared with the Modernisation Committee by Smith and Childs, which makes the case </w:t>
      </w:r>
      <w:r w:rsidRPr="006B0471">
        <w:rPr>
          <w:rFonts w:eastAsia="Times New Roman" w:asciiTheme="majorHAnsi" w:hAnsiTheme="majorHAnsi" w:cstheme="majorHAnsi"/>
          <w:sz w:val="24"/>
          <w:szCs w:val="24"/>
        </w:rPr>
        <w:t>for  reconsidering</w:t>
      </w:r>
      <w:r w:rsidRPr="006B0471">
        <w:rPr>
          <w:rFonts w:eastAsia="Times New Roman" w:asciiTheme="majorHAnsi" w:hAnsiTheme="majorHAnsi" w:cstheme="majorHAnsi"/>
          <w:sz w:val="24"/>
          <w:szCs w:val="24"/>
        </w:rPr>
        <w:t xml:space="preserve"> the role of </w:t>
      </w:r>
      <w:r w:rsidRPr="00B30F7A">
        <w:rPr>
          <w:rFonts w:eastAsia="Times New Roman" w:asciiTheme="majorHAnsi" w:hAnsiTheme="majorHAnsi" w:cstheme="majorHAnsi"/>
          <w:i/>
          <w:iCs/>
          <w:sz w:val="24"/>
          <w:szCs w:val="24"/>
        </w:rPr>
        <w:t>hybridity</w:t>
      </w:r>
      <w:r w:rsidRPr="006B0471">
        <w:rPr>
          <w:rFonts w:eastAsia="Times New Roman" w:asciiTheme="majorHAnsi" w:hAnsiTheme="majorHAnsi" w:cstheme="majorHAnsi"/>
          <w:sz w:val="24"/>
          <w:szCs w:val="24"/>
        </w:rPr>
        <w:t xml:space="preserve"> in the House of Commons. Hybrid working constitutes </w:t>
      </w:r>
      <w:r>
        <w:rPr>
          <w:rFonts w:eastAsia="Times New Roman" w:asciiTheme="majorHAnsi" w:hAnsiTheme="majorHAnsi" w:cstheme="majorHAnsi"/>
          <w:sz w:val="24"/>
          <w:szCs w:val="24"/>
        </w:rPr>
        <w:t>an important means</w:t>
      </w:r>
      <w:r w:rsidRPr="006B0471">
        <w:rPr>
          <w:rFonts w:eastAsia="Times New Roman" w:asciiTheme="majorHAnsi" w:hAnsiTheme="majorHAnsi" w:cstheme="majorHAnsi"/>
          <w:sz w:val="24"/>
          <w:szCs w:val="24"/>
        </w:rPr>
        <w:t xml:space="preserve"> to maximise participation in BBB -both among MPs and in Committee and debate contexts</w:t>
      </w:r>
      <w:r w:rsidRPr="006B0471">
        <w:rPr>
          <w:rFonts w:eastAsia="Times New Roman" w:asciiTheme="majorHAnsi" w:hAnsiTheme="majorHAnsi" w:cstheme="majorHAnsi"/>
          <w:sz w:val="24"/>
          <w:szCs w:val="24"/>
        </w:rPr>
        <w:t>-  while</w:t>
      </w:r>
      <w:r w:rsidRPr="006B0471">
        <w:rPr>
          <w:rFonts w:eastAsia="Times New Roman" w:asciiTheme="majorHAnsi" w:hAnsiTheme="majorHAnsi" w:cstheme="majorHAnsi"/>
          <w:sz w:val="24"/>
          <w:szCs w:val="24"/>
        </w:rPr>
        <w:t xml:space="preserve"> </w:t>
      </w:r>
      <w:r w:rsidRPr="006B0471">
        <w:rPr>
          <w:rFonts w:eastAsia="Times New Roman" w:asciiTheme="majorHAnsi" w:hAnsiTheme="majorHAnsi" w:cstheme="majorHAnsi"/>
          <w:sz w:val="24"/>
          <w:szCs w:val="24"/>
        </w:rPr>
        <w:t>supporting  G</w:t>
      </w:r>
      <w:r w:rsidRPr="006B0471">
        <w:rPr>
          <w:rFonts w:eastAsia="Times New Roman" w:asciiTheme="majorHAnsi" w:hAnsiTheme="majorHAnsi" w:cstheme="majorHAnsi"/>
          <w:sz w:val="24"/>
          <w:szCs w:val="24"/>
        </w:rPr>
        <w:t>/DSP principles. We recommend that the Committee explicitly considers hybridity as a cross-cutting lens for reform and that new hybrid reforms are piloted with a view to improving access, representation and effectiveness.</w:t>
      </w:r>
    </w:p>
    <w:p w:rsidR="00784791" w:rsidRPr="006B0471" w:rsidP="000B23C3">
      <w:pPr>
        <w:spacing w:line="280" w:lineRule="atLeast"/>
        <w:jc w:val="both"/>
        <w:rPr>
          <w:rFonts w:eastAsia="Times New Roman" w:asciiTheme="majorHAnsi" w:hAnsiTheme="majorHAnsi" w:cstheme="majorHAnsi"/>
          <w:sz w:val="24"/>
          <w:szCs w:val="24"/>
        </w:rPr>
      </w:pPr>
    </w:p>
    <w:p w:rsidR="00784791" w:rsidP="000B23C3">
      <w:pPr>
        <w:spacing w:line="280" w:lineRule="atLeast"/>
        <w:jc w:val="both"/>
        <w:rPr>
          <w:rFonts w:eastAsia="Times New Roman" w:asciiTheme="majorHAnsi" w:hAnsiTheme="majorHAnsi" w:cstheme="majorHAnsi"/>
          <w:b/>
          <w:bCs/>
          <w:sz w:val="24"/>
          <w:szCs w:val="24"/>
        </w:rPr>
      </w:pPr>
      <w:r w:rsidRPr="006B0471">
        <w:rPr>
          <w:rFonts w:eastAsia="Times New Roman" w:asciiTheme="majorHAnsi" w:hAnsiTheme="majorHAnsi" w:cstheme="majorHAnsi"/>
          <w:b/>
          <w:bCs/>
          <w:sz w:val="24"/>
          <w:szCs w:val="24"/>
        </w:rPr>
        <w:t>Content of Debates and Decision Making</w:t>
      </w: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This</w:t>
      </w:r>
      <w:r>
        <w:rPr>
          <w:rFonts w:eastAsia="Times New Roman" w:asciiTheme="majorHAnsi" w:hAnsiTheme="majorHAnsi" w:cstheme="majorHAnsi"/>
          <w:sz w:val="24"/>
          <w:szCs w:val="24"/>
        </w:rPr>
        <w:t xml:space="preserve"> section</w:t>
      </w:r>
      <w:r w:rsidRPr="006B0471">
        <w:rPr>
          <w:rFonts w:eastAsia="Times New Roman" w:asciiTheme="majorHAnsi" w:hAnsiTheme="majorHAnsi" w:cstheme="majorHAnsi"/>
          <w:sz w:val="24"/>
          <w:szCs w:val="24"/>
        </w:rPr>
        <w:t xml:space="preserve"> relates to the last two questions in the call</w:t>
      </w:r>
      <w:r>
        <w:rPr>
          <w:rFonts w:eastAsia="Times New Roman" w:asciiTheme="majorHAnsi" w:hAnsiTheme="majorHAnsi" w:cstheme="majorHAnsi"/>
          <w:sz w:val="24"/>
          <w:szCs w:val="24"/>
        </w:rPr>
        <w:t xml:space="preserve"> for evidence</w:t>
      </w:r>
      <w:r w:rsidRPr="006B0471">
        <w:rPr>
          <w:rFonts w:eastAsia="Times New Roman" w:asciiTheme="majorHAnsi" w:hAnsiTheme="majorHAnsi" w:cstheme="majorHAnsi"/>
          <w:sz w:val="24"/>
          <w:szCs w:val="24"/>
        </w:rPr>
        <w:t>:</w:t>
      </w:r>
    </w:p>
    <w:p w:rsidR="00784791" w:rsidRPr="006B0471" w:rsidP="000B23C3">
      <w:pPr>
        <w:numPr>
          <w:ilvl w:val="0"/>
          <w:numId w:val="4"/>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Are there any improvements that could be made to the Backbench Business Committee’s process to agree applications for backbench business debates (including ensuring debates are popular amongst members and on topical subjects)?</w:t>
      </w:r>
    </w:p>
    <w:p w:rsidR="00784791" w:rsidRPr="006B0471" w:rsidP="000B23C3">
      <w:pPr>
        <w:numPr>
          <w:ilvl w:val="0"/>
          <w:numId w:val="4"/>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Are the existing mechanisms available for the Petitions Committee to hold debates in the Chamber (to apply via Backbench Business Committee, or to be allocated time by the Government) sufficient or should the Petitions Committee have guaranteed time in the Chamber?</w:t>
      </w:r>
    </w:p>
    <w:p w:rsidR="00784791" w:rsidP="003156BC">
      <w:pPr>
        <w:spacing w:line="280" w:lineRule="atLeast"/>
        <w:jc w:val="both"/>
        <w:rPr>
          <w:rFonts w:eastAsia="Times New Roman" w:asciiTheme="majorHAnsi" w:hAnsiTheme="majorHAnsi" w:cstheme="majorHAnsi"/>
          <w:sz w:val="24"/>
          <w:szCs w:val="24"/>
        </w:rPr>
      </w:pPr>
    </w:p>
    <w:p w:rsidR="0078479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From a G/DSP perspective,</w:t>
      </w:r>
      <w:r w:rsidRPr="006B0471">
        <w:rPr>
          <w:rFonts w:eastAsia="Times New Roman" w:asciiTheme="majorHAnsi" w:hAnsiTheme="majorHAnsi" w:cstheme="majorHAnsi"/>
          <w:sz w:val="16"/>
          <w:szCs w:val="16"/>
        </w:rPr>
        <w:t xml:space="preserve"> </w:t>
      </w:r>
      <w:r w:rsidRPr="006B0471">
        <w:rPr>
          <w:rFonts w:eastAsia="Times New Roman" w:asciiTheme="majorHAnsi" w:hAnsiTheme="majorHAnsi" w:cstheme="majorHAnsi"/>
          <w:sz w:val="24"/>
          <w:szCs w:val="24"/>
        </w:rPr>
        <w:t>decision</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making processes should be transparent, accessible, and attentive to inequalities of voice, resources, and representation.</w:t>
      </w:r>
      <w:r>
        <w:rPr>
          <w:rFonts w:eastAsia="Times New Roman" w:asciiTheme="majorHAnsi" w:hAnsiTheme="majorHAnsi" w:cstheme="majorHAnsi"/>
          <w:sz w:val="24"/>
          <w:szCs w:val="24"/>
        </w:rPr>
        <w:t xml:space="preserve"> </w:t>
      </w:r>
      <w:r w:rsidRPr="006B0471">
        <w:rPr>
          <w:rFonts w:eastAsia="Times New Roman" w:asciiTheme="majorHAnsi" w:hAnsiTheme="majorHAnsi" w:cstheme="majorHAnsi"/>
          <w:sz w:val="24"/>
          <w:szCs w:val="24"/>
        </w:rPr>
        <w:t>We are concerned about the potential weight given to measures of “popularity” (</w:t>
      </w:r>
      <w:r>
        <w:rPr>
          <w:rFonts w:eastAsia="Times New Roman" w:asciiTheme="majorHAnsi" w:hAnsiTheme="majorHAnsi" w:cstheme="majorHAnsi"/>
          <w:sz w:val="24"/>
          <w:szCs w:val="24"/>
        </w:rPr>
        <w:t>question</w:t>
      </w:r>
      <w:r w:rsidRPr="006B0471">
        <w:rPr>
          <w:rFonts w:eastAsia="Times New Roman" w:asciiTheme="majorHAnsi" w:hAnsiTheme="majorHAnsi" w:cstheme="majorHAnsi"/>
          <w:sz w:val="24"/>
          <w:szCs w:val="24"/>
        </w:rPr>
        <w:t xml:space="preserve"> 4 above). In our view, this </w:t>
      </w:r>
      <w:r w:rsidRPr="006B0471">
        <w:rPr>
          <w:rFonts w:eastAsia="Times New Roman" w:asciiTheme="majorHAnsi" w:hAnsiTheme="majorHAnsi" w:cstheme="majorHAnsi"/>
          <w:sz w:val="24"/>
          <w:szCs w:val="24"/>
        </w:rPr>
        <w:t>risks  reproducing</w:t>
      </w:r>
      <w:r w:rsidRPr="006B0471">
        <w:rPr>
          <w:rFonts w:eastAsia="Times New Roman" w:asciiTheme="majorHAnsi" w:hAnsiTheme="majorHAnsi" w:cstheme="majorHAnsi"/>
          <w:sz w:val="24"/>
          <w:szCs w:val="24"/>
        </w:rPr>
        <w:t xml:space="preserve"> poor and </w:t>
      </w:r>
      <w:r w:rsidRPr="006B0471">
        <w:rPr>
          <w:rFonts w:eastAsia="Times New Roman" w:asciiTheme="majorHAnsi" w:hAnsiTheme="majorHAnsi" w:cstheme="majorHAnsi"/>
          <w:sz w:val="24"/>
          <w:szCs w:val="24"/>
        </w:rPr>
        <w:t>mis-representation</w:t>
      </w:r>
      <w:r w:rsidRPr="006B0471">
        <w:rPr>
          <w:rFonts w:eastAsia="Times New Roman" w:asciiTheme="majorHAnsi" w:hAnsiTheme="majorHAnsi" w:cstheme="majorHAnsi"/>
          <w:sz w:val="24"/>
          <w:szCs w:val="24"/>
        </w:rPr>
        <w:t xml:space="preserve">. Tests based on popularity may unintentionally privilege the already numerous and </w:t>
      </w:r>
      <w:r w:rsidRPr="006B0471">
        <w:rPr>
          <w:rFonts w:eastAsia="Times New Roman" w:asciiTheme="majorHAnsi" w:hAnsiTheme="majorHAnsi" w:cstheme="majorHAnsi"/>
          <w:sz w:val="24"/>
          <w:szCs w:val="24"/>
        </w:rPr>
        <w:t>powerful, and</w:t>
      </w:r>
      <w:r w:rsidRPr="006B0471">
        <w:rPr>
          <w:rFonts w:eastAsia="Times New Roman" w:asciiTheme="majorHAnsi" w:hAnsiTheme="majorHAnsi" w:cstheme="majorHAnsi"/>
          <w:sz w:val="24"/>
          <w:szCs w:val="24"/>
        </w:rPr>
        <w:t xml:space="preserve"> marginalise those who are fewer in number and whose perspectives and interests are regarded as partial, special, marginal, or oppositional. Yet, parliamentary history repeatedly demonstrates that issues initially regarded as marginal</w:t>
      </w:r>
      <w:r>
        <w:rPr>
          <w:rFonts w:eastAsia="Times New Roman" w:asciiTheme="majorHAnsi" w:hAnsiTheme="majorHAnsi" w:cstheme="majorHAnsi"/>
          <w:sz w:val="24"/>
          <w:szCs w:val="24"/>
        </w:rPr>
        <w:t xml:space="preserve"> </w:t>
      </w:r>
      <w:r w:rsidRPr="006B0471">
        <w:rPr>
          <w:rFonts w:eastAsia="Times New Roman" w:asciiTheme="majorHAnsi" w:hAnsiTheme="majorHAnsi" w:cstheme="majorHAnsi"/>
          <w:sz w:val="24"/>
          <w:szCs w:val="24"/>
        </w:rPr>
        <w:t>can later become widely accepted. Low levels of initial support may reflect both</w:t>
      </w:r>
      <w:r>
        <w:rPr>
          <w:rFonts w:eastAsia="Times New Roman" w:asciiTheme="majorHAnsi" w:hAnsiTheme="majorHAnsi" w:cstheme="majorHAnsi"/>
          <w:sz w:val="24"/>
          <w:szCs w:val="24"/>
        </w:rPr>
        <w:t xml:space="preserve"> the substance of the proposal</w:t>
      </w:r>
      <w:r w:rsidRPr="006B0471">
        <w:rPr>
          <w:rFonts w:eastAsia="Times New Roman" w:asciiTheme="majorHAnsi" w:hAnsiTheme="majorHAnsi" w:cstheme="majorHAnsi"/>
          <w:sz w:val="24"/>
          <w:szCs w:val="24"/>
        </w:rPr>
        <w:t xml:space="preserve"> (</w:t>
      </w:r>
      <w:r>
        <w:rPr>
          <w:rFonts w:eastAsia="Times New Roman" w:asciiTheme="majorHAnsi" w:hAnsiTheme="majorHAnsi" w:cstheme="majorHAnsi"/>
          <w:sz w:val="24"/>
          <w:szCs w:val="24"/>
        </w:rPr>
        <w:t>such as</w:t>
      </w:r>
      <w:r w:rsidRPr="006B0471">
        <w:rPr>
          <w:rFonts w:eastAsia="Times New Roman" w:asciiTheme="majorHAnsi" w:hAnsiTheme="majorHAnsi" w:cstheme="majorHAnsi"/>
          <w:sz w:val="24"/>
          <w:szCs w:val="24"/>
        </w:rPr>
        <w:t xml:space="preserve"> awareness or understanding</w:t>
      </w:r>
      <w:r>
        <w:rPr>
          <w:rFonts w:eastAsia="Times New Roman" w:asciiTheme="majorHAnsi" w:hAnsiTheme="majorHAnsi" w:cstheme="majorHAnsi"/>
          <w:sz w:val="24"/>
          <w:szCs w:val="24"/>
        </w:rPr>
        <w:t xml:space="preserve"> of the issue</w:t>
      </w:r>
      <w:r w:rsidRPr="006B0471">
        <w:rPr>
          <w:rFonts w:eastAsia="Times New Roman" w:asciiTheme="majorHAnsi" w:hAnsiTheme="majorHAnsi" w:cstheme="majorHAnsi"/>
          <w:sz w:val="24"/>
          <w:szCs w:val="24"/>
        </w:rPr>
        <w:t xml:space="preserve">) and/or </w:t>
      </w:r>
      <w:r>
        <w:rPr>
          <w:rFonts w:eastAsia="Times New Roman" w:asciiTheme="majorHAnsi" w:hAnsiTheme="majorHAnsi" w:cstheme="majorHAnsi"/>
          <w:sz w:val="24"/>
          <w:szCs w:val="24"/>
        </w:rPr>
        <w:t xml:space="preserve">the resources available </w:t>
      </w:r>
      <w:r w:rsidRPr="006B0471">
        <w:rPr>
          <w:rFonts w:eastAsia="Times New Roman" w:asciiTheme="majorHAnsi" w:hAnsiTheme="majorHAnsi" w:cstheme="majorHAnsi"/>
          <w:sz w:val="24"/>
          <w:szCs w:val="24"/>
        </w:rPr>
        <w:t>(</w:t>
      </w:r>
      <w:r>
        <w:rPr>
          <w:rFonts w:eastAsia="Times New Roman" w:asciiTheme="majorHAnsi" w:hAnsiTheme="majorHAnsi" w:cstheme="majorHAnsi"/>
          <w:sz w:val="24"/>
          <w:szCs w:val="24"/>
        </w:rPr>
        <w:t xml:space="preserve">such as access to </w:t>
      </w:r>
      <w:r w:rsidRPr="006B0471">
        <w:rPr>
          <w:rFonts w:eastAsia="Times New Roman" w:asciiTheme="majorHAnsi" w:hAnsiTheme="majorHAnsi" w:cstheme="majorHAnsi"/>
          <w:sz w:val="24"/>
          <w:szCs w:val="24"/>
        </w:rPr>
        <w:t xml:space="preserve">networks). Both reasons are likely to affect under-represented MPs more. </w:t>
      </w:r>
    </w:p>
    <w:p w:rsidR="00784791" w:rsidP="003156BC">
      <w:pPr>
        <w:spacing w:line="280" w:lineRule="atLeast"/>
        <w:jc w:val="both"/>
        <w:rPr>
          <w:rFonts w:eastAsia="Times New Roman" w:asciiTheme="majorHAnsi" w:hAnsiTheme="majorHAnsi" w:cstheme="majorHAnsi"/>
          <w:sz w:val="24"/>
          <w:szCs w:val="24"/>
        </w:rPr>
      </w:pPr>
    </w:p>
    <w:p w:rsidR="00784791" w:rsidP="003156BC">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 xml:space="preserve">The recent case of </w:t>
      </w:r>
      <w:r w:rsidRPr="009447C7">
        <w:rPr>
          <w:rFonts w:eastAsia="Times New Roman" w:asciiTheme="majorHAnsi" w:hAnsiTheme="majorHAnsi" w:cstheme="majorHAnsi"/>
          <w:i/>
          <w:iCs/>
          <w:sz w:val="24"/>
          <w:szCs w:val="24"/>
        </w:rPr>
        <w:t>proxy voting</w:t>
      </w:r>
      <w:r w:rsidRPr="006B0471">
        <w:rPr>
          <w:rFonts w:eastAsia="Times New Roman" w:asciiTheme="majorHAnsi" w:hAnsiTheme="majorHAnsi" w:cstheme="majorHAnsi"/>
          <w:sz w:val="24"/>
          <w:szCs w:val="24"/>
        </w:rPr>
        <w:t xml:space="preserve"> for babyleave is an instructive example. Whilst first regarded as “a special interest” of a few, mostly women MPs, it then became </w:t>
      </w:r>
      <w:r w:rsidRPr="006B0471">
        <w:rPr>
          <w:rFonts w:eastAsia="Times New Roman" w:asciiTheme="majorHAnsi" w:hAnsiTheme="majorHAnsi" w:cstheme="majorHAnsi"/>
          <w:sz w:val="24"/>
          <w:szCs w:val="24"/>
        </w:rPr>
        <w:t>recognised  as</w:t>
      </w:r>
      <w:r w:rsidRPr="006B0471">
        <w:rPr>
          <w:rFonts w:eastAsia="Times New Roman" w:asciiTheme="majorHAnsi" w:hAnsiTheme="majorHAnsi" w:cstheme="majorHAnsi"/>
          <w:sz w:val="24"/>
          <w:szCs w:val="24"/>
        </w:rPr>
        <w:t xml:space="preserve"> a wider issue of women’s representation and of parent MPs. Resistance was overcome only gradually, as the arguments became compelling. The experience of Covid-19 subsequently showed how this reform was beneficial not only to those most directly affected, but to the House as a whole. Proxy voting is now widely recognised as an accepted practice at Westminster, and an example of international best practice G/DSP reform. </w:t>
      </w:r>
    </w:p>
    <w:p w:rsidR="00784791" w:rsidP="00DA3BAF">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b/>
          <w:bCs/>
          <w:sz w:val="24"/>
          <w:szCs w:val="24"/>
        </w:rPr>
      </w:pPr>
      <w:r w:rsidRPr="006B0471">
        <w:rPr>
          <w:rFonts w:eastAsia="Times New Roman" w:asciiTheme="majorHAnsi" w:hAnsiTheme="majorHAnsi" w:cstheme="majorHAnsi"/>
          <w:b/>
          <w:bCs/>
          <w:sz w:val="24"/>
          <w:szCs w:val="24"/>
        </w:rPr>
        <w:t>Conclusion</w:t>
      </w: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This inquiry provides the Modernisation Committee with an important opportunity not only to consider specific procedural reforms, but to embed</w:t>
      </w:r>
      <w:r w:rsidRPr="006B0471">
        <w:rPr>
          <w:rFonts w:eastAsia="Times New Roman" w:asciiTheme="majorHAnsi" w:hAnsiTheme="majorHAnsi" w:cstheme="majorHAnsi"/>
          <w:i/>
          <w:iCs/>
          <w:sz w:val="24"/>
          <w:szCs w:val="24"/>
        </w:rPr>
        <w:t xml:space="preserve"> </w:t>
      </w:r>
      <w:r w:rsidRPr="007053F6">
        <w:rPr>
          <w:rFonts w:eastAsia="Times New Roman" w:asciiTheme="majorHAnsi" w:hAnsiTheme="majorHAnsi" w:cstheme="majorHAnsi"/>
          <w:b/>
          <w:bCs/>
          <w:i/>
          <w:iCs/>
          <w:sz w:val="24"/>
          <w:szCs w:val="24"/>
        </w:rPr>
        <w:t>a gender</w:t>
      </w:r>
      <w:r w:rsidRPr="007053F6">
        <w:rPr>
          <w:rFonts w:ascii="Cambria Math" w:eastAsia="Times New Roman" w:hAnsi="Cambria Math" w:cs="Cambria Math"/>
          <w:b/>
          <w:bCs/>
          <w:i/>
          <w:iCs/>
          <w:sz w:val="24"/>
          <w:szCs w:val="24"/>
        </w:rPr>
        <w:t>‑</w:t>
      </w:r>
      <w:r w:rsidRPr="007053F6">
        <w:rPr>
          <w:rFonts w:eastAsia="Times New Roman" w:asciiTheme="majorHAnsi" w:hAnsiTheme="majorHAnsi" w:cstheme="majorHAnsi"/>
          <w:b/>
          <w:bCs/>
          <w:i/>
          <w:iCs/>
          <w:sz w:val="24"/>
          <w:szCs w:val="24"/>
        </w:rPr>
        <w:t xml:space="preserve"> and diversity</w:t>
      </w:r>
      <w:r w:rsidRPr="007053F6">
        <w:rPr>
          <w:rFonts w:ascii="Cambria Math" w:eastAsia="Times New Roman" w:hAnsi="Cambria Math" w:cs="Cambria Math"/>
          <w:b/>
          <w:bCs/>
          <w:i/>
          <w:iCs/>
          <w:sz w:val="24"/>
          <w:szCs w:val="24"/>
        </w:rPr>
        <w:t>‑</w:t>
      </w:r>
      <w:r w:rsidRPr="007053F6">
        <w:rPr>
          <w:rFonts w:eastAsia="Times New Roman" w:asciiTheme="majorHAnsi" w:hAnsiTheme="majorHAnsi" w:cstheme="majorHAnsi"/>
          <w:b/>
          <w:bCs/>
          <w:i/>
          <w:iCs/>
          <w:sz w:val="24"/>
          <w:szCs w:val="24"/>
        </w:rPr>
        <w:t>sensitive approach</w:t>
      </w:r>
      <w:r w:rsidRPr="006B0471">
        <w:rPr>
          <w:rFonts w:eastAsia="Times New Roman" w:asciiTheme="majorHAnsi" w:hAnsiTheme="majorHAnsi" w:cstheme="majorHAnsi"/>
          <w:sz w:val="24"/>
          <w:szCs w:val="24"/>
        </w:rPr>
        <w:t xml:space="preserve"> </w:t>
      </w:r>
      <w:r w:rsidRPr="006B0471">
        <w:rPr>
          <w:rFonts w:eastAsia="Times New Roman" w:asciiTheme="majorHAnsi" w:hAnsiTheme="majorHAnsi" w:cstheme="majorHAnsi"/>
          <w:sz w:val="24"/>
          <w:szCs w:val="24"/>
        </w:rPr>
        <w:t>as a core principle of parliamentary modernisation. Drawing on the analysis set out above, we highlight the following key recommendations:</w:t>
      </w:r>
    </w:p>
    <w:p w:rsidR="00784791" w:rsidRPr="00EF0A4F" w:rsidP="000B23C3">
      <w:pPr>
        <w:numPr>
          <w:ilvl w:val="0"/>
          <w:numId w:val="3"/>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i/>
          <w:iCs/>
          <w:sz w:val="24"/>
          <w:szCs w:val="24"/>
        </w:rPr>
        <w:t>Adopt a Gender and Diversity Sensitive Parliament (G/DSP) approach as a standing analytical lens</w:t>
      </w:r>
    </w:p>
    <w:p w:rsidR="00784791" w:rsidRPr="006B0471" w:rsidP="00EF0A4F">
      <w:pPr>
        <w:spacing w:line="280" w:lineRule="atLeast"/>
        <w:ind w:left="720"/>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The Committee should formally commit to subjecting all reforms relating to the Backbench Business Committee and the Petitions Committee to a G/DSP test, ensuring attention to inclusion, participation, and differential impacts alongside efficiency and effectiveness.</w:t>
      </w:r>
    </w:p>
    <w:p w:rsidR="00784791" w:rsidRPr="00EF0A4F" w:rsidP="000B23C3">
      <w:pPr>
        <w:numPr>
          <w:ilvl w:val="0"/>
          <w:numId w:val="3"/>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i/>
          <w:iCs/>
          <w:sz w:val="24"/>
          <w:szCs w:val="24"/>
        </w:rPr>
        <w:t>Prioritise participation and inclusion over extended sitting hours</w:t>
      </w:r>
    </w:p>
    <w:p w:rsidR="00784791" w:rsidRPr="006B0471" w:rsidP="00EF0A4F">
      <w:pPr>
        <w:spacing w:line="280" w:lineRule="atLeast"/>
        <w:ind w:left="720"/>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Reforms to scheduling and timetabling should focus on predictability and accessibility rather than lengthening the parliamentary day, which risks reinforcing exclusionary norms and disproportionately disadvantage MPs and staff with caring responsibilities.</w:t>
      </w:r>
    </w:p>
    <w:p w:rsidR="00784791" w:rsidRPr="00EF0A4F" w:rsidP="000B23C3">
      <w:pPr>
        <w:numPr>
          <w:ilvl w:val="0"/>
          <w:numId w:val="3"/>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i/>
          <w:iCs/>
          <w:sz w:val="24"/>
          <w:szCs w:val="24"/>
        </w:rPr>
        <w:t>Trial and extend hybrid working practices where appropriate</w:t>
      </w:r>
    </w:p>
    <w:p w:rsidR="00784791" w:rsidRPr="006B0471" w:rsidP="00EF0A4F">
      <w:pPr>
        <w:spacing w:line="280" w:lineRule="atLeast"/>
        <w:ind w:left="720"/>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Hybrid participation should be actively considered as a means of maximising participation in backbench business and petitions debates, and of promoting greater parity of participation among MPs, in line with G/DSP best practice.</w:t>
      </w:r>
    </w:p>
    <w:p w:rsidR="00784791" w:rsidRPr="00EF0A4F" w:rsidP="000B23C3">
      <w:pPr>
        <w:numPr>
          <w:ilvl w:val="0"/>
          <w:numId w:val="3"/>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i/>
          <w:iCs/>
          <w:sz w:val="24"/>
          <w:szCs w:val="24"/>
        </w:rPr>
        <w:t>Avoid over</w:t>
      </w:r>
      <w:r w:rsidRPr="006B0471">
        <w:rPr>
          <w:rFonts w:ascii="Cambria Math" w:eastAsia="Times New Roman" w:hAnsi="Cambria Math" w:cs="Cambria Math"/>
          <w:i/>
          <w:iCs/>
          <w:sz w:val="24"/>
          <w:szCs w:val="24"/>
        </w:rPr>
        <w:t>‑</w:t>
      </w:r>
      <w:r w:rsidRPr="006B0471">
        <w:rPr>
          <w:rFonts w:eastAsia="Times New Roman" w:asciiTheme="majorHAnsi" w:hAnsiTheme="majorHAnsi" w:cstheme="majorHAnsi"/>
          <w:i/>
          <w:iCs/>
          <w:sz w:val="24"/>
          <w:szCs w:val="24"/>
        </w:rPr>
        <w:t xml:space="preserve">reliance on </w:t>
      </w:r>
      <w:r w:rsidRPr="006B0471">
        <w:rPr>
          <w:rFonts w:ascii="Calibri" w:eastAsia="Times New Roman" w:hAnsi="Calibri" w:cs="Calibri"/>
          <w:i/>
          <w:iCs/>
          <w:sz w:val="24"/>
          <w:szCs w:val="24"/>
        </w:rPr>
        <w:t>‘</w:t>
      </w:r>
      <w:r w:rsidRPr="006B0471">
        <w:rPr>
          <w:rFonts w:eastAsia="Times New Roman" w:asciiTheme="majorHAnsi" w:hAnsiTheme="majorHAnsi" w:cstheme="majorHAnsi"/>
          <w:i/>
          <w:iCs/>
          <w:sz w:val="24"/>
          <w:szCs w:val="24"/>
        </w:rPr>
        <w:t>popularity</w:t>
      </w:r>
      <w:r w:rsidRPr="006B0471">
        <w:rPr>
          <w:rFonts w:ascii="Calibri" w:eastAsia="Times New Roman" w:hAnsi="Calibri" w:cs="Calibri"/>
          <w:i/>
          <w:iCs/>
          <w:sz w:val="24"/>
          <w:szCs w:val="24"/>
        </w:rPr>
        <w:t>’</w:t>
      </w:r>
      <w:r w:rsidRPr="006B0471">
        <w:rPr>
          <w:rFonts w:eastAsia="Times New Roman" w:asciiTheme="majorHAnsi" w:hAnsiTheme="majorHAnsi" w:cstheme="majorHAnsi"/>
          <w:i/>
          <w:iCs/>
          <w:sz w:val="24"/>
          <w:szCs w:val="24"/>
        </w:rPr>
        <w:t xml:space="preserve"> as a decision</w:t>
      </w:r>
      <w:r w:rsidRPr="006B0471">
        <w:rPr>
          <w:rFonts w:ascii="Cambria Math" w:eastAsia="Times New Roman" w:hAnsi="Cambria Math" w:cs="Cambria Math"/>
          <w:i/>
          <w:iCs/>
          <w:sz w:val="24"/>
          <w:szCs w:val="24"/>
        </w:rPr>
        <w:t>‑</w:t>
      </w:r>
      <w:r w:rsidRPr="006B0471">
        <w:rPr>
          <w:rFonts w:eastAsia="Times New Roman" w:asciiTheme="majorHAnsi" w:hAnsiTheme="majorHAnsi" w:cstheme="majorHAnsi"/>
          <w:i/>
          <w:iCs/>
          <w:sz w:val="24"/>
          <w:szCs w:val="24"/>
        </w:rPr>
        <w:t>making criterion</w:t>
      </w:r>
    </w:p>
    <w:p w:rsidR="00784791" w:rsidRPr="006B0471" w:rsidP="00EF0A4F">
      <w:pPr>
        <w:spacing w:line="280" w:lineRule="atLeast"/>
        <w:ind w:left="720"/>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While topicality and interest matter, measures based on numerical support or cross</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party backing risk marginalising under</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represented MPs and issues. Decision</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making processes should allow space for emergent, challenging, or structurally disadvantaged concerns to reach the parliamentary agenda.</w:t>
      </w:r>
    </w:p>
    <w:p w:rsidR="00784791" w:rsidRPr="00EF0A4F" w:rsidP="000B23C3">
      <w:pPr>
        <w:numPr>
          <w:ilvl w:val="0"/>
          <w:numId w:val="3"/>
        </w:num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i/>
          <w:iCs/>
          <w:sz w:val="24"/>
          <w:szCs w:val="24"/>
        </w:rPr>
        <w:t>Commit to systematic, disaggregated, and intersectional data collection</w:t>
      </w:r>
    </w:p>
    <w:p w:rsidR="00784791" w:rsidRPr="006B0471" w:rsidP="00EF0A4F">
      <w:pPr>
        <w:spacing w:line="280" w:lineRule="atLeast"/>
        <w:ind w:left="720"/>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The impacts of reforms should be monitored over time through robust data collection on participation and outcomes for under</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represented groups, enabling the Committee to identify unintended consequences and refine reforms accordingly.</w:t>
      </w:r>
    </w:p>
    <w:p w:rsidR="00784791" w:rsidP="000B23C3">
      <w:pPr>
        <w:spacing w:line="280" w:lineRule="atLeast"/>
        <w:jc w:val="both"/>
        <w:rPr>
          <w:rFonts w:eastAsia="Times New Roman" w:asciiTheme="majorHAnsi" w:hAnsiTheme="majorHAnsi" w:cstheme="majorHAnsi"/>
          <w:sz w:val="24"/>
          <w:szCs w:val="24"/>
        </w:rPr>
      </w:pPr>
    </w:p>
    <w:p w:rsidR="00784791" w:rsidRPr="006B0471" w:rsidP="000B23C3">
      <w:pPr>
        <w:spacing w:line="280" w:lineRule="atLeast"/>
        <w:jc w:val="both"/>
        <w:rPr>
          <w:rFonts w:eastAsia="Times New Roman" w:asciiTheme="majorHAnsi" w:hAnsiTheme="majorHAnsi" w:cstheme="majorHAnsi"/>
          <w:sz w:val="24"/>
          <w:szCs w:val="24"/>
        </w:rPr>
      </w:pPr>
      <w:r w:rsidRPr="006B0471">
        <w:rPr>
          <w:rFonts w:eastAsia="Times New Roman" w:asciiTheme="majorHAnsi" w:hAnsiTheme="majorHAnsi" w:cstheme="majorHAnsi"/>
          <w:sz w:val="24"/>
          <w:szCs w:val="24"/>
        </w:rPr>
        <w:t>Taken together, these measures would help ensure that modernisation efforts do not simply adjust parliamentary procedures, but advance a more inclusive, representative, and effective House of Commons, aligned with the principles of a gender</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 xml:space="preserve"> and diversity</w:t>
      </w:r>
      <w:r w:rsidRPr="006B0471">
        <w:rPr>
          <w:rFonts w:ascii="Cambria Math" w:eastAsia="Times New Roman" w:hAnsi="Cambria Math" w:cs="Cambria Math"/>
          <w:sz w:val="24"/>
          <w:szCs w:val="24"/>
        </w:rPr>
        <w:t>‑</w:t>
      </w:r>
      <w:r w:rsidRPr="006B0471">
        <w:rPr>
          <w:rFonts w:eastAsia="Times New Roman" w:asciiTheme="majorHAnsi" w:hAnsiTheme="majorHAnsi" w:cstheme="majorHAnsi"/>
          <w:sz w:val="24"/>
          <w:szCs w:val="24"/>
        </w:rPr>
        <w:t>sensitive parliament.</w:t>
      </w:r>
    </w:p>
    <w:p w:rsidR="00784791" w:rsidP="006B0471">
      <w:pPr>
        <w:spacing w:before="220" w:after="220"/>
        <w:jc w:val="both"/>
        <w:rPr>
          <w:rFonts w:eastAsia="Times New Roman" w:asciiTheme="majorHAnsi" w:hAnsiTheme="majorHAnsi" w:cstheme="majorHAnsi"/>
          <w:sz w:val="24"/>
          <w:szCs w:val="24"/>
        </w:rPr>
      </w:pPr>
    </w:p>
    <w:p w:rsidR="009D067F" w:rsidRPr="00C45984" w:rsidP="009D067F">
      <w:pPr>
        <w:jc w:val="right"/>
        <w:rPr>
          <w:rFonts w:ascii="Calibri" w:hAnsi="Calibri" w:cs="Calibri"/>
          <w:b/>
          <w:bCs/>
          <w:i/>
          <w:iCs/>
        </w:rPr>
      </w:pPr>
      <w:r>
        <w:rPr>
          <w:rFonts w:ascii="Calibri" w:hAnsi="Calibri" w:cs="Calibri"/>
          <w:b/>
          <w:bCs/>
          <w:i/>
          <w:iCs/>
        </w:rPr>
        <w:t>April</w:t>
      </w:r>
      <w:r w:rsidRPr="00C45984">
        <w:rPr>
          <w:rFonts w:ascii="Calibri" w:hAnsi="Calibri" w:cs="Calibri"/>
          <w:b/>
          <w:bCs/>
          <w:i/>
          <w:iCs/>
        </w:rPr>
        <w:t xml:space="preserve"> 202</w:t>
      </w:r>
      <w:r>
        <w:rPr>
          <w:rFonts w:ascii="Calibri" w:hAnsi="Calibri" w:cs="Calibri"/>
          <w:b/>
          <w:bCs/>
          <w:i/>
          <w:iCs/>
        </w:rPr>
        <w:t>6</w:t>
      </w:r>
    </w:p>
    <w:p w:rsidR="009D067F" w:rsidRPr="006B0471" w:rsidP="006B0471">
      <w:pPr>
        <w:spacing w:before="220" w:after="220"/>
        <w:jc w:val="both"/>
        <w:rPr>
          <w:rFonts w:eastAsia="Times New Roman" w:asciiTheme="majorHAnsi" w:hAnsiTheme="majorHAnsi" w:cstheme="majorHAnsi"/>
          <w:sz w:val="24"/>
          <w:szCs w:val="24"/>
        </w:rPr>
      </w:pPr>
    </w:p>
    <w:p w:rsidR="00784791" w:rsidRPr="006B0471" w:rsidP="006B0471">
      <w:pPr>
        <w:spacing w:after="160" w:line="301" w:lineRule="auto"/>
        <w:ind w:left="720"/>
        <w:jc w:val="both"/>
        <w:rPr>
          <w:rFonts w:eastAsia="Times New Roman" w:asciiTheme="majorHAnsi" w:hAnsiTheme="majorHAnsi" w:cstheme="majorHAnsi"/>
          <w:sz w:val="24"/>
          <w:szCs w:val="24"/>
        </w:rPr>
      </w:pPr>
    </w:p>
    <w:p w:rsidR="00784791" w:rsidRPr="006B0471" w:rsidP="006B0471">
      <w:pPr>
        <w:jc w:val="both"/>
        <w:rPr>
          <w:rFonts w:eastAsia="Times New Roman" w:asciiTheme="majorHAnsi" w:hAnsiTheme="majorHAnsi" w:cstheme="majorHAnsi"/>
          <w:sz w:val="24"/>
          <w:szCs w:val="24"/>
        </w:rPr>
      </w:pPr>
    </w:p>
    <w:p w:rsidR="00784791" w:rsidRPr="006B0471" w:rsidP="006B0471">
      <w:pPr>
        <w:jc w:val="both"/>
        <w:rPr>
          <w:rFonts w:eastAsia="Times New Roman" w:asciiTheme="majorHAnsi" w:hAnsiTheme="majorHAnsi" w:cstheme="majorHAnsi"/>
          <w:sz w:val="24"/>
          <w:szCs w:val="24"/>
        </w:rPr>
      </w:pPr>
    </w:p>
    <w:p w:rsidR="00784791" w:rsidRPr="006B0471" w:rsidP="006B0471">
      <w:pPr>
        <w:jc w:val="both"/>
        <w:rPr>
          <w:rFonts w:eastAsia="Times New Roman" w:asciiTheme="majorHAnsi" w:hAnsiTheme="majorHAnsi" w:cstheme="majorHAnsi"/>
          <w:sz w:val="24"/>
          <w:szCs w:val="24"/>
        </w:rPr>
      </w:pPr>
    </w:p>
    <w:p w:rsidR="00784791" w:rsidRPr="006B0471" w:rsidP="006B0471">
      <w:pPr>
        <w:jc w:val="both"/>
        <w:rPr>
          <w:rFonts w:eastAsia="Times New Roman" w:asciiTheme="majorHAnsi" w:hAnsiTheme="majorHAnsi" w:cstheme="majorHAnsi"/>
          <w:sz w:val="24"/>
          <w:szCs w:val="24"/>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212E230-AC7B-4A90-949C-2DA29E903114}"/>
    <w:embedBold r:id="rId2" w:fontKey="{556408E2-5B60-41B6-8091-64A559360A03}"/>
    <w:embedItalic r:id="rId3" w:fontKey="{9270C8C1-0A06-4A2B-8152-335E720B3ABD}"/>
    <w:embedBoldItalic r:id="rId4" w:fontKey="{8828342D-327B-4994-B398-18CD64A6FBBC}"/>
  </w:font>
  <w:font w:name="Arial Nova">
    <w:charset w:val="00"/>
    <w:family w:val="swiss"/>
    <w:pitch w:val="variable"/>
    <w:sig w:usb0="0000028F" w:usb1="00000002" w:usb2="00000000" w:usb3="00000000" w:csb0="0000019F" w:csb1="00000000"/>
    <w:embedBold r:id="rId5" w:fontKey="{25CC0D3E-4186-4834-9C72-AFA6FF6CB19C}"/>
  </w:font>
  <w:font w:name="Cambria Math">
    <w:panose1 w:val="02040503050406030204"/>
    <w:charset w:val="00"/>
    <w:family w:val="roman"/>
    <w:pitch w:val="variable"/>
    <w:sig w:usb0="E00006FF" w:usb1="420024FF" w:usb2="02000000" w:usb3="00000000" w:csb0="0000019F" w:csb1="00000000"/>
    <w:embedRegular r:id="rId6" w:fontKey="{230D5336-4DEA-43C3-8A44-DFDD954CE61C}"/>
    <w:embedItalic r:id="rId7" w:fontKey="{25E9C1AC-D6BA-4FD5-AE94-ADEE95D3E949}"/>
    <w:embedBoldItalic r:id="rId8" w:fontKey="{F7E3ADB2-89BC-456A-91E0-A612B06AEDBE}"/>
  </w:font>
  <w:font w:name="Cambria">
    <w:panose1 w:val="02040503050406030204"/>
    <w:charset w:val="00"/>
    <w:family w:val="roman"/>
    <w:pitch w:val="variable"/>
    <w:sig w:usb0="E00006FF" w:usb1="420024FF" w:usb2="02000000" w:usb3="00000000" w:csb0="0000019F" w:csb1="00000000"/>
    <w:embedRegular r:id="rId9" w:fontKey="{9F3C0FC2-C82D-4167-8692-C2393E0BDE1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6C7E">
      <w:pPr>
        <w:spacing w:line="240" w:lineRule="auto"/>
      </w:pPr>
      <w:r>
        <w:separator/>
      </w:r>
    </w:p>
  </w:footnote>
  <w:footnote w:type="continuationSeparator" w:id="1">
    <w:p w:rsidR="00806C7E">
      <w:pPr>
        <w:spacing w:line="240" w:lineRule="auto"/>
      </w:pPr>
      <w:r>
        <w:continuationSeparator/>
      </w:r>
    </w:p>
  </w:footnote>
  <w:footnote w:id="2">
    <w:p w:rsidR="00784791" w:rsidRPr="006B0471">
      <w:pPr>
        <w:spacing w:line="240" w:lineRule="auto"/>
        <w:rPr>
          <w:rFonts w:ascii="Calibri" w:eastAsia="Times New Roman" w:hAnsi="Calibri" w:cs="Calibri"/>
          <w:sz w:val="20"/>
          <w:szCs w:val="20"/>
        </w:rPr>
      </w:pPr>
      <w:r w:rsidRPr="006B0471">
        <w:rPr>
          <w:rFonts w:ascii="Calibri" w:hAnsi="Calibri" w:cs="Calibri"/>
          <w:vertAlign w:val="superscript"/>
        </w:rPr>
        <w:footnoteRef/>
      </w:r>
      <w:r w:rsidRPr="006B0471">
        <w:rPr>
          <w:rFonts w:ascii="Calibri" w:eastAsia="Times New Roman" w:hAnsi="Calibri" w:cs="Calibri"/>
          <w:sz w:val="20"/>
          <w:szCs w:val="20"/>
        </w:rPr>
        <w:t xml:space="preserve"> See for example, </w:t>
      </w:r>
      <w:r w:rsidRPr="006B0471">
        <w:rPr>
          <w:rFonts w:ascii="Calibri" w:eastAsia="Times New Roman" w:hAnsi="Calibri" w:cs="Calibri"/>
          <w:i/>
          <w:iCs/>
          <w:sz w:val="20"/>
          <w:szCs w:val="20"/>
        </w:rPr>
        <w:t xml:space="preserve">GSP: A Practical Guide </w:t>
      </w:r>
      <w:r>
        <w:fldChar w:fldCharType="begin"/>
      </w:r>
      <w:r>
        <w:instrText xml:space="preserve"> HYPERLINK "https://www.parliament.scot/-/media/files/about/gender-sensitive-parliament/gender-sensitising-parliaments-guidance/gender-sensitising-parliaments--a-practical-guide.pdf" </w:instrText>
      </w:r>
      <w:r>
        <w:fldChar w:fldCharType="separate"/>
      </w:r>
      <w:r w:rsidRPr="006B0471">
        <w:rPr>
          <w:rFonts w:ascii="Calibri" w:eastAsia="Times New Roman" w:hAnsi="Calibri" w:cs="Calibri"/>
          <w:color w:val="1155CC"/>
          <w:sz w:val="20"/>
          <w:szCs w:val="20"/>
          <w:u w:val="single"/>
        </w:rPr>
        <w:t>https://www.parliament.scot/-/media/files/about/gender-sensitive-parliament/gender-sensitising-parliaments-guidance/gender-sensitising-parliaments--a-practical-guide.pdf</w:t>
      </w:r>
      <w:r>
        <w:fldChar w:fldCharType="end"/>
      </w:r>
      <w:r w:rsidRPr="006B0471">
        <w:rPr>
          <w:rFonts w:ascii="Calibri" w:eastAsia="Times New Roman" w:hAnsi="Calibri" w:cs="Calibri"/>
          <w:sz w:val="20"/>
          <w:szCs w:val="20"/>
        </w:rPr>
        <w:t xml:space="preserve">;  IPU </w:t>
      </w:r>
      <w:r>
        <w:fldChar w:fldCharType="begin"/>
      </w:r>
      <w:r>
        <w:instrText xml:space="preserve"> HYPERLINK "https://www.ipu.org/impact/gender-equality/gender-sensitive-parliaments" </w:instrText>
      </w:r>
      <w:r>
        <w:fldChar w:fldCharType="separate"/>
      </w:r>
      <w:r w:rsidRPr="006B0471">
        <w:rPr>
          <w:rFonts w:ascii="Calibri" w:eastAsia="Times New Roman" w:hAnsi="Calibri" w:cs="Calibri"/>
          <w:color w:val="1155CC"/>
          <w:sz w:val="20"/>
          <w:szCs w:val="20"/>
          <w:u w:val="single"/>
        </w:rPr>
        <w:t>https://www.ipu.org/impact/gender-equality/gender-sensitive-parliaments</w:t>
      </w:r>
      <w:r>
        <w:fldChar w:fldCharType="end"/>
      </w:r>
      <w:r w:rsidRPr="006B0471">
        <w:rPr>
          <w:rFonts w:ascii="Calibri" w:eastAsia="Times New Roman" w:hAnsi="Calibri" w:cs="Calibri"/>
          <w:sz w:val="20"/>
          <w:szCs w:val="20"/>
        </w:rPr>
        <w:t xml:space="preserve">; </w:t>
      </w:r>
      <w:r>
        <w:fldChar w:fldCharType="begin"/>
      </w:r>
      <w:r>
        <w:instrText xml:space="preserve"> HYPERLINK "https://www.cpahq.org/media/s20j1lws/cwp-gender-sensitizing-guidelines.pdf" </w:instrText>
      </w:r>
      <w:r>
        <w:fldChar w:fldCharType="separate"/>
      </w:r>
      <w:r w:rsidRPr="006B0471">
        <w:rPr>
          <w:rFonts w:ascii="Calibri" w:eastAsia="Times New Roman" w:hAnsi="Calibri" w:cs="Calibri"/>
          <w:color w:val="1155CC"/>
          <w:sz w:val="20"/>
          <w:szCs w:val="20"/>
          <w:u w:val="single"/>
        </w:rPr>
        <w:t>https://www.cpahq.org/media/s20j1lws/cwp-gender-sensitizing-guidelines.pdf</w:t>
      </w:r>
      <w:r>
        <w:fldChar w:fldCharType="end"/>
      </w:r>
    </w:p>
  </w:footnote>
  <w:footnote w:id="3">
    <w:p w:rsidR="00784791" w:rsidRPr="009224A0">
      <w:pPr>
        <w:spacing w:line="240" w:lineRule="auto"/>
        <w:rPr>
          <w:rFonts w:asciiTheme="majorHAnsi" w:hAnsiTheme="majorHAnsi" w:cstheme="majorHAnsi"/>
          <w:sz w:val="20"/>
          <w:szCs w:val="20"/>
        </w:rPr>
      </w:pPr>
      <w:r w:rsidRPr="000F4C24">
        <w:rPr>
          <w:rFonts w:asciiTheme="majorHAnsi" w:hAnsiTheme="majorHAnsi" w:cstheme="majorHAnsi"/>
          <w:sz w:val="20"/>
          <w:szCs w:val="20"/>
          <w:vertAlign w:val="superscript"/>
        </w:rPr>
        <w:footnoteRef/>
      </w:r>
      <w:r w:rsidRPr="000F4C24">
        <w:rPr>
          <w:rFonts w:asciiTheme="majorHAnsi" w:hAnsiTheme="majorHAnsi" w:cstheme="majorHAnsi"/>
          <w:sz w:val="20"/>
          <w:szCs w:val="20"/>
        </w:rPr>
        <w:t xml:space="preserve"> Shared by email with Committee. Also available here: </w:t>
      </w:r>
      <w:r>
        <w:fldChar w:fldCharType="begin"/>
      </w:r>
      <w:r>
        <w:instrText xml:space="preserve"> HYPERLINK "https://drive.google.com/file/d/1Z0cDKvVwnTg8_WjKudlst1ejvZmsoP-8/view?usp=sharing" </w:instrText>
      </w:r>
      <w:r>
        <w:fldChar w:fldCharType="separate"/>
      </w:r>
      <w:r w:rsidRPr="000F4C24">
        <w:rPr>
          <w:rFonts w:asciiTheme="majorHAnsi" w:hAnsiTheme="majorHAnsi" w:cstheme="majorHAnsi"/>
          <w:color w:val="1155CC"/>
          <w:sz w:val="20"/>
          <w:szCs w:val="20"/>
          <w:u w:val="single"/>
        </w:rPr>
        <w:t>https://drive.google.com/file/d/1Z0cDKvVwnTg8_WjKudlst1ejvZmsoP-8/view?usp=sharing</w:t>
      </w:r>
      <w:r>
        <w:fldChar w:fldCharType="end"/>
      </w:r>
      <w:r w:rsidRPr="000F4C24">
        <w:rPr>
          <w:rFonts w:asciiTheme="majorHAnsi" w:hAnsiTheme="majorHAnsi" w:cstheme="majorHAnsi"/>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B5488"/>
    <w:multiLevelType w:val="multilevel"/>
    <w:tmpl w:val="9E547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486734F"/>
    <w:multiLevelType w:val="multilevel"/>
    <w:tmpl w:val="C5C23C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580D418E"/>
    <w:multiLevelType w:val="multilevel"/>
    <w:tmpl w:val="7152F96E"/>
    <w:lvl w:ilvl="0">
      <w:start w:val="1"/>
      <w:numFmt w:val="bullet"/>
      <w:lvlText w:val="●"/>
      <w:lvlJc w:val="left"/>
      <w:pPr>
        <w:ind w:left="720" w:hanging="360"/>
      </w:pPr>
      <w:rPr>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733354F"/>
    <w:multiLevelType w:val="multilevel"/>
    <w:tmpl w:val="B36EF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embedTrueTypeFonts/>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B0471"/>
    <w:rPr>
      <w:color w:val="0000FF" w:themeColor="hyperlink"/>
      <w:u w:val="single"/>
    </w:rPr>
  </w:style>
  <w:style w:type="character" w:customStyle="1" w:styleId="UnresolvedMention1">
    <w:name w:val="Unresolved Mention1"/>
    <w:basedOn w:val="DefaultParagraphFont"/>
    <w:uiPriority w:val="99"/>
    <w:semiHidden/>
    <w:unhideWhenUsed/>
    <w:rsid w:val="006B0471"/>
    <w:rPr>
      <w:color w:val="605E5C"/>
      <w:shd w:val="clear" w:color="auto" w:fill="E1DFDD"/>
    </w:rPr>
  </w:style>
  <w:style w:type="paragraph" w:styleId="Revision">
    <w:name w:val="Revision"/>
    <w:hidden/>
    <w:uiPriority w:val="99"/>
    <w:semiHidden/>
    <w:rsid w:val="006B0471"/>
    <w:pPr>
      <w:spacing w:line="240" w:lineRule="auto"/>
    </w:pPr>
  </w:style>
  <w:style w:type="paragraph" w:styleId="Header">
    <w:name w:val="header"/>
    <w:basedOn w:val="Normal"/>
    <w:link w:val="HeaderChar"/>
    <w:uiPriority w:val="99"/>
    <w:unhideWhenUsed/>
    <w:rsid w:val="00AD3A95"/>
    <w:pPr>
      <w:tabs>
        <w:tab w:val="center" w:pos="4536"/>
        <w:tab w:val="right" w:pos="9072"/>
      </w:tabs>
      <w:spacing w:line="240" w:lineRule="auto"/>
    </w:pPr>
  </w:style>
  <w:style w:type="character" w:customStyle="1" w:styleId="HeaderChar">
    <w:name w:val="Header Char"/>
    <w:basedOn w:val="DefaultParagraphFont"/>
    <w:link w:val="Header"/>
    <w:uiPriority w:val="99"/>
    <w:rsid w:val="00AD3A95"/>
  </w:style>
  <w:style w:type="paragraph" w:styleId="Footer">
    <w:name w:val="footer"/>
    <w:basedOn w:val="Normal"/>
    <w:link w:val="FooterChar"/>
    <w:uiPriority w:val="99"/>
    <w:unhideWhenUsed/>
    <w:rsid w:val="00AD3A95"/>
    <w:pPr>
      <w:tabs>
        <w:tab w:val="center" w:pos="4536"/>
        <w:tab w:val="right" w:pos="9072"/>
      </w:tabs>
      <w:spacing w:line="240" w:lineRule="auto"/>
    </w:pPr>
  </w:style>
  <w:style w:type="character" w:customStyle="1" w:styleId="FooterChar">
    <w:name w:val="Footer Char"/>
    <w:basedOn w:val="DefaultParagraphFont"/>
    <w:link w:val="Footer"/>
    <w:uiPriority w:val="99"/>
    <w:rsid w:val="00AD3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7e3d22-4ea1-422d-b0ad-8fcc89406b9e}" enabled="0" method="" siteId="{377e3d22-4ea1-422d-b0ad-8fcc89406b9e}"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BBB0008</dc:title>
  <cp:revision>0</cp:revision>
</cp:coreProperties>
</file>