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27012" w:rsidRPr="00E61C9D" w:rsidP="00E61C9D">
      <w:pPr>
        <w:jc w:val="center"/>
        <w:rPr>
          <w:b/>
          <w:bCs/>
        </w:rPr>
      </w:pPr>
      <w:r w:rsidRPr="00E61C9D">
        <w:rPr>
          <w:b/>
          <w:bCs/>
        </w:rPr>
        <w:t>Written evidence submitted by the Ministry of Defence</w:t>
      </w:r>
    </w:p>
    <w:p w:rsidR="0013091A"/>
    <w:p w:rsidR="0013091A" w:rsidRPr="00381F9C" w:rsidP="0013091A">
      <w:pPr>
        <w:pStyle w:val="Default"/>
        <w:rPr>
          <w:rFonts w:cs="Times New Roman"/>
          <w:b/>
          <w:bCs/>
          <w:u w:val="single"/>
        </w:rPr>
      </w:pPr>
      <w:r>
        <w:rPr>
          <w:rFonts w:cs="Times New Roman"/>
          <w:b/>
          <w:bCs/>
          <w:u w:val="single"/>
        </w:rPr>
        <w:t xml:space="preserve">RESPONSES TO QUESTIONS FROM </w:t>
      </w:r>
      <w:r>
        <w:rPr>
          <w:rFonts w:cs="Times New Roman"/>
          <w:b/>
          <w:bCs/>
          <w:u w:val="single"/>
        </w:rPr>
        <w:t>FROM</w:t>
      </w:r>
      <w:r>
        <w:rPr>
          <w:rFonts w:cs="Times New Roman"/>
          <w:b/>
          <w:bCs/>
          <w:u w:val="single"/>
        </w:rPr>
        <w:t xml:space="preserve"> THE SELECT COMMITTEEE ON THE ARMED FORCES BILL</w:t>
      </w:r>
    </w:p>
    <w:p w:rsidR="0013091A" w:rsidP="0013091A">
      <w:pPr>
        <w:pStyle w:val="Default"/>
        <w:rPr>
          <w:rFonts w:cs="Times New Roman"/>
        </w:rPr>
      </w:pPr>
    </w:p>
    <w:p w:rsidR="0013091A" w:rsidP="0013091A">
      <w:r>
        <w:t>Please see responses below to a number of questions from committee members during the Select Committee debates on the Armed Forces Bill.</w:t>
      </w:r>
    </w:p>
    <w:p w:rsidR="0013091A" w:rsidP="0013091A"/>
    <w:p w:rsidR="0013091A" w:rsidRPr="0013091A" w:rsidP="0013091A">
      <w:pPr>
        <w:rPr>
          <w:u w:val="single"/>
        </w:rPr>
      </w:pPr>
      <w:r w:rsidRPr="0013091A">
        <w:rPr>
          <w:u w:val="single"/>
        </w:rPr>
        <w:t>SERVICE JUSTICE SYSTEM</w:t>
      </w:r>
    </w:p>
    <w:p w:rsidR="00DD6A86" w:rsidP="0013091A"/>
    <w:p w:rsidR="0013091A" w:rsidP="0013091A">
      <w:r>
        <w:t xml:space="preserve">On Tuesday 14 April 2026, the Member for </w:t>
      </w:r>
      <w:r w:rsidRPr="00022735">
        <w:t>Exmouth and Exeter East</w:t>
      </w:r>
      <w:r>
        <w:t>, David Reed MP, asked for clarity on what would happen where an offence occurred overseas.</w:t>
      </w:r>
    </w:p>
    <w:p w:rsidR="0013091A" w:rsidP="0013091A"/>
    <w:p w:rsidR="0013091A" w:rsidP="0013091A">
      <w:r>
        <w:t>The Service Justice System applies to persons subject to Service law and civilians subject to Service discipline wherever they are in the world.  Offences could occur in wide range of contexts, ranging from a country where concurrent jurisdiction is regulated by a written agreement or treaty through to where the British armed forces are on combat operations overseas in hostile territory.  The Service Justice System seeks to treat victims in accordance with its victims</w:t>
      </w:r>
      <w:r>
        <w:t>’</w:t>
      </w:r>
      <w:r>
        <w:t xml:space="preserve"> code under </w:t>
      </w:r>
      <w:r>
        <w:fldChar w:fldCharType="begin"/>
      </w:r>
      <w:r>
        <w:instrText xml:space="preserve"> HYPERLINK "https://view.officeapps.live.com/op/view.aspx?src=https%3A%2F%2Fassets.publishing.service.gov.uk%2Fmedia%2F6567095f750074000d1dedc3%2FPart_1_JSP_839_v2.odt&amp;wdOrigin=BROWSELINK" </w:instrText>
      </w:r>
      <w:r>
        <w:fldChar w:fldCharType="separate"/>
      </w:r>
      <w:r w:rsidRPr="00024CF8">
        <w:rPr>
          <w:rStyle w:val="Hyperlink"/>
        </w:rPr>
        <w:t>JSP 839: Services for Victims and Witnesses of Crime</w:t>
      </w:r>
      <w:r>
        <w:fldChar w:fldCharType="end"/>
      </w:r>
      <w:r>
        <w:t xml:space="preserve">.  </w:t>
      </w:r>
    </w:p>
    <w:p w:rsidR="0013091A" w:rsidP="0013091A"/>
    <w:p w:rsidR="0013091A" w:rsidP="0013091A">
      <w:r>
        <w:t xml:space="preserve">According to the </w:t>
      </w:r>
      <w:r>
        <w:fldChar w:fldCharType="begin"/>
      </w:r>
      <w:r>
        <w:instrText xml:space="preserve"> HYPERLINK "https://www.gov.uk/government/statistics/murder-manslaughter-sexual-offences-and-domestic-abuse-in-the-service-justice-system-2025" </w:instrText>
      </w:r>
      <w:r>
        <w:fldChar w:fldCharType="separate"/>
      </w:r>
      <w:r>
        <w:rPr>
          <w:rStyle w:val="Hyperlink"/>
          <w:rFonts w:hAnsi="Arial" w:cstheme="minorBidi"/>
        </w:rPr>
        <w:t>official statistics on murder, manslaughter, sexual offences and domestic abuse in the Service Justice System</w:t>
      </w:r>
      <w:r>
        <w:fldChar w:fldCharType="end"/>
      </w:r>
      <w:r>
        <w:rPr>
          <w:rFonts w:hAnsi="Arial" w:cstheme="minorBidi"/>
        </w:rPr>
        <w:t xml:space="preserve">, </w:t>
      </w:r>
      <w:r>
        <w:t>there were 406 investigations by Service police into sexual offences in 2025.  Of those, 117 incidents were reported to have occurred outside the UK.  According to the official statistics, 32 sexual offence investigations by Service police took place in Cyprus in 2025.</w:t>
      </w:r>
    </w:p>
    <w:p w:rsidR="0013091A" w:rsidP="0013091A"/>
    <w:p w:rsidR="0013091A" w:rsidRPr="00F77540" w:rsidP="0013091A">
      <w:pPr>
        <w:rPr>
          <w:u w:val="single"/>
        </w:rPr>
      </w:pPr>
      <w:r>
        <w:rPr>
          <w:u w:val="single"/>
        </w:rPr>
        <w:t>Sovereign Base Areas on the island of Cyprus</w:t>
      </w:r>
    </w:p>
    <w:p w:rsidR="0013091A" w:rsidP="0013091A"/>
    <w:p w:rsidR="0013091A" w:rsidP="0013091A">
      <w:r>
        <w:t>There is a Memorandum of Understanding between the Sovereign Base Areas</w:t>
      </w:r>
      <w:r>
        <w:t>’</w:t>
      </w:r>
      <w:r>
        <w:t xml:space="preserve"> criminal justice system and the Service Justice System.  This explains that in some cases, a criminal offence committed by a person subject to Service law or a civilian subject to Service discipline in the Sovereign Base Areas of Akrotiri or Dhekelia, may fall under the jurisdiction of both the Sovereign Base Area and the Service Justice System.  Where this occurs, the parties to the memorandum promptly communicate and co-operate with each other to agree on how to proceed.</w:t>
      </w:r>
    </w:p>
    <w:p w:rsidR="0013091A" w:rsidP="0013091A"/>
    <w:p w:rsidR="0013091A" w:rsidRPr="00F77540" w:rsidP="0013091A">
      <w:pPr>
        <w:rPr>
          <w:u w:val="single"/>
        </w:rPr>
      </w:pPr>
      <w:r>
        <w:rPr>
          <w:u w:val="single"/>
        </w:rPr>
        <w:t>Republic of Cyprus</w:t>
      </w:r>
    </w:p>
    <w:p w:rsidR="0013091A" w:rsidP="0013091A"/>
    <w:p w:rsidR="0013091A" w:rsidP="0013091A">
      <w:r>
        <w:t>The Republic of Cyprus has its own criminal justice system and primary jurisdiction over offences taking place within its territory.  T</w:t>
      </w:r>
      <w:r w:rsidRPr="00897B1F">
        <w:t xml:space="preserve">he UK has concurrent </w:t>
      </w:r>
      <w:r>
        <w:t xml:space="preserve">jurisdiction </w:t>
      </w:r>
      <w:r w:rsidRPr="00897B1F">
        <w:t xml:space="preserve">with the Republic of Cyprus, but </w:t>
      </w:r>
      <w:r>
        <w:t xml:space="preserve">has </w:t>
      </w:r>
      <w:r w:rsidRPr="00897B1F">
        <w:t>primary jurisdiction over offences arising from a Service person</w:t>
      </w:r>
      <w:r w:rsidRPr="00897B1F">
        <w:t>’</w:t>
      </w:r>
      <w:r w:rsidRPr="00897B1F">
        <w:t>s duty, or where the alleged offending is solely directed at other members of the UK armed forces, its property or security, or where the offending occurs solely within a retained site</w:t>
      </w:r>
      <w:r>
        <w:t xml:space="preserve"> (</w:t>
      </w:r>
      <w:r w:rsidRPr="00B5606E">
        <w:t>specific military installations and facilities outside the main S</w:t>
      </w:r>
      <w:r>
        <w:t xml:space="preserve">overeign </w:t>
      </w:r>
      <w:r w:rsidRPr="00B5606E">
        <w:t>B</w:t>
      </w:r>
      <w:r>
        <w:t xml:space="preserve">ase </w:t>
      </w:r>
      <w:r w:rsidRPr="00B5606E">
        <w:t>A</w:t>
      </w:r>
      <w:r>
        <w:t>rea</w:t>
      </w:r>
      <w:r w:rsidRPr="00B5606E">
        <w:t>s</w:t>
      </w:r>
      <w:r>
        <w:t>)</w:t>
      </w:r>
      <w:r w:rsidRPr="00897B1F">
        <w:t xml:space="preserve">.  </w:t>
      </w:r>
      <w:r w:rsidRPr="003343B8">
        <w:t xml:space="preserve">The UK </w:t>
      </w:r>
      <w:r>
        <w:t xml:space="preserve">also </w:t>
      </w:r>
      <w:r w:rsidRPr="003343B8">
        <w:t xml:space="preserve">retains exclusive jurisdiction for offences which are not offences in the Republic of </w:t>
      </w:r>
      <w:r w:rsidRPr="003343B8">
        <w:t>Cyprus, but</w:t>
      </w:r>
      <w:r w:rsidRPr="003343B8">
        <w:t xml:space="preserve"> are offences in England and Wales.  </w:t>
      </w:r>
      <w:r w:rsidRPr="00897B1F">
        <w:t>Offences</w:t>
      </w:r>
      <w:r>
        <w:t xml:space="preserve"> outside of these circumstances</w:t>
      </w:r>
      <w:r w:rsidRPr="00897B1F">
        <w:t>,</w:t>
      </w:r>
      <w:r w:rsidRPr="00897B1F">
        <w:t xml:space="preserve"> </w:t>
      </w:r>
      <w:r>
        <w:t xml:space="preserve">are </w:t>
      </w:r>
      <w:r w:rsidRPr="00897B1F">
        <w:t>solely the</w:t>
      </w:r>
      <w:r>
        <w:t xml:space="preserve"> responsibility</w:t>
      </w:r>
      <w:r w:rsidRPr="00897B1F">
        <w:t xml:space="preserve"> of the Republic of Cyprus legal system.  </w:t>
      </w:r>
    </w:p>
    <w:p w:rsidR="0013091A" w:rsidP="0013091A"/>
    <w:p w:rsidR="0013091A" w:rsidP="0013091A">
      <w:r>
        <w:t>In general, in countries where written agreements or treaties are in place and provide for concurrent jurisdiction, Service police will always at the outset seek to provide the victim with the opportunity to indicate which law enforcement entity they would like to investigate.  A decision will then be made under the arrangements set out in the relevant treaty or written agreement.</w:t>
      </w:r>
    </w:p>
    <w:p w:rsidR="0013091A" w:rsidP="0013091A"/>
    <w:p w:rsidR="0013091A" w:rsidP="0013091A">
      <w:r>
        <w:t xml:space="preserve">In countries where there is no treaty or written agreement, especially where the British armed forces are </w:t>
      </w:r>
      <w:r w:rsidRPr="00594A8D">
        <w:t>on</w:t>
      </w:r>
      <w:r>
        <w:t xml:space="preserve"> </w:t>
      </w:r>
      <w:r w:rsidRPr="00DC020A">
        <w:t xml:space="preserve">combat operations </w:t>
      </w:r>
      <w:r w:rsidRPr="00594A8D">
        <w:t xml:space="preserve">overseas in </w:t>
      </w:r>
      <w:r>
        <w:t>hostile</w:t>
      </w:r>
      <w:r w:rsidRPr="00DC020A">
        <w:t xml:space="preserve"> </w:t>
      </w:r>
      <w:r w:rsidRPr="00594A8D">
        <w:t>territory</w:t>
      </w:r>
      <w:r>
        <w:t>, the Service Justice System works to ensure that the rights of Service persons accused of criminal offences are protected.</w:t>
      </w:r>
    </w:p>
    <w:p w:rsidR="0013091A" w:rsidP="0013091A"/>
    <w:p w:rsidR="0013091A" w:rsidRPr="0013091A" w:rsidP="0013091A">
      <w:pPr>
        <w:rPr>
          <w:u w:val="single"/>
        </w:rPr>
      </w:pPr>
      <w:r w:rsidRPr="0013091A">
        <w:rPr>
          <w:u w:val="single"/>
        </w:rPr>
        <w:t>SECURITY CLEARANCES</w:t>
      </w:r>
    </w:p>
    <w:p w:rsidR="00DD6A86" w:rsidP="0013091A"/>
    <w:p w:rsidR="0013091A" w:rsidP="0013091A">
      <w:r>
        <w:t xml:space="preserve">Turning to the query from the same Member, David Reed MP, on 16 April </w:t>
      </w:r>
      <w:r w:rsidRPr="00F23C10">
        <w:t>about vetting processes in the context of zig-zag careers</w:t>
      </w:r>
      <w:r>
        <w:t xml:space="preserve">, please note that national security vetting is an HMG-wide process owned by the Cabinet Office. Security clearances are subject to regular </w:t>
      </w:r>
      <w:r w:rsidR="00DD6A86">
        <w:t>review and</w:t>
      </w:r>
      <w:r>
        <w:t xml:space="preserve"> will be lapsed once the work for which the clearance was granted has been completed. However, if clearance is required again up to 12 months after the clearance has been lapsed, it can be reinstated in most cases. Due to the nature of vetting, it is not appropriate to reinstate a clearance if it has been lapsed for any longer than that.</w:t>
      </w:r>
    </w:p>
    <w:p w:rsidR="0013091A" w:rsidP="0013091A"/>
    <w:p w:rsidR="0013091A" w:rsidRPr="007E26A5" w:rsidP="007E26A5">
      <w:r>
        <w:t>The length of time vetting takes depends upon the level of clearance required, and on an individual</w:t>
      </w:r>
      <w:r>
        <w:t>’</w:t>
      </w:r>
      <w:r>
        <w:t>s personal circumstances. While there were delays in the vetting process 3-4 years ago that is no longer the case, with the vast majority of clearances currently taking less than12 months.</w:t>
      </w:r>
    </w:p>
    <w:p w:rsidR="0013091A" w:rsidP="0013091A">
      <w:pPr>
        <w:pStyle w:val="Default"/>
        <w:rPr>
          <w:rFonts w:cs="Times New Roman"/>
        </w:rPr>
      </w:pPr>
    </w:p>
    <w:p w:rsidR="0013091A" w:rsidRPr="0013091A" w:rsidP="0013091A">
      <w:pPr>
        <w:pStyle w:val="Default"/>
        <w:rPr>
          <w:rFonts w:cs="Times New Roman"/>
          <w:u w:val="single"/>
        </w:rPr>
      </w:pPr>
      <w:r w:rsidRPr="0013091A">
        <w:rPr>
          <w:rFonts w:cs="Times New Roman"/>
          <w:u w:val="single"/>
        </w:rPr>
        <w:t>ARMED FORCES COVENANT</w:t>
      </w:r>
    </w:p>
    <w:p w:rsidR="007E26A5" w:rsidP="0013091A">
      <w:pPr>
        <w:pStyle w:val="Default"/>
        <w:rPr>
          <w:noProof/>
        </w:rPr>
      </w:pPr>
    </w:p>
    <w:p w:rsidR="0013091A" w:rsidP="0013091A">
      <w:pPr>
        <w:pStyle w:val="Default"/>
        <w:rPr>
          <w:noProof/>
        </w:rPr>
      </w:pPr>
      <w:r>
        <w:rPr>
          <w:noProof/>
        </w:rPr>
        <w:t>The Member for North Devon, Ian Roome MP, asked on 24 March how many Councils have signed up to the Armed Forces Covenant. Please be assured that all local authorities in England, Scotland and Wales, and six councils in Northern Ireland have pledged to uphold the Armed Forces Covenant. They continue to play a pivotal role in advancing its aim of ensuring that the Armed Forces community is treated fairly and faces no disadvantage compared to other citizens when accessing public and commercial services.</w:t>
      </w:r>
    </w:p>
    <w:p w:rsidR="0013091A" w:rsidP="0013091A">
      <w:pPr>
        <w:pStyle w:val="Default"/>
        <w:rPr>
          <w:noProof/>
        </w:rPr>
      </w:pPr>
    </w:p>
    <w:p w:rsidR="0013091A" w:rsidRPr="0013091A" w:rsidP="0013091A">
      <w:pPr>
        <w:pStyle w:val="Default"/>
        <w:rPr>
          <w:noProof/>
          <w:u w:val="single"/>
        </w:rPr>
      </w:pPr>
      <w:r w:rsidRPr="0013091A">
        <w:rPr>
          <w:noProof/>
          <w:u w:val="single"/>
        </w:rPr>
        <w:t>DEFENCE HOUSING</w:t>
      </w:r>
    </w:p>
    <w:p w:rsidR="007E26A5" w:rsidP="0013091A">
      <w:pPr>
        <w:pStyle w:val="Default"/>
        <w:rPr>
          <w:noProof/>
        </w:rPr>
      </w:pPr>
    </w:p>
    <w:p w:rsidR="0013091A" w:rsidP="0013091A">
      <w:pPr>
        <w:pStyle w:val="Default"/>
        <w:rPr>
          <w:noProof/>
        </w:rPr>
      </w:pPr>
      <w:r>
        <w:rPr>
          <w:noProof/>
        </w:rPr>
        <w:t xml:space="preserve">The Member for Tunbridge Wells, Mike Martin MP, asked during the debate on 26 March about the timeline for meeting the Decent Homes standard. As of 13 April 2026,  45,890 (97.53%) of the MODs 47,050 Service Family Accommodation in the UK meet or exceed the Decent Homes standard. Under the plans set out in the Defence Housing Strategy, 9 in 10 Defence homes </w:t>
      </w:r>
      <w:r>
        <w:rPr>
          <w:noProof/>
        </w:rPr>
        <w:t>–</w:t>
      </w:r>
      <w:r>
        <w:rPr>
          <w:noProof/>
        </w:rPr>
        <w:t xml:space="preserve"> more than 40,000 - will be modernised or upgraded, of which 3 in 10 </w:t>
      </w:r>
      <w:r>
        <w:rPr>
          <w:noProof/>
        </w:rPr>
        <w:t>–</w:t>
      </w:r>
      <w:r>
        <w:rPr>
          <w:noProof/>
        </w:rPr>
        <w:t xml:space="preserve"> more than 10,000 - will be substantially refurbished or replaced, including through new build. This programme of works is funded by the </w:t>
      </w:r>
      <w:r>
        <w:rPr>
          <w:noProof/>
        </w:rPr>
        <w:t>£</w:t>
      </w:r>
      <w:r>
        <w:rPr>
          <w:noProof/>
        </w:rPr>
        <w:t>9bn commitment and will be delivered via a decade of renewal, driven by the new Defence Housing Service.</w:t>
      </w:r>
    </w:p>
    <w:p w:rsidR="000F16A7" w:rsidP="0013091A">
      <w:pPr>
        <w:pStyle w:val="Default"/>
        <w:rPr>
          <w:noProof/>
        </w:rPr>
      </w:pPr>
    </w:p>
    <w:p w:rsidR="00495EFA" w:rsidP="000F16A7">
      <w:pPr>
        <w:pStyle w:val="Default"/>
        <w:rPr>
          <w:noProof/>
          <w:u w:val="single"/>
        </w:rPr>
      </w:pPr>
      <w:r>
        <w:rPr>
          <w:noProof/>
          <w:u w:val="single"/>
        </w:rPr>
        <w:t xml:space="preserve">DEFENCE </w:t>
      </w:r>
      <w:r w:rsidR="000F16A7">
        <w:rPr>
          <w:noProof/>
          <w:u w:val="single"/>
        </w:rPr>
        <w:t>UNCREWED</w:t>
      </w:r>
      <w:r>
        <w:rPr>
          <w:noProof/>
          <w:u w:val="single"/>
        </w:rPr>
        <w:t xml:space="preserve"> SYSTEMS</w:t>
      </w:r>
    </w:p>
    <w:p w:rsidR="003C2C19" w:rsidP="000F16A7">
      <w:pPr>
        <w:pStyle w:val="Default"/>
        <w:rPr>
          <w:noProof/>
        </w:rPr>
      </w:pPr>
      <w:r>
        <w:rPr>
          <w:noProof/>
        </w:rPr>
        <w:t>On 16 April</w:t>
      </w:r>
      <w:r w:rsidR="00480989">
        <w:rPr>
          <w:noProof/>
        </w:rPr>
        <w:t xml:space="preserve"> the Minister for the Armed Forces stated that </w:t>
      </w:r>
      <w:r w:rsidRPr="00B928EE" w:rsidR="00480989">
        <w:rPr>
          <w:rFonts w:hAnsi="Arial"/>
          <w:noProof/>
        </w:rPr>
        <w:t>“</w:t>
      </w:r>
      <w:r w:rsidR="00480989">
        <w:rPr>
          <w:noProof/>
        </w:rPr>
        <w:t xml:space="preserve">The </w:t>
      </w:r>
      <w:r w:rsidRPr="00480989" w:rsidR="00480989">
        <w:rPr>
          <w:noProof/>
        </w:rPr>
        <w:t xml:space="preserve">Defence Maritime Regulator is bringing forward proposals to establish regulatory sandboxes for the testing and training of uncrewed maritime systems, in line with recommendation 39 of the strategic defence review. </w:t>
      </w:r>
      <w:r w:rsidRPr="00B928EE" w:rsidR="00480989">
        <w:rPr>
          <w:noProof/>
        </w:rPr>
        <w:t>I think that that is due at the end of the month, but I will come back to the Committee on that</w:t>
      </w:r>
      <w:r w:rsidRPr="00480989" w:rsidR="00480989">
        <w:rPr>
          <w:noProof/>
        </w:rPr>
        <w:t>.</w:t>
      </w:r>
      <w:r w:rsidRPr="00B928EE" w:rsidR="00B928EE">
        <w:rPr>
          <w:rFonts w:hAnsi="Arial"/>
          <w:noProof/>
        </w:rPr>
        <w:t>”</w:t>
      </w:r>
      <w:r w:rsidR="00B928EE">
        <w:rPr>
          <w:noProof/>
        </w:rPr>
        <w:t xml:space="preserve"> We can conf</w:t>
      </w:r>
      <w:r w:rsidR="00B74588">
        <w:rPr>
          <w:noProof/>
        </w:rPr>
        <w:t>irm tha</w:t>
      </w:r>
      <w:r w:rsidR="00D75F03">
        <w:rPr>
          <w:noProof/>
        </w:rPr>
        <w:t>t t</w:t>
      </w:r>
      <w:r w:rsidRPr="00D75F03" w:rsidR="00D75F03">
        <w:rPr>
          <w:noProof/>
        </w:rPr>
        <w:t xml:space="preserve">he proposals from </w:t>
      </w:r>
      <w:r w:rsidR="00D75F03">
        <w:rPr>
          <w:noProof/>
        </w:rPr>
        <w:t xml:space="preserve">the </w:t>
      </w:r>
      <w:r w:rsidRPr="00D75F03" w:rsidR="00D75F03">
        <w:rPr>
          <w:noProof/>
        </w:rPr>
        <w:t>D</w:t>
      </w:r>
      <w:r w:rsidR="00D75F03">
        <w:rPr>
          <w:noProof/>
        </w:rPr>
        <w:t xml:space="preserve">efence </w:t>
      </w:r>
      <w:r w:rsidRPr="00D75F03" w:rsidR="00D75F03">
        <w:rPr>
          <w:noProof/>
        </w:rPr>
        <w:t>M</w:t>
      </w:r>
      <w:r w:rsidR="00D75F03">
        <w:rPr>
          <w:noProof/>
        </w:rPr>
        <w:t xml:space="preserve">aritime </w:t>
      </w:r>
      <w:r w:rsidRPr="00D75F03" w:rsidR="00D75F03">
        <w:rPr>
          <w:noProof/>
        </w:rPr>
        <w:t>R</w:t>
      </w:r>
      <w:r w:rsidR="00D75F03">
        <w:rPr>
          <w:noProof/>
        </w:rPr>
        <w:t>egulator</w:t>
      </w:r>
      <w:r w:rsidRPr="00D75F03" w:rsidR="00D75F03">
        <w:rPr>
          <w:noProof/>
        </w:rPr>
        <w:t xml:space="preserve"> have been received and are being considered</w:t>
      </w:r>
      <w:r w:rsidR="00D75F03">
        <w:rPr>
          <w:noProof/>
        </w:rPr>
        <w:t>.</w:t>
      </w:r>
    </w:p>
    <w:p w:rsidR="00AE1B27" w:rsidP="000F16A7">
      <w:pPr>
        <w:pStyle w:val="Default"/>
        <w:rPr>
          <w:noProof/>
        </w:rPr>
      </w:pPr>
    </w:p>
    <w:p w:rsidR="00AE1B27" w:rsidP="000F16A7">
      <w:pPr>
        <w:pStyle w:val="Default"/>
        <w:rPr>
          <w:noProof/>
        </w:rPr>
      </w:pPr>
    </w:p>
    <w:p w:rsidR="00AE1B27" w:rsidRPr="00AE1B27" w:rsidP="000F16A7">
      <w:pPr>
        <w:pStyle w:val="Default"/>
        <w:rPr>
          <w:b/>
          <w:bCs/>
          <w:i/>
          <w:iCs/>
          <w:noProof/>
        </w:rPr>
      </w:pPr>
      <w:r w:rsidRPr="00AE1B27">
        <w:rPr>
          <w:b/>
          <w:bCs/>
          <w:i/>
          <w:iCs/>
          <w:noProof/>
        </w:rPr>
        <w:t>20 April 2026</w:t>
      </w:r>
    </w:p>
    <w:p w:rsidR="000F16A7" w:rsidRPr="00AE1B27" w:rsidP="000F16A7">
      <w:pPr>
        <w:pStyle w:val="Default"/>
        <w:rPr>
          <w:i/>
          <w:iCs/>
          <w:noProof/>
          <w:u w:val="single"/>
        </w:rPr>
      </w:pPr>
      <w:r w:rsidRPr="00AE1B27">
        <w:rPr>
          <w:i/>
          <w:iCs/>
          <w:noProof/>
          <w:u w:val="single"/>
        </w:rPr>
        <w:t xml:space="preserve"> </w:t>
      </w:r>
    </w:p>
    <w:p w:rsidR="000F16A7" w:rsidP="0013091A">
      <w:pPr>
        <w:pStyle w:val="Default"/>
        <w:rPr>
          <w:noProof/>
        </w:rPr>
      </w:pPr>
    </w:p>
    <w:p w:rsidR="0013091A"/>
    <w:sectPr>
      <w:headerReference w:type="default" r:id="rI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B27">
    <w:pPr>
      <w:pStyle w:val="Header"/>
    </w:pPr>
    <w:r>
      <w:tab/>
    </w:r>
    <w:r>
      <w:tab/>
      <w:t>[AFB0051]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1"/>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3091A"/>
    <w:pPr>
      <w:spacing w:after="0" w:line="240" w:lineRule="auto"/>
    </w:pPr>
    <w:rPr>
      <w:rFonts w:ascii="Arial" w:eastAsia="Times New Roman" w:hAnsi="Times New Roman" w:cs="Arial"/>
      <w:kern w:val="0"/>
      <w:lang w:eastAsia="zh-TW"/>
    </w:rPr>
  </w:style>
  <w:style w:type="paragraph" w:styleId="Heading1">
    <w:name w:val="heading 1"/>
    <w:basedOn w:val="Normal"/>
    <w:next w:val="Normal"/>
    <w:link w:val="Heading1Char"/>
    <w:uiPriority w:val="9"/>
    <w:qFormat/>
    <w:rsid w:val="0013091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rPr>
  </w:style>
  <w:style w:type="paragraph" w:styleId="Heading2">
    <w:name w:val="heading 2"/>
    <w:basedOn w:val="Normal"/>
    <w:next w:val="Normal"/>
    <w:link w:val="Heading2Char"/>
    <w:uiPriority w:val="9"/>
    <w:semiHidden/>
    <w:unhideWhenUsed/>
    <w:qFormat/>
    <w:rsid w:val="0013091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rPr>
  </w:style>
  <w:style w:type="paragraph" w:styleId="Heading3">
    <w:name w:val="heading 3"/>
    <w:basedOn w:val="Normal"/>
    <w:next w:val="Normal"/>
    <w:link w:val="Heading3Char"/>
    <w:uiPriority w:val="9"/>
    <w:semiHidden/>
    <w:unhideWhenUsed/>
    <w:qFormat/>
    <w:rsid w:val="0013091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rPr>
  </w:style>
  <w:style w:type="paragraph" w:styleId="Heading4">
    <w:name w:val="heading 4"/>
    <w:basedOn w:val="Normal"/>
    <w:next w:val="Normal"/>
    <w:link w:val="Heading4Char"/>
    <w:uiPriority w:val="9"/>
    <w:semiHidden/>
    <w:unhideWhenUsed/>
    <w:qFormat/>
    <w:rsid w:val="0013091A"/>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rPr>
  </w:style>
  <w:style w:type="paragraph" w:styleId="Heading5">
    <w:name w:val="heading 5"/>
    <w:basedOn w:val="Normal"/>
    <w:next w:val="Normal"/>
    <w:link w:val="Heading5Char"/>
    <w:uiPriority w:val="9"/>
    <w:semiHidden/>
    <w:unhideWhenUsed/>
    <w:qFormat/>
    <w:rsid w:val="0013091A"/>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rPr>
  </w:style>
  <w:style w:type="paragraph" w:styleId="Heading6">
    <w:name w:val="heading 6"/>
    <w:basedOn w:val="Normal"/>
    <w:next w:val="Normal"/>
    <w:link w:val="Heading6Char"/>
    <w:uiPriority w:val="9"/>
    <w:semiHidden/>
    <w:unhideWhenUsed/>
    <w:qFormat/>
    <w:rsid w:val="0013091A"/>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rPr>
  </w:style>
  <w:style w:type="paragraph" w:styleId="Heading7">
    <w:name w:val="heading 7"/>
    <w:basedOn w:val="Normal"/>
    <w:next w:val="Normal"/>
    <w:link w:val="Heading7Char"/>
    <w:uiPriority w:val="9"/>
    <w:semiHidden/>
    <w:unhideWhenUsed/>
    <w:qFormat/>
    <w:rsid w:val="0013091A"/>
    <w:pPr>
      <w:keepNext/>
      <w:keepLines/>
      <w:spacing w:before="40" w:line="278" w:lineRule="auto"/>
      <w:outlineLvl w:val="6"/>
    </w:pPr>
    <w:rPr>
      <w:rFonts w:asciiTheme="minorHAnsi" w:eastAsiaTheme="majorEastAsia" w:hAnsiTheme="minorHAnsi" w:cstheme="majorBidi"/>
      <w:color w:val="595959" w:themeColor="text1" w:themeTint="A6"/>
      <w:kern w:val="2"/>
      <w:lang w:eastAsia="en-US"/>
    </w:rPr>
  </w:style>
  <w:style w:type="paragraph" w:styleId="Heading8">
    <w:name w:val="heading 8"/>
    <w:basedOn w:val="Normal"/>
    <w:next w:val="Normal"/>
    <w:link w:val="Heading8Char"/>
    <w:uiPriority w:val="9"/>
    <w:semiHidden/>
    <w:unhideWhenUsed/>
    <w:qFormat/>
    <w:rsid w:val="0013091A"/>
    <w:pPr>
      <w:keepNext/>
      <w:keepLines/>
      <w:spacing w:line="278" w:lineRule="auto"/>
      <w:outlineLvl w:val="7"/>
    </w:pPr>
    <w:rPr>
      <w:rFonts w:asciiTheme="minorHAnsi" w:eastAsiaTheme="majorEastAsia" w:hAnsiTheme="minorHAnsi" w:cstheme="majorBidi"/>
      <w:i/>
      <w:iCs/>
      <w:color w:val="272727" w:themeColor="text1" w:themeTint="D8"/>
      <w:kern w:val="2"/>
      <w:lang w:eastAsia="en-US"/>
    </w:rPr>
  </w:style>
  <w:style w:type="paragraph" w:styleId="Heading9">
    <w:name w:val="heading 9"/>
    <w:basedOn w:val="Normal"/>
    <w:next w:val="Normal"/>
    <w:link w:val="Heading9Char"/>
    <w:uiPriority w:val="9"/>
    <w:semiHidden/>
    <w:unhideWhenUsed/>
    <w:qFormat/>
    <w:rsid w:val="0013091A"/>
    <w:pPr>
      <w:keepNext/>
      <w:keepLines/>
      <w:spacing w:line="278" w:lineRule="auto"/>
      <w:outlineLvl w:val="8"/>
    </w:pPr>
    <w:rPr>
      <w:rFonts w:asciiTheme="minorHAnsi" w:eastAsiaTheme="majorEastAsia" w:hAnsiTheme="minorHAnsi" w:cstheme="majorBidi"/>
      <w:color w:val="272727" w:themeColor="text1" w:themeTint="D8"/>
      <w:kern w:val="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09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09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09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09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09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09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09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09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091A"/>
    <w:rPr>
      <w:rFonts w:eastAsiaTheme="majorEastAsia" w:cstheme="majorBidi"/>
      <w:color w:val="272727" w:themeColor="text1" w:themeTint="D8"/>
    </w:rPr>
  </w:style>
  <w:style w:type="paragraph" w:styleId="Title">
    <w:name w:val="Title"/>
    <w:basedOn w:val="Normal"/>
    <w:next w:val="Normal"/>
    <w:link w:val="TitleChar"/>
    <w:uiPriority w:val="10"/>
    <w:qFormat/>
    <w:rsid w:val="0013091A"/>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1309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091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rPr>
  </w:style>
  <w:style w:type="character" w:customStyle="1" w:styleId="SubtitleChar">
    <w:name w:val="Subtitle Char"/>
    <w:basedOn w:val="DefaultParagraphFont"/>
    <w:link w:val="Subtitle"/>
    <w:uiPriority w:val="11"/>
    <w:rsid w:val="001309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091A"/>
    <w:pPr>
      <w:spacing w:before="160" w:after="160" w:line="278" w:lineRule="auto"/>
      <w:jc w:val="center"/>
    </w:pPr>
    <w:rPr>
      <w:rFonts w:asciiTheme="minorHAnsi" w:eastAsiaTheme="minorHAnsi" w:hAnsiTheme="minorHAnsi" w:cstheme="minorBidi"/>
      <w:i/>
      <w:iCs/>
      <w:color w:val="404040" w:themeColor="text1" w:themeTint="BF"/>
      <w:kern w:val="2"/>
      <w:lang w:eastAsia="en-US"/>
    </w:rPr>
  </w:style>
  <w:style w:type="character" w:customStyle="1" w:styleId="QuoteChar">
    <w:name w:val="Quote Char"/>
    <w:basedOn w:val="DefaultParagraphFont"/>
    <w:link w:val="Quote"/>
    <w:uiPriority w:val="29"/>
    <w:rsid w:val="0013091A"/>
    <w:rPr>
      <w:i/>
      <w:iCs/>
      <w:color w:val="404040" w:themeColor="text1" w:themeTint="BF"/>
    </w:rPr>
  </w:style>
  <w:style w:type="paragraph" w:styleId="ListParagraph">
    <w:name w:val="List Paragraph"/>
    <w:basedOn w:val="Normal"/>
    <w:uiPriority w:val="34"/>
    <w:qFormat/>
    <w:rsid w:val="0013091A"/>
    <w:pPr>
      <w:spacing w:after="160" w:line="278" w:lineRule="auto"/>
      <w:ind w:left="720"/>
      <w:contextualSpacing/>
    </w:pPr>
    <w:rPr>
      <w:rFonts w:asciiTheme="minorHAnsi" w:eastAsiaTheme="minorHAnsi" w:hAnsiTheme="minorHAnsi" w:cstheme="minorBidi"/>
      <w:kern w:val="2"/>
      <w:lang w:eastAsia="en-US"/>
    </w:rPr>
  </w:style>
  <w:style w:type="character" w:styleId="IntenseEmphasis">
    <w:name w:val="Intense Emphasis"/>
    <w:basedOn w:val="DefaultParagraphFont"/>
    <w:uiPriority w:val="21"/>
    <w:qFormat/>
    <w:rsid w:val="0013091A"/>
    <w:rPr>
      <w:i/>
      <w:iCs/>
      <w:color w:val="0F4761" w:themeColor="accent1" w:themeShade="BF"/>
    </w:rPr>
  </w:style>
  <w:style w:type="paragraph" w:styleId="IntenseQuote">
    <w:name w:val="Intense Quote"/>
    <w:basedOn w:val="Normal"/>
    <w:next w:val="Normal"/>
    <w:link w:val="IntenseQuoteChar"/>
    <w:uiPriority w:val="30"/>
    <w:qFormat/>
    <w:rsid w:val="0013091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rPr>
  </w:style>
  <w:style w:type="character" w:customStyle="1" w:styleId="IntenseQuoteChar">
    <w:name w:val="Intense Quote Char"/>
    <w:basedOn w:val="DefaultParagraphFont"/>
    <w:link w:val="IntenseQuote"/>
    <w:uiPriority w:val="30"/>
    <w:rsid w:val="0013091A"/>
    <w:rPr>
      <w:i/>
      <w:iCs/>
      <w:color w:val="0F4761" w:themeColor="accent1" w:themeShade="BF"/>
    </w:rPr>
  </w:style>
  <w:style w:type="character" w:styleId="IntenseReference">
    <w:name w:val="Intense Reference"/>
    <w:basedOn w:val="DefaultParagraphFont"/>
    <w:uiPriority w:val="32"/>
    <w:qFormat/>
    <w:rsid w:val="0013091A"/>
    <w:rPr>
      <w:b/>
      <w:bCs/>
      <w:smallCaps/>
      <w:color w:val="0F4761" w:themeColor="accent1" w:themeShade="BF"/>
      <w:spacing w:val="5"/>
    </w:rPr>
  </w:style>
  <w:style w:type="paragraph" w:customStyle="1" w:styleId="Default">
    <w:name w:val="Default"/>
    <w:rsid w:val="0013091A"/>
    <w:pPr>
      <w:widowControl w:val="0"/>
      <w:autoSpaceDN w:val="0"/>
      <w:adjustRightInd w:val="0"/>
      <w:spacing w:after="0" w:line="240" w:lineRule="auto"/>
    </w:pPr>
    <w:rPr>
      <w:rFonts w:ascii="Arial" w:eastAsia="Times New Roman" w:hAnsi="Times New Roman" w:cs="Arial"/>
      <w:kern w:val="0"/>
      <w:lang w:eastAsia="zh-TW" w:bidi="hi-IN"/>
    </w:rPr>
  </w:style>
  <w:style w:type="character" w:styleId="Hyperlink">
    <w:name w:val="Hyperlink"/>
    <w:basedOn w:val="DefaultParagraphFont"/>
    <w:uiPriority w:val="99"/>
    <w:rsid w:val="0013091A"/>
    <w:rPr>
      <w:rFonts w:cs="Times New Roman"/>
      <w:color w:val="467886" w:themeColor="hyperlink"/>
      <w:u w:val="single"/>
    </w:rPr>
  </w:style>
  <w:style w:type="paragraph" w:styleId="Header">
    <w:name w:val="header"/>
    <w:basedOn w:val="Normal"/>
    <w:link w:val="HeaderChar"/>
    <w:uiPriority w:val="99"/>
    <w:unhideWhenUsed/>
    <w:rsid w:val="00AE1B27"/>
    <w:pPr>
      <w:tabs>
        <w:tab w:val="center" w:pos="4513"/>
        <w:tab w:val="right" w:pos="9026"/>
      </w:tabs>
    </w:pPr>
  </w:style>
  <w:style w:type="character" w:customStyle="1" w:styleId="HeaderChar">
    <w:name w:val="Header Char"/>
    <w:basedOn w:val="DefaultParagraphFont"/>
    <w:link w:val="Header"/>
    <w:uiPriority w:val="99"/>
    <w:rsid w:val="00AE1B27"/>
    <w:rPr>
      <w:rFonts w:ascii="Arial" w:eastAsia="Times New Roman" w:hAnsi="Times New Roman" w:cs="Arial"/>
      <w:kern w:val="0"/>
      <w:lang w:eastAsia="zh-TW"/>
    </w:rPr>
  </w:style>
  <w:style w:type="paragraph" w:styleId="Footer">
    <w:name w:val="footer"/>
    <w:basedOn w:val="Normal"/>
    <w:link w:val="FooterChar"/>
    <w:uiPriority w:val="99"/>
    <w:unhideWhenUsed/>
    <w:rsid w:val="00AE1B27"/>
    <w:pPr>
      <w:tabs>
        <w:tab w:val="center" w:pos="4513"/>
        <w:tab w:val="right" w:pos="9026"/>
      </w:tabs>
    </w:pPr>
  </w:style>
  <w:style w:type="character" w:customStyle="1" w:styleId="FooterChar">
    <w:name w:val="Footer Char"/>
    <w:basedOn w:val="DefaultParagraphFont"/>
    <w:link w:val="Footer"/>
    <w:uiPriority w:val="99"/>
    <w:rsid w:val="00AE1B27"/>
    <w:rPr>
      <w:rFonts w:ascii="Arial" w:eastAsia="Times New Roman" w:hAnsi="Times New Roman" w:cs="Arial"/>
      <w:kern w:val="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AFB0051</dc:title>
  <cp:revision>0</cp:revision>
</cp:coreProperties>
</file>