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064B76" w:rsidRPr="00064B76">
      <w:pPr>
        <w:pStyle w:val="BodyText"/>
        <w:spacing w:before="44"/>
        <w:rPr>
          <w:rFonts w:ascii="Verdana" w:hAnsi="Verdana"/>
          <w:b/>
          <w:bCs/>
          <w:spacing w:val="-6"/>
          <w:sz w:val="28"/>
          <w:szCs w:val="28"/>
        </w:rPr>
      </w:pPr>
      <w:r w:rsidRPr="00064B76">
        <w:rPr>
          <w:rFonts w:ascii="Verdana" w:hAnsi="Verdana"/>
          <w:b/>
          <w:bCs/>
          <w:spacing w:val="-6"/>
          <w:sz w:val="28"/>
          <w:szCs w:val="28"/>
        </w:rPr>
        <w:t>Mastercard – Supplementary Written Evidence (STA0072)</w:t>
      </w:r>
    </w:p>
    <w:p w:rsidR="00064B76" w:rsidRPr="00064B76">
      <w:pPr>
        <w:pStyle w:val="BodyText"/>
        <w:spacing w:before="44"/>
        <w:rPr>
          <w:rFonts w:ascii="Verdana" w:hAnsi="Verdana"/>
          <w:spacing w:val="-6"/>
        </w:rPr>
      </w:pPr>
    </w:p>
    <w:p w:rsidR="00BE5DBE" w:rsidRPr="00064B76">
      <w:pPr>
        <w:pStyle w:val="BodyText"/>
        <w:spacing w:before="44"/>
        <w:rPr>
          <w:rFonts w:ascii="Verdana" w:hAnsi="Verdana"/>
          <w:sz w:val="24"/>
          <w:szCs w:val="24"/>
        </w:rPr>
      </w:pPr>
      <w:r w:rsidRPr="00064B76">
        <w:rPr>
          <w:rFonts w:ascii="Verdana" w:hAnsi="Verdana"/>
          <w:spacing w:val="-6"/>
          <w:sz w:val="24"/>
          <w:szCs w:val="24"/>
        </w:rPr>
        <w:t>The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Baroness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Noakes</w:t>
      </w:r>
      <w:r w:rsidRPr="00064B76">
        <w:rPr>
          <w:rFonts w:ascii="Verdana" w:hAnsi="Verdana"/>
          <w:spacing w:val="-16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DBE</w:t>
      </w:r>
    </w:p>
    <w:p w:rsidR="00BE5DBE" w:rsidRPr="00064B76">
      <w:pPr>
        <w:pStyle w:val="BodyText"/>
        <w:spacing w:before="13" w:line="252" w:lineRule="auto"/>
        <w:ind w:right="4910"/>
        <w:rPr>
          <w:rFonts w:ascii="Verdana" w:hAnsi="Verdana"/>
          <w:sz w:val="24"/>
          <w:szCs w:val="24"/>
        </w:rPr>
      </w:pPr>
      <w:r w:rsidRPr="00064B76">
        <w:rPr>
          <w:rFonts w:ascii="Verdana" w:hAnsi="Verdana"/>
          <w:spacing w:val="-4"/>
          <w:sz w:val="24"/>
          <w:szCs w:val="24"/>
        </w:rPr>
        <w:t>Chair,</w:t>
      </w:r>
      <w:r w:rsidRPr="00064B76">
        <w:rPr>
          <w:rFonts w:ascii="Verdana" w:hAnsi="Verdana"/>
          <w:spacing w:val="-11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Financial</w:t>
      </w:r>
      <w:r w:rsidRPr="00064B76">
        <w:rPr>
          <w:rFonts w:ascii="Verdana" w:hAnsi="Verdana"/>
          <w:spacing w:val="-11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Services</w:t>
      </w:r>
      <w:r w:rsidRPr="00064B76">
        <w:rPr>
          <w:rFonts w:ascii="Verdana" w:hAnsi="Verdana"/>
          <w:spacing w:val="-11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Regulation</w:t>
      </w:r>
      <w:r w:rsidRPr="00064B76">
        <w:rPr>
          <w:rFonts w:ascii="Verdana" w:hAnsi="Verdana"/>
          <w:spacing w:val="-11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 xml:space="preserve">Committee </w:t>
      </w:r>
      <w:r w:rsidRPr="00064B76">
        <w:rPr>
          <w:rFonts w:ascii="Verdana" w:hAnsi="Verdana"/>
          <w:sz w:val="24"/>
          <w:szCs w:val="24"/>
        </w:rPr>
        <w:t>House of Lords</w:t>
      </w:r>
    </w:p>
    <w:p w:rsidR="00BE5DBE" w:rsidRPr="00064B76">
      <w:pPr>
        <w:pStyle w:val="BodyText"/>
        <w:spacing w:line="252" w:lineRule="auto"/>
        <w:ind w:right="8582"/>
        <w:rPr>
          <w:rFonts w:ascii="Verdana" w:hAnsi="Verdana"/>
          <w:sz w:val="24"/>
          <w:szCs w:val="24"/>
        </w:rPr>
      </w:pPr>
      <w:r w:rsidRPr="00064B76">
        <w:rPr>
          <w:rFonts w:ascii="Verdana" w:hAnsi="Verdana"/>
          <w:spacing w:val="-2"/>
          <w:sz w:val="24"/>
          <w:szCs w:val="24"/>
        </w:rPr>
        <w:t xml:space="preserve">London </w:t>
      </w:r>
      <w:r w:rsidRPr="00064B76">
        <w:rPr>
          <w:rFonts w:ascii="Verdana" w:hAnsi="Verdana"/>
          <w:sz w:val="24"/>
          <w:szCs w:val="24"/>
        </w:rPr>
        <w:t>SW1A</w:t>
      </w:r>
      <w:r w:rsidRPr="00064B76">
        <w:rPr>
          <w:rFonts w:ascii="Verdana" w:hAnsi="Verdana"/>
          <w:spacing w:val="-16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0PW</w:t>
      </w:r>
    </w:p>
    <w:p w:rsidR="00BE5DBE" w:rsidRPr="00064B76">
      <w:pPr>
        <w:pStyle w:val="BodyText"/>
        <w:spacing w:before="13"/>
        <w:ind w:left="0"/>
        <w:rPr>
          <w:rFonts w:ascii="Verdana" w:hAnsi="Verdana"/>
          <w:sz w:val="24"/>
          <w:szCs w:val="24"/>
        </w:rPr>
      </w:pPr>
    </w:p>
    <w:p w:rsidR="00BE5DBE" w:rsidRPr="00064B76">
      <w:pPr>
        <w:pStyle w:val="BodyText"/>
        <w:rPr>
          <w:rFonts w:ascii="Verdana" w:hAnsi="Verdana"/>
          <w:sz w:val="24"/>
          <w:szCs w:val="24"/>
        </w:rPr>
      </w:pPr>
      <w:r w:rsidRPr="00064B76">
        <w:rPr>
          <w:rFonts w:ascii="Verdana" w:hAnsi="Verdana"/>
          <w:spacing w:val="-4"/>
          <w:sz w:val="24"/>
          <w:szCs w:val="24"/>
        </w:rPr>
        <w:t>BY</w:t>
      </w:r>
      <w:r w:rsidRPr="00064B76">
        <w:rPr>
          <w:rFonts w:ascii="Verdana" w:hAnsi="Verdana"/>
          <w:spacing w:val="-18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EMAIL</w:t>
      </w:r>
      <w:r w:rsidRPr="00064B76">
        <w:rPr>
          <w:rFonts w:ascii="Verdana" w:hAnsi="Verdana"/>
          <w:spacing w:val="-19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ONLY</w:t>
      </w:r>
    </w:p>
    <w:p w:rsidR="00BE5DBE" w:rsidRPr="00064B76">
      <w:pPr>
        <w:pStyle w:val="BodyText"/>
        <w:spacing w:before="16"/>
        <w:ind w:left="0" w:right="17"/>
        <w:jc w:val="right"/>
        <w:rPr>
          <w:rFonts w:ascii="Verdana" w:hAnsi="Verdana"/>
          <w:sz w:val="24"/>
          <w:szCs w:val="24"/>
        </w:rPr>
      </w:pPr>
      <w:r w:rsidRPr="00064B76">
        <w:rPr>
          <w:rFonts w:ascii="Verdana" w:hAnsi="Verdana"/>
          <w:spacing w:val="-4"/>
          <w:sz w:val="24"/>
          <w:szCs w:val="24"/>
        </w:rPr>
        <w:t>17</w:t>
      </w:r>
      <w:r w:rsidRPr="00064B76">
        <w:rPr>
          <w:rFonts w:ascii="Verdana" w:hAnsi="Verdana"/>
          <w:spacing w:val="-11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April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2026</w:t>
      </w:r>
    </w:p>
    <w:p w:rsidR="00BE5DBE" w:rsidRPr="00064B76">
      <w:pPr>
        <w:pStyle w:val="Heading1"/>
        <w:rPr>
          <w:rFonts w:ascii="Verdana" w:hAnsi="Verdana"/>
          <w:sz w:val="24"/>
          <w:szCs w:val="24"/>
        </w:rPr>
      </w:pPr>
      <w:r w:rsidRPr="00064B76">
        <w:rPr>
          <w:rFonts w:ascii="Verdana" w:hAnsi="Verdana"/>
          <w:w w:val="90"/>
          <w:sz w:val="24"/>
          <w:szCs w:val="24"/>
        </w:rPr>
        <w:t>Follow-up</w:t>
      </w:r>
      <w:r w:rsidRPr="00064B76">
        <w:rPr>
          <w:rFonts w:ascii="Verdana" w:hAnsi="Verdana"/>
          <w:spacing w:val="-1"/>
          <w:sz w:val="24"/>
          <w:szCs w:val="24"/>
        </w:rPr>
        <w:t xml:space="preserve"> </w:t>
      </w:r>
      <w:r w:rsidRPr="00064B76">
        <w:rPr>
          <w:rFonts w:ascii="Verdana" w:hAnsi="Verdana"/>
          <w:w w:val="90"/>
          <w:sz w:val="24"/>
          <w:szCs w:val="24"/>
        </w:rPr>
        <w:t>to</w:t>
      </w:r>
      <w:r w:rsidRPr="00064B76">
        <w:rPr>
          <w:rFonts w:ascii="Verdana" w:hAnsi="Verdana"/>
          <w:spacing w:val="1"/>
          <w:sz w:val="24"/>
          <w:szCs w:val="24"/>
        </w:rPr>
        <w:t xml:space="preserve"> </w:t>
      </w:r>
      <w:r w:rsidRPr="00064B76">
        <w:rPr>
          <w:rFonts w:ascii="Verdana" w:hAnsi="Verdana"/>
          <w:w w:val="90"/>
          <w:sz w:val="24"/>
          <w:szCs w:val="24"/>
        </w:rPr>
        <w:t>evidence</w:t>
      </w:r>
      <w:r w:rsidRPr="00064B76">
        <w:rPr>
          <w:rFonts w:ascii="Verdana" w:hAnsi="Verdana"/>
          <w:spacing w:val="-1"/>
          <w:sz w:val="24"/>
          <w:szCs w:val="24"/>
        </w:rPr>
        <w:t xml:space="preserve"> </w:t>
      </w:r>
      <w:r w:rsidRPr="00064B76">
        <w:rPr>
          <w:rFonts w:ascii="Verdana" w:hAnsi="Verdana"/>
          <w:w w:val="90"/>
          <w:sz w:val="24"/>
          <w:szCs w:val="24"/>
        </w:rPr>
        <w:t>given</w:t>
      </w:r>
      <w:r w:rsidRPr="00064B76">
        <w:rPr>
          <w:rFonts w:ascii="Verdana" w:hAnsi="Verdana"/>
          <w:spacing w:val="2"/>
          <w:sz w:val="24"/>
          <w:szCs w:val="24"/>
        </w:rPr>
        <w:t xml:space="preserve"> </w:t>
      </w:r>
      <w:r w:rsidRPr="00064B76">
        <w:rPr>
          <w:rFonts w:ascii="Verdana" w:hAnsi="Verdana"/>
          <w:w w:val="90"/>
          <w:sz w:val="24"/>
          <w:szCs w:val="24"/>
        </w:rPr>
        <w:t>to</w:t>
      </w:r>
      <w:r w:rsidRPr="00064B76">
        <w:rPr>
          <w:rFonts w:ascii="Verdana" w:hAnsi="Verdana"/>
          <w:spacing w:val="2"/>
          <w:sz w:val="24"/>
          <w:szCs w:val="24"/>
        </w:rPr>
        <w:t xml:space="preserve"> </w:t>
      </w:r>
      <w:r w:rsidRPr="00064B76">
        <w:rPr>
          <w:rFonts w:ascii="Verdana" w:hAnsi="Verdana"/>
          <w:w w:val="90"/>
          <w:sz w:val="24"/>
          <w:szCs w:val="24"/>
        </w:rPr>
        <w:t>the</w:t>
      </w:r>
      <w:r w:rsidRPr="00064B76">
        <w:rPr>
          <w:rFonts w:ascii="Verdana" w:hAnsi="Verdana"/>
          <w:spacing w:val="-1"/>
          <w:sz w:val="24"/>
          <w:szCs w:val="24"/>
        </w:rPr>
        <w:t xml:space="preserve"> </w:t>
      </w:r>
      <w:r w:rsidRPr="00064B76">
        <w:rPr>
          <w:rFonts w:ascii="Verdana" w:hAnsi="Verdana"/>
          <w:w w:val="90"/>
          <w:sz w:val="24"/>
          <w:szCs w:val="24"/>
        </w:rPr>
        <w:t>Financial</w:t>
      </w:r>
      <w:r w:rsidRPr="00064B76">
        <w:rPr>
          <w:rFonts w:ascii="Verdana" w:hAnsi="Verdana"/>
          <w:spacing w:val="2"/>
          <w:sz w:val="24"/>
          <w:szCs w:val="24"/>
        </w:rPr>
        <w:t xml:space="preserve"> </w:t>
      </w:r>
      <w:r w:rsidRPr="00064B76">
        <w:rPr>
          <w:rFonts w:ascii="Verdana" w:hAnsi="Verdana"/>
          <w:w w:val="90"/>
          <w:sz w:val="24"/>
          <w:szCs w:val="24"/>
        </w:rPr>
        <w:t>Services</w:t>
      </w:r>
      <w:r w:rsidRPr="00064B76">
        <w:rPr>
          <w:rFonts w:ascii="Verdana" w:hAnsi="Verdana"/>
          <w:spacing w:val="2"/>
          <w:sz w:val="24"/>
          <w:szCs w:val="24"/>
        </w:rPr>
        <w:t xml:space="preserve"> </w:t>
      </w:r>
      <w:r w:rsidRPr="00064B76">
        <w:rPr>
          <w:rFonts w:ascii="Verdana" w:hAnsi="Verdana"/>
          <w:w w:val="90"/>
          <w:sz w:val="24"/>
          <w:szCs w:val="24"/>
        </w:rPr>
        <w:t>Regulation</w:t>
      </w:r>
      <w:r w:rsidRPr="00064B76">
        <w:rPr>
          <w:rFonts w:ascii="Verdana" w:hAnsi="Verdana"/>
          <w:spacing w:val="2"/>
          <w:sz w:val="24"/>
          <w:szCs w:val="24"/>
        </w:rPr>
        <w:t xml:space="preserve"> </w:t>
      </w:r>
      <w:r w:rsidRPr="00064B76">
        <w:rPr>
          <w:rFonts w:ascii="Verdana" w:hAnsi="Verdana"/>
          <w:w w:val="90"/>
          <w:sz w:val="24"/>
          <w:szCs w:val="24"/>
        </w:rPr>
        <w:t>Committee</w:t>
      </w:r>
      <w:r w:rsidRPr="00064B76">
        <w:rPr>
          <w:rFonts w:ascii="Verdana" w:hAnsi="Verdana"/>
          <w:spacing w:val="-1"/>
          <w:sz w:val="24"/>
          <w:szCs w:val="24"/>
        </w:rPr>
        <w:t xml:space="preserve"> </w:t>
      </w:r>
      <w:r w:rsidRPr="00064B76">
        <w:rPr>
          <w:rFonts w:ascii="Verdana" w:hAnsi="Verdana"/>
          <w:w w:val="90"/>
          <w:sz w:val="24"/>
          <w:szCs w:val="24"/>
        </w:rPr>
        <w:t>on</w:t>
      </w:r>
      <w:r w:rsidRPr="00064B76">
        <w:rPr>
          <w:rFonts w:ascii="Verdana" w:hAnsi="Verdana"/>
          <w:spacing w:val="1"/>
          <w:sz w:val="24"/>
          <w:szCs w:val="24"/>
        </w:rPr>
        <w:t xml:space="preserve"> </w:t>
      </w:r>
      <w:r w:rsidRPr="00064B76">
        <w:rPr>
          <w:rFonts w:ascii="Verdana" w:hAnsi="Verdana"/>
          <w:w w:val="90"/>
          <w:sz w:val="24"/>
          <w:szCs w:val="24"/>
        </w:rPr>
        <w:t>18</w:t>
      </w:r>
      <w:r w:rsidRPr="00064B76">
        <w:rPr>
          <w:rFonts w:ascii="Verdana" w:hAnsi="Verdana"/>
          <w:spacing w:val="2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w w:val="90"/>
          <w:sz w:val="24"/>
          <w:szCs w:val="24"/>
        </w:rPr>
        <w:t>March</w:t>
      </w:r>
    </w:p>
    <w:p w:rsidR="00BE5DBE" w:rsidRPr="00064B76">
      <w:pPr>
        <w:pStyle w:val="BodyText"/>
        <w:spacing w:before="33"/>
        <w:ind w:left="0"/>
        <w:rPr>
          <w:rFonts w:ascii="Verdana" w:hAnsi="Verdana"/>
          <w:b/>
          <w:sz w:val="24"/>
          <w:szCs w:val="24"/>
        </w:rPr>
      </w:pPr>
    </w:p>
    <w:p w:rsidR="00BE5DBE" w:rsidRPr="00064B76">
      <w:pPr>
        <w:pStyle w:val="BodyText"/>
        <w:jc w:val="both"/>
        <w:rPr>
          <w:rFonts w:ascii="Verdana" w:hAnsi="Verdana"/>
          <w:sz w:val="24"/>
          <w:szCs w:val="24"/>
        </w:rPr>
      </w:pPr>
      <w:r w:rsidRPr="00064B76">
        <w:rPr>
          <w:rFonts w:ascii="Verdana" w:hAnsi="Verdana"/>
          <w:spacing w:val="-2"/>
          <w:sz w:val="24"/>
          <w:szCs w:val="24"/>
        </w:rPr>
        <w:t>Dear</w:t>
      </w:r>
      <w:r w:rsidRPr="00064B76">
        <w:rPr>
          <w:rFonts w:ascii="Verdana" w:hAnsi="Verdana"/>
          <w:spacing w:val="-18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Chair,</w:t>
      </w:r>
    </w:p>
    <w:p w:rsidR="00BE5DBE" w:rsidRPr="00064B76">
      <w:pPr>
        <w:pStyle w:val="BodyText"/>
        <w:spacing w:before="26"/>
        <w:ind w:left="0"/>
        <w:rPr>
          <w:rFonts w:ascii="Verdana" w:hAnsi="Verdana"/>
          <w:sz w:val="24"/>
          <w:szCs w:val="24"/>
        </w:rPr>
      </w:pPr>
    </w:p>
    <w:p w:rsidR="00BE5DBE" w:rsidRPr="00064B76">
      <w:pPr>
        <w:pStyle w:val="BodyText"/>
        <w:spacing w:before="1" w:line="252" w:lineRule="auto"/>
        <w:ind w:right="19"/>
        <w:jc w:val="both"/>
        <w:rPr>
          <w:rFonts w:ascii="Verdana" w:hAnsi="Verdana"/>
          <w:sz w:val="24"/>
          <w:szCs w:val="24"/>
        </w:rPr>
      </w:pPr>
      <w:r w:rsidRPr="00064B76">
        <w:rPr>
          <w:rFonts w:ascii="Verdana" w:hAnsi="Verdana"/>
          <w:spacing w:val="-2"/>
          <w:sz w:val="24"/>
          <w:szCs w:val="24"/>
        </w:rPr>
        <w:t>Thank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you</w:t>
      </w:r>
      <w:r w:rsidRPr="00064B76">
        <w:rPr>
          <w:rFonts w:ascii="Verdana" w:hAnsi="Verdana"/>
          <w:spacing w:val="-11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for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the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opportunity</w:t>
      </w:r>
      <w:r w:rsidRPr="00064B76">
        <w:rPr>
          <w:rFonts w:ascii="Verdana" w:hAnsi="Verdana"/>
          <w:spacing w:val="-11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to</w:t>
      </w:r>
      <w:r w:rsidRPr="00064B76">
        <w:rPr>
          <w:rFonts w:ascii="Verdana" w:hAnsi="Verdana"/>
          <w:spacing w:val="-11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give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evidence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to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the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Lords</w:t>
      </w:r>
      <w:r w:rsidRPr="00064B76">
        <w:rPr>
          <w:rFonts w:ascii="Verdana" w:hAnsi="Verdana"/>
          <w:spacing w:val="-12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Financial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Services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Regulation</w:t>
      </w:r>
      <w:r w:rsidRPr="00064B76">
        <w:rPr>
          <w:rFonts w:ascii="Verdana" w:hAnsi="Verdana"/>
          <w:spacing w:val="-12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Committee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on 18th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March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as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part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of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your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inquiry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into</w:t>
      </w:r>
      <w:r w:rsidRPr="00064B76">
        <w:rPr>
          <w:rFonts w:ascii="Verdana" w:hAnsi="Verdana"/>
          <w:spacing w:val="-11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the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growth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and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proposed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regulation</w:t>
      </w:r>
      <w:r w:rsidRPr="00064B76">
        <w:rPr>
          <w:rFonts w:ascii="Verdana" w:hAnsi="Verdana"/>
          <w:spacing w:val="-12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of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stablecoins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in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the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UK.</w:t>
      </w:r>
      <w:r w:rsidRPr="00064B76">
        <w:rPr>
          <w:rFonts w:ascii="Verdana" w:hAnsi="Verdana"/>
          <w:spacing w:val="-11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 xml:space="preserve">I’m </w:t>
      </w:r>
      <w:r w:rsidRPr="00064B76">
        <w:rPr>
          <w:rFonts w:ascii="Verdana" w:hAnsi="Verdana"/>
          <w:spacing w:val="-6"/>
          <w:sz w:val="24"/>
          <w:szCs w:val="24"/>
        </w:rPr>
        <w:t>writing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to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provide</w:t>
      </w:r>
      <w:r w:rsidRPr="00064B76">
        <w:rPr>
          <w:rFonts w:ascii="Verdana" w:hAnsi="Verdana"/>
          <w:spacing w:val="-12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a full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answer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to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Lord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Eatwell’s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question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during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the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evidence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session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about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where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the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 xml:space="preserve">KYC </w:t>
      </w:r>
      <w:r w:rsidRPr="00064B76">
        <w:rPr>
          <w:rFonts w:ascii="Verdana" w:hAnsi="Verdana"/>
          <w:sz w:val="24"/>
          <w:szCs w:val="24"/>
        </w:rPr>
        <w:t>and</w:t>
      </w:r>
      <w:r w:rsidRPr="00064B76">
        <w:rPr>
          <w:rFonts w:ascii="Verdana" w:hAnsi="Verdana"/>
          <w:spacing w:val="-21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associated</w:t>
      </w:r>
      <w:r w:rsidRPr="00064B76">
        <w:rPr>
          <w:rFonts w:ascii="Verdana" w:hAnsi="Verdana"/>
          <w:spacing w:val="-19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responsibility</w:t>
      </w:r>
      <w:r w:rsidRPr="00064B76">
        <w:rPr>
          <w:rFonts w:ascii="Verdana" w:hAnsi="Verdana"/>
          <w:spacing w:val="-20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reside</w:t>
      </w:r>
      <w:r w:rsidRPr="00064B76">
        <w:rPr>
          <w:rFonts w:ascii="Verdana" w:hAnsi="Verdana"/>
          <w:spacing w:val="-19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in</w:t>
      </w:r>
      <w:r w:rsidRPr="00064B76">
        <w:rPr>
          <w:rFonts w:ascii="Verdana" w:hAnsi="Verdana"/>
          <w:spacing w:val="-20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the</w:t>
      </w:r>
      <w:r w:rsidRPr="00064B76">
        <w:rPr>
          <w:rFonts w:ascii="Verdana" w:hAnsi="Verdana"/>
          <w:spacing w:val="-21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case</w:t>
      </w:r>
      <w:r w:rsidRPr="00064B76">
        <w:rPr>
          <w:rFonts w:ascii="Verdana" w:hAnsi="Verdana"/>
          <w:spacing w:val="-19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of</w:t>
      </w:r>
      <w:r w:rsidRPr="00064B76">
        <w:rPr>
          <w:rFonts w:ascii="Verdana" w:hAnsi="Verdana"/>
          <w:spacing w:val="-22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a</w:t>
      </w:r>
      <w:r w:rsidRPr="00064B76">
        <w:rPr>
          <w:rFonts w:ascii="Verdana" w:hAnsi="Verdana"/>
          <w:spacing w:val="-18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stablecoin</w:t>
      </w:r>
      <w:r w:rsidRPr="00064B76">
        <w:rPr>
          <w:rFonts w:ascii="Verdana" w:hAnsi="Verdana"/>
          <w:spacing w:val="-21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transaction.</w:t>
      </w:r>
    </w:p>
    <w:p w:rsidR="00BE5DBE" w:rsidRPr="00064B76">
      <w:pPr>
        <w:pStyle w:val="BodyText"/>
        <w:spacing w:before="13"/>
        <w:ind w:left="0"/>
        <w:rPr>
          <w:rFonts w:ascii="Verdana" w:hAnsi="Verdana"/>
          <w:sz w:val="24"/>
          <w:szCs w:val="24"/>
        </w:rPr>
      </w:pPr>
    </w:p>
    <w:p w:rsidR="00BE5DBE" w:rsidRPr="00064B76">
      <w:pPr>
        <w:pStyle w:val="BodyText"/>
        <w:spacing w:line="252" w:lineRule="auto"/>
        <w:ind w:right="18"/>
        <w:jc w:val="both"/>
        <w:rPr>
          <w:rFonts w:ascii="Verdana" w:hAnsi="Verdana"/>
          <w:sz w:val="24"/>
          <w:szCs w:val="24"/>
        </w:rPr>
      </w:pPr>
      <w:r w:rsidRPr="00064B76">
        <w:rPr>
          <w:rFonts w:ascii="Verdana" w:hAnsi="Verdana"/>
          <w:sz w:val="24"/>
          <w:szCs w:val="24"/>
        </w:rPr>
        <w:t>As stablecoin use cases</w:t>
      </w:r>
      <w:r w:rsidRPr="00064B76">
        <w:rPr>
          <w:rFonts w:ascii="Verdana" w:hAnsi="Verdana"/>
          <w:spacing w:val="-2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develop, as with past</w:t>
      </w:r>
      <w:r w:rsidRPr="00064B76">
        <w:rPr>
          <w:rFonts w:ascii="Verdana" w:hAnsi="Verdana"/>
          <w:spacing w:val="-1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 xml:space="preserve">waves of financial innovation, we support strong, clear </w:t>
      </w:r>
      <w:r w:rsidRPr="00064B76">
        <w:rPr>
          <w:rFonts w:ascii="Verdana" w:hAnsi="Verdana"/>
          <w:spacing w:val="-6"/>
          <w:sz w:val="24"/>
          <w:szCs w:val="24"/>
        </w:rPr>
        <w:t>regulation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that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enables</w:t>
      </w:r>
      <w:r w:rsidRPr="00064B76">
        <w:rPr>
          <w:rFonts w:ascii="Verdana" w:hAnsi="Verdana"/>
          <w:spacing w:val="-6"/>
          <w:sz w:val="24"/>
          <w:szCs w:val="24"/>
        </w:rPr>
        <w:t xml:space="preserve"> responsible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growth,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propels</w:t>
      </w:r>
      <w:r w:rsidRPr="00064B76">
        <w:rPr>
          <w:rFonts w:ascii="Verdana" w:hAnsi="Verdana"/>
          <w:spacing w:val="-12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user choice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and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unlocks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real-world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benefits.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 xml:space="preserve">It is crucial </w:t>
      </w:r>
      <w:r w:rsidRPr="00064B76">
        <w:rPr>
          <w:rFonts w:ascii="Verdana" w:hAnsi="Verdana"/>
          <w:sz w:val="24"/>
          <w:szCs w:val="24"/>
        </w:rPr>
        <w:t xml:space="preserve">that regulators maintain </w:t>
      </w:r>
      <w:r w:rsidRPr="00064B76">
        <w:rPr>
          <w:rFonts w:ascii="Verdana" w:hAnsi="Verdana"/>
          <w:sz w:val="24"/>
          <w:szCs w:val="24"/>
        </w:rPr>
        <w:t>high and</w:t>
      </w:r>
      <w:r w:rsidRPr="00064B76">
        <w:rPr>
          <w:rFonts w:ascii="Verdana" w:hAnsi="Verdana"/>
          <w:sz w:val="24"/>
          <w:szCs w:val="24"/>
        </w:rPr>
        <w:t xml:space="preserve"> standard regulatory obligations for the transfer of funds through </w:t>
      </w:r>
      <w:r w:rsidRPr="00064B76">
        <w:rPr>
          <w:rFonts w:ascii="Verdana" w:hAnsi="Verdana"/>
          <w:spacing w:val="-4"/>
          <w:sz w:val="24"/>
          <w:szCs w:val="24"/>
        </w:rPr>
        <w:t>stablecoin</w:t>
      </w:r>
      <w:r w:rsidRPr="00064B76">
        <w:rPr>
          <w:rFonts w:ascii="Verdana" w:hAnsi="Verdana"/>
          <w:spacing w:val="-5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transactions.</w:t>
      </w:r>
      <w:r w:rsidRPr="00064B76">
        <w:rPr>
          <w:rFonts w:ascii="Verdana" w:hAnsi="Verdana"/>
          <w:spacing w:val="-5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 xml:space="preserve">Without clear regulatory obligations regulatory arbitrage will inevitably push illicit </w:t>
      </w:r>
      <w:r w:rsidRPr="00064B76">
        <w:rPr>
          <w:rFonts w:ascii="Verdana" w:hAnsi="Verdana"/>
          <w:sz w:val="24"/>
          <w:szCs w:val="24"/>
        </w:rPr>
        <w:t>activity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towards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wherever</w:t>
      </w:r>
      <w:r w:rsidRPr="00064B76">
        <w:rPr>
          <w:rFonts w:ascii="Verdana" w:hAnsi="Verdana"/>
          <w:spacing w:val="-11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the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lowest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standards</w:t>
      </w:r>
      <w:r w:rsidRPr="00064B76">
        <w:rPr>
          <w:rFonts w:ascii="Verdana" w:hAnsi="Verdana"/>
          <w:spacing w:val="-5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are.</w:t>
      </w:r>
    </w:p>
    <w:p w:rsidR="00BE5DBE" w:rsidRPr="00064B76">
      <w:pPr>
        <w:pStyle w:val="BodyText"/>
        <w:spacing w:before="13"/>
        <w:ind w:left="0"/>
        <w:rPr>
          <w:rFonts w:ascii="Verdana" w:hAnsi="Verdana"/>
          <w:sz w:val="24"/>
          <w:szCs w:val="24"/>
        </w:rPr>
      </w:pPr>
    </w:p>
    <w:p w:rsidR="00BE5DBE" w:rsidRPr="00064B76">
      <w:pPr>
        <w:pStyle w:val="BodyText"/>
        <w:spacing w:line="252" w:lineRule="auto"/>
        <w:ind w:right="19"/>
        <w:jc w:val="both"/>
        <w:rPr>
          <w:rFonts w:ascii="Verdana" w:hAnsi="Verdana"/>
          <w:sz w:val="24"/>
          <w:szCs w:val="24"/>
        </w:rPr>
      </w:pPr>
      <w:r w:rsidRPr="00064B76">
        <w:rPr>
          <w:rFonts w:ascii="Verdana" w:hAnsi="Verdana"/>
          <w:sz w:val="24"/>
          <w:szCs w:val="24"/>
        </w:rPr>
        <w:t xml:space="preserve">In line with current regulatory obligations, KYC and associated responsibilities do not disappear in a </w:t>
      </w:r>
      <w:r w:rsidRPr="00064B76">
        <w:rPr>
          <w:rFonts w:ascii="Verdana" w:hAnsi="Verdana"/>
          <w:spacing w:val="-4"/>
          <w:sz w:val="24"/>
          <w:szCs w:val="24"/>
        </w:rPr>
        <w:t>stablecoin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arrangement.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Stablecoins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are</w:t>
      </w:r>
      <w:r w:rsidRPr="00064B76">
        <w:rPr>
          <w:rFonts w:ascii="Verdana" w:hAnsi="Verdana"/>
          <w:spacing w:val="-6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–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and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should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be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–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subject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to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KYC,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AML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and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sanctions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obligations comparable</w:t>
      </w:r>
      <w:r w:rsidRPr="00064B76">
        <w:rPr>
          <w:rFonts w:ascii="Verdana" w:hAnsi="Verdana"/>
          <w:spacing w:val="-14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to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those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that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apply</w:t>
      </w:r>
      <w:r w:rsidRPr="00064B76">
        <w:rPr>
          <w:rFonts w:ascii="Verdana" w:hAnsi="Verdana"/>
          <w:spacing w:val="-12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elsewhere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in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the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financial</w:t>
      </w:r>
      <w:r w:rsidRPr="00064B76">
        <w:rPr>
          <w:rFonts w:ascii="Verdana" w:hAnsi="Verdana"/>
          <w:spacing w:val="-14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system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consistent</w:t>
      </w:r>
      <w:r w:rsidRPr="00064B76">
        <w:rPr>
          <w:rFonts w:ascii="Verdana" w:hAnsi="Verdana"/>
          <w:spacing w:val="-11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with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the</w:t>
      </w:r>
      <w:r w:rsidRPr="00064B76">
        <w:rPr>
          <w:rFonts w:ascii="Verdana" w:hAnsi="Verdana"/>
          <w:spacing w:val="-5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Financial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Action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 xml:space="preserve">Task </w:t>
      </w:r>
      <w:r w:rsidRPr="00064B76">
        <w:rPr>
          <w:rFonts w:ascii="Verdana" w:hAnsi="Verdana"/>
          <w:spacing w:val="-6"/>
          <w:sz w:val="24"/>
          <w:szCs w:val="24"/>
        </w:rPr>
        <w:t>Force (FATF) guidance and similar international standards.</w:t>
      </w:r>
      <w:r w:rsidRPr="00064B76">
        <w:rPr>
          <w:rFonts w:ascii="Verdana" w:hAnsi="Verdana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However,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those obligations do not attach to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 xml:space="preserve">the </w:t>
      </w:r>
      <w:r w:rsidRPr="00064B76">
        <w:rPr>
          <w:rFonts w:ascii="Verdana" w:hAnsi="Verdana"/>
          <w:spacing w:val="-6"/>
          <w:sz w:val="24"/>
          <w:szCs w:val="24"/>
        </w:rPr>
        <w:t>stablecoin</w:t>
      </w:r>
      <w:r w:rsidRPr="00064B76">
        <w:rPr>
          <w:rFonts w:ascii="Verdana" w:hAnsi="Verdana"/>
          <w:spacing w:val="-6"/>
          <w:sz w:val="24"/>
          <w:szCs w:val="24"/>
        </w:rPr>
        <w:t xml:space="preserve"> itself.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Instead, legal and regulatory requirements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such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as KYC, AML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and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sanctions compliance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sit with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the regulated entities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that issue stablecoins,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or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provide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access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to,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custody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of, or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services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in</w:t>
      </w:r>
      <w:r w:rsidRPr="00064B76">
        <w:rPr>
          <w:rFonts w:ascii="Verdana" w:hAnsi="Verdana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connection with them. This includes issuers, wallet providers, exchanges, and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payment service providers</w:t>
      </w:r>
      <w:r w:rsidRPr="00064B76">
        <w:rPr>
          <w:rFonts w:ascii="Verdana" w:hAnsi="Verdana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 xml:space="preserve">– rather than </w:t>
      </w:r>
      <w:r w:rsidRPr="00064B76">
        <w:rPr>
          <w:rFonts w:ascii="Verdana" w:hAnsi="Verdana"/>
          <w:sz w:val="24"/>
          <w:szCs w:val="24"/>
        </w:rPr>
        <w:t>with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the</w:t>
      </w:r>
      <w:r w:rsidRPr="00064B76">
        <w:rPr>
          <w:rFonts w:ascii="Verdana" w:hAnsi="Verdana"/>
          <w:spacing w:val="-6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stablecoin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as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a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bearer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instrument.</w:t>
      </w:r>
    </w:p>
    <w:p w:rsidR="00BE5DBE" w:rsidRPr="00064B76">
      <w:pPr>
        <w:pStyle w:val="BodyText"/>
        <w:spacing w:before="15"/>
        <w:ind w:left="0"/>
        <w:rPr>
          <w:rFonts w:ascii="Verdana" w:hAnsi="Verdana"/>
          <w:sz w:val="24"/>
          <w:szCs w:val="24"/>
        </w:rPr>
      </w:pPr>
    </w:p>
    <w:p w:rsidR="00BE5DBE" w:rsidRPr="00064B76">
      <w:pPr>
        <w:pStyle w:val="BodyText"/>
        <w:spacing w:line="252" w:lineRule="auto"/>
        <w:ind w:right="16"/>
        <w:jc w:val="both"/>
        <w:rPr>
          <w:rFonts w:ascii="Verdana" w:hAnsi="Verdana"/>
          <w:sz w:val="24"/>
          <w:szCs w:val="24"/>
        </w:rPr>
      </w:pPr>
      <w:r w:rsidRPr="00064B76">
        <w:rPr>
          <w:rFonts w:ascii="Verdana" w:hAnsi="Verdana"/>
          <w:sz w:val="24"/>
          <w:szCs w:val="24"/>
        </w:rPr>
        <w:t>This</w:t>
      </w:r>
      <w:r w:rsidRPr="00064B76">
        <w:rPr>
          <w:rFonts w:ascii="Verdana" w:hAnsi="Verdana"/>
          <w:spacing w:val="-11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allocation</w:t>
      </w:r>
      <w:r w:rsidRPr="00064B76">
        <w:rPr>
          <w:rFonts w:ascii="Verdana" w:hAnsi="Verdana"/>
          <w:spacing w:val="-11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of</w:t>
      </w:r>
      <w:r w:rsidRPr="00064B76">
        <w:rPr>
          <w:rFonts w:ascii="Verdana" w:hAnsi="Verdana"/>
          <w:spacing w:val="-11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responsibility</w:t>
      </w:r>
      <w:r w:rsidRPr="00064B76">
        <w:rPr>
          <w:rFonts w:ascii="Verdana" w:hAnsi="Verdana"/>
          <w:spacing w:val="-11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reflects</w:t>
      </w:r>
      <w:r w:rsidRPr="00064B76">
        <w:rPr>
          <w:rFonts w:ascii="Verdana" w:hAnsi="Verdana"/>
          <w:spacing w:val="-11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how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financial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regulation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and</w:t>
      </w:r>
      <w:r w:rsidRPr="00064B76">
        <w:rPr>
          <w:rFonts w:ascii="Verdana" w:hAnsi="Verdana"/>
          <w:spacing w:val="-11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international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standards</w:t>
      </w:r>
      <w:r w:rsidRPr="00064B76">
        <w:rPr>
          <w:rFonts w:ascii="Verdana" w:hAnsi="Verdana"/>
          <w:spacing w:val="-11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operate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 xml:space="preserve">in </w:t>
      </w:r>
      <w:r w:rsidRPr="00064B76">
        <w:rPr>
          <w:rFonts w:ascii="Verdana" w:hAnsi="Verdana"/>
          <w:spacing w:val="-4"/>
          <w:sz w:val="24"/>
          <w:szCs w:val="24"/>
        </w:rPr>
        <w:t>practice.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Even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where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a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stablecoin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can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be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held,</w:t>
      </w:r>
      <w:r w:rsidRPr="00064B76">
        <w:rPr>
          <w:rFonts w:ascii="Verdana" w:hAnsi="Verdana"/>
          <w:spacing w:val="-5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or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transferred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on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a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bearer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basis,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regulatory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obligations</w:t>
      </w:r>
      <w:r w:rsidRPr="00064B76">
        <w:rPr>
          <w:rFonts w:ascii="Verdana" w:hAnsi="Verdana"/>
          <w:spacing w:val="-11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 xml:space="preserve">are </w:t>
      </w:r>
      <w:r w:rsidRPr="00064B76">
        <w:rPr>
          <w:rFonts w:ascii="Verdana" w:hAnsi="Verdana"/>
          <w:spacing w:val="-2"/>
          <w:sz w:val="24"/>
          <w:szCs w:val="24"/>
        </w:rPr>
        <w:t>imposed</w:t>
      </w:r>
      <w:r w:rsidRPr="00064B76">
        <w:rPr>
          <w:rFonts w:ascii="Verdana" w:hAnsi="Verdana"/>
          <w:spacing w:val="-16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at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identifiable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control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points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in</w:t>
      </w:r>
      <w:r w:rsidRPr="00064B76">
        <w:rPr>
          <w:rFonts w:ascii="Verdana" w:hAnsi="Verdana"/>
          <w:spacing w:val="-16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the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ecosystem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-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such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as</w:t>
      </w:r>
      <w:r w:rsidRPr="00064B76">
        <w:rPr>
          <w:rFonts w:ascii="Verdana" w:hAnsi="Verdana"/>
          <w:spacing w:val="-16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points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of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issuance,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distribution,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 xml:space="preserve">custody, </w:t>
      </w:r>
      <w:r w:rsidRPr="00064B76">
        <w:rPr>
          <w:rFonts w:ascii="Verdana" w:hAnsi="Verdana"/>
          <w:sz w:val="24"/>
          <w:szCs w:val="24"/>
        </w:rPr>
        <w:t xml:space="preserve">conversion, and use, where firms are identifiable, supervised and capable of meeting obligations. In </w:t>
      </w:r>
      <w:r w:rsidRPr="00064B76">
        <w:rPr>
          <w:rFonts w:ascii="Verdana" w:hAnsi="Verdana"/>
          <w:spacing w:val="-2"/>
          <w:sz w:val="24"/>
          <w:szCs w:val="24"/>
        </w:rPr>
        <w:t>circumstances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where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no</w:t>
      </w:r>
      <w:r w:rsidRPr="00064B76">
        <w:rPr>
          <w:rFonts w:ascii="Verdana" w:hAnsi="Verdana"/>
          <w:spacing w:val="-11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single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actor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is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responsible</w:t>
      </w:r>
      <w:r w:rsidRPr="00064B76">
        <w:rPr>
          <w:rFonts w:ascii="Verdana" w:hAnsi="Verdana"/>
          <w:spacing w:val="-12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end-to-end,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regulation</w:t>
      </w:r>
      <w:r w:rsidRPr="00064B76">
        <w:rPr>
          <w:rFonts w:ascii="Verdana" w:hAnsi="Verdana"/>
          <w:spacing w:val="-12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focuses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on</w:t>
      </w:r>
      <w:r w:rsidRPr="00064B76">
        <w:rPr>
          <w:rFonts w:ascii="Verdana" w:hAnsi="Verdana"/>
          <w:spacing w:val="-12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the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intermediaries that</w:t>
      </w:r>
      <w:r w:rsidRPr="00064B76">
        <w:rPr>
          <w:rFonts w:ascii="Verdana" w:hAnsi="Verdana"/>
          <w:spacing w:val="-18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enable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consumers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and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businesses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to</w:t>
      </w:r>
      <w:r w:rsidRPr="00064B76">
        <w:rPr>
          <w:rFonts w:ascii="Verdana" w:hAnsi="Verdana"/>
          <w:spacing w:val="-16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enter,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exit,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or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transact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within</w:t>
      </w:r>
      <w:r w:rsidRPr="00064B76">
        <w:rPr>
          <w:rFonts w:ascii="Verdana" w:hAnsi="Verdana"/>
          <w:spacing w:val="-16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the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system,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which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aligns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with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 xml:space="preserve">the </w:t>
      </w:r>
      <w:r w:rsidRPr="00064B76">
        <w:rPr>
          <w:rFonts w:ascii="Verdana" w:hAnsi="Verdana"/>
          <w:sz w:val="24"/>
          <w:szCs w:val="24"/>
        </w:rPr>
        <w:t>risk-based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framework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set</w:t>
      </w:r>
      <w:r w:rsidRPr="00064B76">
        <w:rPr>
          <w:rFonts w:ascii="Verdana" w:hAnsi="Verdana"/>
          <w:spacing w:val="-18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out</w:t>
      </w:r>
      <w:r w:rsidRPr="00064B76">
        <w:rPr>
          <w:rFonts w:ascii="Verdana" w:hAnsi="Verdana"/>
          <w:spacing w:val="-12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by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the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FATF</w:t>
      </w:r>
      <w:r w:rsidRPr="00064B76">
        <w:rPr>
          <w:rFonts w:ascii="Verdana" w:hAnsi="Verdana"/>
          <w:spacing w:val="-14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for</w:t>
      </w:r>
      <w:r w:rsidRPr="00064B76">
        <w:rPr>
          <w:rFonts w:ascii="Verdana" w:hAnsi="Verdana"/>
          <w:spacing w:val="-14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crypto</w:t>
      </w:r>
      <w:r w:rsidRPr="00064B76">
        <w:rPr>
          <w:rFonts w:ascii="Verdana" w:hAnsi="Verdana"/>
          <w:spacing w:val="-16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asset</w:t>
      </w:r>
      <w:r w:rsidRPr="00064B76">
        <w:rPr>
          <w:rFonts w:ascii="Verdana" w:hAnsi="Verdana"/>
          <w:spacing w:val="-14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activities.</w:t>
      </w:r>
    </w:p>
    <w:p w:rsidR="00BE5DBE" w:rsidRPr="00064B76">
      <w:pPr>
        <w:pStyle w:val="BodyText"/>
        <w:spacing w:before="13"/>
        <w:ind w:left="0"/>
        <w:rPr>
          <w:rFonts w:ascii="Verdana" w:hAnsi="Verdana"/>
          <w:sz w:val="24"/>
          <w:szCs w:val="24"/>
        </w:rPr>
      </w:pPr>
    </w:p>
    <w:p w:rsidR="00BE5DBE" w:rsidRPr="00064B76">
      <w:pPr>
        <w:pStyle w:val="BodyText"/>
        <w:spacing w:line="252" w:lineRule="auto"/>
        <w:ind w:right="18"/>
        <w:jc w:val="both"/>
        <w:rPr>
          <w:rFonts w:ascii="Verdana" w:hAnsi="Verdana"/>
          <w:sz w:val="24"/>
          <w:szCs w:val="24"/>
        </w:rPr>
      </w:pPr>
      <w:r w:rsidRPr="00064B76">
        <w:rPr>
          <w:rFonts w:ascii="Verdana" w:hAnsi="Verdana"/>
          <w:spacing w:val="-4"/>
          <w:sz w:val="24"/>
          <w:szCs w:val="24"/>
        </w:rPr>
        <w:t>Mastercard</w:t>
      </w:r>
      <w:r w:rsidRPr="00064B76">
        <w:rPr>
          <w:rFonts w:ascii="Verdana" w:hAnsi="Verdana"/>
          <w:spacing w:val="-14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treats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the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use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of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stablecoins</w:t>
      </w:r>
      <w:r w:rsidRPr="00064B76">
        <w:rPr>
          <w:rFonts w:ascii="Verdana" w:hAnsi="Verdana"/>
          <w:spacing w:val="-14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on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its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core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network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to</w:t>
      </w:r>
      <w:r w:rsidRPr="00064B76">
        <w:rPr>
          <w:rFonts w:ascii="Verdana" w:hAnsi="Verdana"/>
          <w:spacing w:val="-14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an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equivalent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or</w:t>
      </w:r>
      <w:r w:rsidRPr="00064B76">
        <w:rPr>
          <w:rFonts w:ascii="Verdana" w:hAnsi="Verdana"/>
          <w:spacing w:val="-12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higher</w:t>
      </w:r>
      <w:r w:rsidRPr="00064B76">
        <w:rPr>
          <w:rFonts w:ascii="Verdana" w:hAnsi="Verdana"/>
          <w:spacing w:val="-12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standard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than</w:t>
      </w:r>
      <w:r w:rsidRPr="00064B76">
        <w:rPr>
          <w:rFonts w:ascii="Verdana" w:hAnsi="Verdana"/>
          <w:spacing w:val="-14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 xml:space="preserve">bank </w:t>
      </w:r>
      <w:r w:rsidRPr="00064B76">
        <w:rPr>
          <w:rFonts w:ascii="Verdana" w:hAnsi="Verdana"/>
          <w:sz w:val="24"/>
          <w:szCs w:val="24"/>
        </w:rPr>
        <w:t>or</w:t>
      </w:r>
      <w:r w:rsidRPr="00064B76">
        <w:rPr>
          <w:rFonts w:ascii="Verdana" w:hAnsi="Verdana"/>
          <w:spacing w:val="-18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other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stored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value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funds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and</w:t>
      </w:r>
      <w:r w:rsidRPr="00064B76">
        <w:rPr>
          <w:rFonts w:ascii="Verdana" w:hAnsi="Verdana"/>
          <w:spacing w:val="-18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applies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enhanced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obligations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to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Virtual</w:t>
      </w:r>
      <w:r w:rsidRPr="00064B76">
        <w:rPr>
          <w:rFonts w:ascii="Verdana" w:hAnsi="Verdana"/>
          <w:spacing w:val="-18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Asset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Service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Providers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 xml:space="preserve">(VASPs) </w:t>
      </w:r>
      <w:r w:rsidRPr="00064B76">
        <w:rPr>
          <w:rFonts w:ascii="Verdana" w:hAnsi="Verdana"/>
          <w:spacing w:val="-2"/>
          <w:sz w:val="24"/>
          <w:szCs w:val="24"/>
        </w:rPr>
        <w:t>that</w:t>
      </w:r>
      <w:r w:rsidRPr="00064B76">
        <w:rPr>
          <w:rFonts w:ascii="Verdana" w:hAnsi="Verdana"/>
          <w:spacing w:val="-16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partner</w:t>
      </w:r>
      <w:r w:rsidRPr="00064B76">
        <w:rPr>
          <w:rFonts w:ascii="Verdana" w:hAnsi="Verdana"/>
          <w:spacing w:val="-12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with</w:t>
      </w:r>
      <w:r w:rsidRPr="00064B76">
        <w:rPr>
          <w:rFonts w:ascii="Verdana" w:hAnsi="Verdana"/>
          <w:spacing w:val="-14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card</w:t>
      </w:r>
      <w:r w:rsidRPr="00064B76">
        <w:rPr>
          <w:rFonts w:ascii="Verdana" w:hAnsi="Verdana"/>
          <w:spacing w:val="-12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issuers</w:t>
      </w:r>
      <w:r w:rsidRPr="00064B76">
        <w:rPr>
          <w:rFonts w:ascii="Verdana" w:hAnsi="Verdana"/>
          <w:spacing w:val="-12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under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our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franchise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rules.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VASPs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that</w:t>
      </w:r>
      <w:r w:rsidRPr="00064B76">
        <w:rPr>
          <w:rFonts w:ascii="Verdana" w:hAnsi="Verdana"/>
          <w:spacing w:val="-14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partner</w:t>
      </w:r>
      <w:r w:rsidRPr="00064B76">
        <w:rPr>
          <w:rFonts w:ascii="Verdana" w:hAnsi="Verdana"/>
          <w:spacing w:val="-16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with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us</w:t>
      </w:r>
      <w:r w:rsidRPr="00064B76">
        <w:rPr>
          <w:rFonts w:ascii="Verdana" w:hAnsi="Verdana"/>
          <w:spacing w:val="-14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as</w:t>
      </w:r>
      <w:r w:rsidRPr="00064B76">
        <w:rPr>
          <w:rFonts w:ascii="Verdana" w:hAnsi="Verdana"/>
          <w:spacing w:val="-14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part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of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our</w:t>
      </w:r>
      <w:r w:rsidRPr="00064B76">
        <w:rPr>
          <w:rFonts w:ascii="Verdana" w:hAnsi="Verdana"/>
          <w:spacing w:val="-13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 xml:space="preserve">Crypto </w:t>
      </w:r>
      <w:r w:rsidRPr="00064B76">
        <w:rPr>
          <w:rFonts w:ascii="Verdana" w:hAnsi="Verdana"/>
          <w:sz w:val="24"/>
          <w:szCs w:val="24"/>
        </w:rPr>
        <w:t>Card</w:t>
      </w:r>
      <w:r w:rsidRPr="00064B76">
        <w:rPr>
          <w:rFonts w:ascii="Verdana" w:hAnsi="Verdana"/>
          <w:spacing w:val="-18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Programme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are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subject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to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those</w:t>
      </w:r>
      <w:r w:rsidRPr="00064B76">
        <w:rPr>
          <w:rFonts w:ascii="Verdana" w:hAnsi="Verdana"/>
          <w:spacing w:val="-18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rules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to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be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able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to</w:t>
      </w:r>
      <w:r w:rsidRPr="00064B76">
        <w:rPr>
          <w:rFonts w:ascii="Verdana" w:hAnsi="Verdana"/>
          <w:spacing w:val="-18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operate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on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our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network.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So,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although</w:t>
      </w:r>
      <w:r w:rsidRPr="00064B76">
        <w:rPr>
          <w:rFonts w:ascii="Verdana" w:hAnsi="Verdana"/>
          <w:spacing w:val="-18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the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 xml:space="preserve">legal </w:t>
      </w:r>
      <w:r w:rsidRPr="00064B76">
        <w:rPr>
          <w:rFonts w:ascii="Verdana" w:hAnsi="Verdana"/>
          <w:spacing w:val="-4"/>
          <w:sz w:val="24"/>
          <w:szCs w:val="24"/>
        </w:rPr>
        <w:t>duty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of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care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and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KYC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responsibility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is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with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the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regulated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issuer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or</w:t>
      </w:r>
      <w:r w:rsidRPr="00064B76">
        <w:rPr>
          <w:rFonts w:ascii="Verdana" w:hAnsi="Verdana"/>
          <w:spacing w:val="-8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intermediary,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our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standards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>dictate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4"/>
          <w:sz w:val="24"/>
          <w:szCs w:val="24"/>
        </w:rPr>
        <w:t xml:space="preserve">that </w:t>
      </w:r>
      <w:r w:rsidRPr="00064B76">
        <w:rPr>
          <w:rFonts w:ascii="Verdana" w:hAnsi="Verdana"/>
          <w:sz w:val="24"/>
          <w:szCs w:val="24"/>
        </w:rPr>
        <w:t xml:space="preserve">only issuers and service providers with appropriate KYC, compliance and control frameworks can </w:t>
      </w:r>
      <w:r w:rsidRPr="00064B76">
        <w:rPr>
          <w:rFonts w:ascii="Verdana" w:hAnsi="Verdana"/>
          <w:spacing w:val="-2"/>
          <w:sz w:val="24"/>
          <w:szCs w:val="24"/>
        </w:rPr>
        <w:t>participate.</w:t>
      </w:r>
      <w:r w:rsidRPr="00064B76">
        <w:rPr>
          <w:rFonts w:ascii="Verdana" w:hAnsi="Verdana"/>
          <w:spacing w:val="-16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To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that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end,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all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payments</w:t>
      </w:r>
      <w:r w:rsidRPr="00064B76">
        <w:rPr>
          <w:rFonts w:ascii="Verdana" w:hAnsi="Verdana"/>
          <w:spacing w:val="-16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–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stablecoin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or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otherwise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–</w:t>
      </w:r>
      <w:r w:rsidRPr="00064B76">
        <w:rPr>
          <w:rFonts w:ascii="Verdana" w:hAnsi="Verdana"/>
          <w:spacing w:val="-16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that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are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on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the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Mastercard</w:t>
      </w:r>
      <w:r w:rsidRPr="00064B76">
        <w:rPr>
          <w:rFonts w:ascii="Verdana" w:hAnsi="Verdana"/>
          <w:spacing w:val="-15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network</w:t>
      </w:r>
      <w:r w:rsidRPr="00064B76">
        <w:rPr>
          <w:rFonts w:ascii="Verdana" w:hAnsi="Verdana"/>
          <w:spacing w:val="-16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 xml:space="preserve">are </w:t>
      </w:r>
      <w:r w:rsidRPr="00064B76">
        <w:rPr>
          <w:rFonts w:ascii="Verdana" w:hAnsi="Verdana"/>
          <w:sz w:val="24"/>
          <w:szCs w:val="24"/>
        </w:rPr>
        <w:t>subject</w:t>
      </w:r>
      <w:r w:rsidRPr="00064B76">
        <w:rPr>
          <w:rFonts w:ascii="Verdana" w:hAnsi="Verdana"/>
          <w:spacing w:val="-19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to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stringent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AML,</w:t>
      </w:r>
      <w:r w:rsidRPr="00064B76">
        <w:rPr>
          <w:rFonts w:ascii="Verdana" w:hAnsi="Verdana"/>
          <w:spacing w:val="-19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KYC</w:t>
      </w:r>
      <w:r w:rsidRPr="00064B76">
        <w:rPr>
          <w:rFonts w:ascii="Verdana" w:hAnsi="Verdana"/>
          <w:spacing w:val="-20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and</w:t>
      </w:r>
      <w:r w:rsidRPr="00064B76">
        <w:rPr>
          <w:rFonts w:ascii="Verdana" w:hAnsi="Verdana"/>
          <w:spacing w:val="-18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compliance</w:t>
      </w:r>
      <w:r w:rsidRPr="00064B76">
        <w:rPr>
          <w:rFonts w:ascii="Verdana" w:hAnsi="Verdana"/>
          <w:spacing w:val="-17"/>
          <w:sz w:val="24"/>
          <w:szCs w:val="24"/>
        </w:rPr>
        <w:t xml:space="preserve"> </w:t>
      </w:r>
      <w:r w:rsidRPr="00064B76">
        <w:rPr>
          <w:rFonts w:ascii="Verdana" w:hAnsi="Verdana"/>
          <w:sz w:val="24"/>
          <w:szCs w:val="24"/>
        </w:rPr>
        <w:t>requirements.</w:t>
      </w:r>
    </w:p>
    <w:p w:rsidR="00BE5DBE" w:rsidRPr="00064B76" w:rsidP="00064B76">
      <w:pPr>
        <w:pStyle w:val="BodyText"/>
        <w:spacing w:line="252" w:lineRule="auto"/>
        <w:ind w:left="0"/>
        <w:jc w:val="both"/>
        <w:rPr>
          <w:rFonts w:ascii="Verdana" w:hAnsi="Verdana"/>
          <w:sz w:val="24"/>
          <w:szCs w:val="24"/>
        </w:rPr>
      </w:pPr>
    </w:p>
    <w:p w:rsidR="00BE5DBE" w:rsidRPr="00064B76" w:rsidP="00064B76">
      <w:pPr>
        <w:pStyle w:val="BodyText"/>
        <w:ind w:left="0"/>
        <w:rPr>
          <w:rFonts w:ascii="Verdana" w:hAnsi="Verdana"/>
          <w:sz w:val="24"/>
          <w:szCs w:val="24"/>
        </w:rPr>
      </w:pPr>
      <w:r w:rsidRPr="00064B76">
        <w:rPr>
          <w:rFonts w:ascii="Verdana" w:hAnsi="Verdana"/>
          <w:sz w:val="24"/>
          <w:szCs w:val="24"/>
        </w:rPr>
        <w:t xml:space="preserve"> </w:t>
      </w:r>
      <w:r w:rsidRPr="00064B76">
        <w:rPr>
          <w:rFonts w:ascii="Verdana" w:hAnsi="Verdana"/>
          <w:w w:val="90"/>
          <w:sz w:val="24"/>
          <w:szCs w:val="24"/>
        </w:rPr>
        <w:t>Yours</w:t>
      </w:r>
      <w:r w:rsidRPr="00064B76">
        <w:rPr>
          <w:rFonts w:ascii="Verdana" w:hAnsi="Verdana"/>
          <w:spacing w:val="4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sincerely,</w:t>
      </w:r>
    </w:p>
    <w:p w:rsidR="00BE5DBE" w:rsidRPr="00064B76">
      <w:pPr>
        <w:pStyle w:val="BodyText"/>
        <w:spacing w:before="97"/>
        <w:ind w:left="0"/>
        <w:rPr>
          <w:rFonts w:ascii="Verdana" w:hAnsi="Verdana"/>
          <w:sz w:val="24"/>
          <w:szCs w:val="24"/>
        </w:rPr>
      </w:pPr>
      <w:r w:rsidRPr="00064B76">
        <w:rPr>
          <w:rFonts w:ascii="Verdana" w:hAnsi="Verdana"/>
          <w:noProof/>
          <w:sz w:val="24"/>
          <w:szCs w:val="24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818242</wp:posOffset>
            </wp:positionH>
            <wp:positionV relativeFrom="paragraph">
              <wp:posOffset>230540</wp:posOffset>
            </wp:positionV>
            <wp:extent cx="1477524" cy="536543"/>
            <wp:effectExtent l="0" t="0" r="0" b="0"/>
            <wp:wrapTopAndBottom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7524" cy="536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E5DBE" w:rsidRPr="00064B76">
      <w:pPr>
        <w:pStyle w:val="BodyText"/>
        <w:spacing w:before="56"/>
        <w:ind w:left="0"/>
        <w:rPr>
          <w:rFonts w:ascii="Verdana" w:hAnsi="Verdana"/>
          <w:sz w:val="24"/>
          <w:szCs w:val="24"/>
        </w:rPr>
      </w:pPr>
    </w:p>
    <w:p w:rsidR="00BE5DBE" w:rsidRPr="00064B76">
      <w:pPr>
        <w:pStyle w:val="BodyText"/>
        <w:rPr>
          <w:rFonts w:ascii="Verdana" w:hAnsi="Verdana"/>
          <w:sz w:val="24"/>
          <w:szCs w:val="24"/>
        </w:rPr>
      </w:pPr>
      <w:r w:rsidRPr="00064B76">
        <w:rPr>
          <w:rFonts w:ascii="Verdana" w:hAnsi="Verdana"/>
          <w:spacing w:val="-2"/>
          <w:sz w:val="24"/>
          <w:szCs w:val="24"/>
        </w:rPr>
        <w:t>Jesse</w:t>
      </w:r>
      <w:r w:rsidRPr="00064B76">
        <w:rPr>
          <w:rFonts w:ascii="Verdana" w:hAnsi="Verdana"/>
          <w:spacing w:val="-20"/>
          <w:sz w:val="24"/>
          <w:szCs w:val="24"/>
        </w:rPr>
        <w:t xml:space="preserve"> </w:t>
      </w:r>
      <w:r w:rsidRPr="00064B76">
        <w:rPr>
          <w:rFonts w:ascii="Verdana" w:hAnsi="Verdana"/>
          <w:spacing w:val="-2"/>
          <w:sz w:val="24"/>
          <w:szCs w:val="24"/>
        </w:rPr>
        <w:t>McWaters</w:t>
      </w:r>
    </w:p>
    <w:p w:rsidR="00BE5DBE" w:rsidRPr="00064B76">
      <w:pPr>
        <w:pStyle w:val="BodyText"/>
        <w:spacing w:before="13"/>
        <w:rPr>
          <w:rFonts w:ascii="Verdana" w:hAnsi="Verdana"/>
          <w:spacing w:val="-6"/>
          <w:sz w:val="24"/>
          <w:szCs w:val="24"/>
        </w:rPr>
      </w:pPr>
      <w:r w:rsidRPr="00064B76">
        <w:rPr>
          <w:rFonts w:ascii="Verdana" w:hAnsi="Verdana"/>
          <w:spacing w:val="-6"/>
          <w:sz w:val="24"/>
          <w:szCs w:val="24"/>
        </w:rPr>
        <w:t>Executive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Vice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President,</w:t>
      </w:r>
      <w:r w:rsidRPr="00064B76">
        <w:rPr>
          <w:rFonts w:ascii="Verdana" w:hAnsi="Verdana"/>
          <w:spacing w:val="-9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Head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of</w:t>
      </w:r>
      <w:r w:rsidRPr="00064B76">
        <w:rPr>
          <w:rFonts w:ascii="Verdana" w:hAnsi="Verdana"/>
          <w:spacing w:val="-11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Global</w:t>
      </w:r>
      <w:r w:rsidRPr="00064B76">
        <w:rPr>
          <w:rFonts w:ascii="Verdana" w:hAnsi="Verdana"/>
          <w:spacing w:val="-7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Policy,</w:t>
      </w:r>
      <w:r w:rsidRPr="00064B76">
        <w:rPr>
          <w:rFonts w:ascii="Verdana" w:hAnsi="Verdana"/>
          <w:spacing w:val="-10"/>
          <w:sz w:val="24"/>
          <w:szCs w:val="24"/>
        </w:rPr>
        <w:t xml:space="preserve"> </w:t>
      </w:r>
      <w:r w:rsidRPr="00064B76">
        <w:rPr>
          <w:rFonts w:ascii="Verdana" w:hAnsi="Verdana"/>
          <w:spacing w:val="-6"/>
          <w:sz w:val="24"/>
          <w:szCs w:val="24"/>
        </w:rPr>
        <w:t>Mastercard</w:t>
      </w:r>
    </w:p>
    <w:p w:rsidR="00064B76" w:rsidRPr="00064B76">
      <w:pPr>
        <w:pStyle w:val="BodyText"/>
        <w:spacing w:before="13"/>
        <w:rPr>
          <w:rFonts w:ascii="Verdana" w:hAnsi="Verdana"/>
          <w:spacing w:val="-6"/>
        </w:rPr>
      </w:pPr>
    </w:p>
    <w:p w:rsidR="00064B76" w:rsidRPr="00064B76">
      <w:pPr>
        <w:pStyle w:val="BodyText"/>
        <w:spacing w:before="13"/>
        <w:rPr>
          <w:rFonts w:ascii="Verdana" w:hAnsi="Verdana"/>
          <w:spacing w:val="-6"/>
        </w:rPr>
      </w:pPr>
    </w:p>
    <w:p w:rsidR="00064B76" w:rsidRPr="00064B76">
      <w:pPr>
        <w:pStyle w:val="BodyText"/>
        <w:spacing w:before="13"/>
        <w:rPr>
          <w:rFonts w:ascii="Verdana" w:hAnsi="Verdana"/>
          <w:spacing w:val="-6"/>
        </w:rPr>
      </w:pPr>
    </w:p>
    <w:p w:rsidR="00064B76" w:rsidRPr="00064B76">
      <w:pPr>
        <w:pStyle w:val="BodyText"/>
        <w:spacing w:before="13"/>
        <w:rPr>
          <w:rFonts w:ascii="Verdana" w:hAnsi="Verdana"/>
          <w:i/>
          <w:iCs/>
          <w:sz w:val="28"/>
          <w:szCs w:val="28"/>
        </w:rPr>
      </w:pPr>
      <w:r w:rsidRPr="00064B76">
        <w:rPr>
          <w:rFonts w:ascii="Verdana" w:hAnsi="Verdana"/>
          <w:i/>
          <w:iCs/>
          <w:spacing w:val="-6"/>
          <w:sz w:val="28"/>
          <w:szCs w:val="28"/>
        </w:rPr>
        <w:t>17 April 2026</w:t>
      </w:r>
    </w:p>
    <w:sectPr>
      <w:headerReference w:type="default" r:id="rId5"/>
      <w:pgSz w:w="11910" w:h="16840"/>
      <w:pgMar w:top="1660" w:right="992" w:bottom="280" w:left="992" w:header="864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5DBE">
    <w:pPr>
      <w:pStyle w:val="BodyText"/>
      <w:spacing w:line="14" w:lineRule="auto"/>
      <w:ind w:left="0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225"/>
      <w:ind w:left="87"/>
      <w:jc w:val="both"/>
      <w:outlineLvl w:val="0"/>
    </w:pPr>
    <w:rPr>
      <w:rFonts w:ascii="Gill Sans MT" w:eastAsia="Gill Sans MT" w:hAnsi="Gill Sans MT" w:cs="Gill Sans MT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7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64B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B76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064B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4B76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8f77787-5df4-43b6-a2a8-8d8b678a318b}" enabled="1" method="Standard" siteId="{1ce6dd9e-b337-4088-be5e-8dbbec04b34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 evidence - STA0072</dc:title>
  <cp:revision>0</cp:revision>
</cp:coreProperties>
</file>