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ackground w:color="f5efe9">
    <v:background id="_x0000_s1025" filled="t" fillcolor="#f5efe9"/>
  </w:background>
  <w:body>
    <w:p w:rsidR="004D7898" w:rsidRPr="00560C4C" w:rsidP="004D7898">
      <w:pPr>
        <w:spacing w:line="360" w:lineRule="auto"/>
        <w:jc w:val="center"/>
        <w:rPr>
          <w:rFonts w:ascii="Calibri" w:hAnsi="Calibri" w:cs="Calibri"/>
          <w:sz w:val="28"/>
          <w:szCs w:val="28"/>
        </w:rPr>
      </w:pPr>
      <w:bookmarkStart w:id="0" w:name="_Toc208398379"/>
      <w:bookmarkStart w:id="1" w:name="_Toc208398350"/>
      <w:r w:rsidRPr="00560C4C">
        <w:rPr>
          <w:rFonts w:ascii="Calibri" w:hAnsi="Calibri" w:cs="Calibri"/>
          <w:sz w:val="28"/>
          <w:szCs w:val="28"/>
        </w:rPr>
        <w:t xml:space="preserve">Written evidence submitted by </w:t>
      </w:r>
      <w:r>
        <w:rPr>
          <w:rFonts w:ascii="Calibri" w:hAnsi="Calibri" w:cs="Calibri"/>
          <w:sz w:val="28"/>
          <w:szCs w:val="28"/>
        </w:rPr>
        <w:t xml:space="preserve">the </w:t>
      </w:r>
      <w:r w:rsidRPr="004D7898">
        <w:rPr>
          <w:rFonts w:ascii="Calibri" w:hAnsi="Calibri" w:cs="Calibri"/>
          <w:sz w:val="28"/>
          <w:szCs w:val="28"/>
        </w:rPr>
        <w:t>British Academy</w:t>
      </w:r>
    </w:p>
    <w:p w:rsidR="004D7898" w:rsidP="00684ABB">
      <w:pPr>
        <w:pStyle w:val="Heading2"/>
      </w:pPr>
      <w:bookmarkEnd w:id="0"/>
      <w:bookmarkEnd w:id="1"/>
      <w:r>
        <w:t>About the Academy</w:t>
      </w:r>
    </w:p>
    <w:p w:rsidR="004D7898" w:rsidP="00CB65D5">
      <w:pPr>
        <w:pStyle w:val="Heading2"/>
        <w:rPr>
          <w:rFonts w:eastAsiaTheme="minorHAnsi" w:cstheme="minorBidi"/>
          <w:color w:val="auto"/>
          <w:sz w:val="24"/>
          <w:szCs w:val="22"/>
        </w:rPr>
      </w:pPr>
      <w:r w:rsidRPr="00EA7A04">
        <w:rPr>
          <w:rFonts w:eastAsiaTheme="minorHAnsi" w:cstheme="minorBidi"/>
          <w:color w:val="auto"/>
          <w:sz w:val="24"/>
          <w:szCs w:val="22"/>
        </w:rPr>
        <w:t>The British Academy is the UK’s national academy for the humanities and social sciences. We mobilise these disciplines to understand the world and shape a brighter future. From artificial intelligence to climate change, from building prosperity to improving well-being – today’s complex challenges can only be resolved by deepening our insight into people, cultures and societies. We invest in researchers and projects across the UK and overseas, engage the public with fresh thinking and debates, and bring toge</w:t>
      </w:r>
      <w:r w:rsidRPr="00EA7A04">
        <w:rPr>
          <w:rFonts w:eastAsiaTheme="minorHAnsi" w:cstheme="minorBidi"/>
          <w:color w:val="auto"/>
          <w:sz w:val="24"/>
          <w:szCs w:val="22"/>
        </w:rPr>
        <w:t>ther scholars, government, business and civil society to influence policy for the benefit of everyone.</w:t>
      </w:r>
    </w:p>
    <w:p w:rsidR="004D7898" w:rsidP="00CB65D5">
      <w:pPr>
        <w:pStyle w:val="Heading2"/>
      </w:pPr>
      <w:r>
        <w:t>Background</w:t>
      </w:r>
    </w:p>
    <w:p w:rsidR="004D7898" w:rsidP="00B115BC">
      <w:r>
        <w:t xml:space="preserve">The Academy </w:t>
      </w:r>
      <w:r>
        <w:t>has</w:t>
      </w:r>
      <w:r>
        <w:t xml:space="preserve"> a longstanding interest in the </w:t>
      </w:r>
      <w:r>
        <w:t xml:space="preserve">future of Public Service Media in the UK and has sought to </w:t>
      </w:r>
      <w:r>
        <w:t xml:space="preserve">provide evidence and insight from across the disciplines it represents to help strengthen </w:t>
      </w:r>
      <w:r>
        <w:t>Public Service Media</w:t>
      </w:r>
      <w:r>
        <w:t xml:space="preserve">. </w:t>
      </w:r>
    </w:p>
    <w:p w:rsidR="004D7898" w:rsidP="00B115BC">
      <w:r>
        <w:t>In 201</w:t>
      </w:r>
      <w:r>
        <w:t>5</w:t>
      </w:r>
      <w:r>
        <w:t xml:space="preserve">, the British Academy </w:t>
      </w:r>
      <w:r>
        <w:t>became</w:t>
      </w:r>
      <w:r>
        <w:t xml:space="preserve"> </w:t>
      </w:r>
      <w:r>
        <w:t>a partner</w:t>
      </w:r>
      <w:r>
        <w:t xml:space="preserve"> o</w:t>
      </w:r>
      <w:r>
        <w:t>n</w:t>
      </w:r>
      <w:r>
        <w:t xml:space="preserve"> a </w:t>
      </w:r>
      <w:r>
        <w:fldChar w:fldCharType="begin"/>
      </w:r>
      <w:r>
        <w:instrText xml:space="preserve"> HYPERLINK "https://futureoftv.org.uk/" </w:instrText>
      </w:r>
      <w:r>
        <w:fldChar w:fldCharType="separate"/>
      </w:r>
      <w:r w:rsidRPr="002974B3">
        <w:rPr>
          <w:rStyle w:val="Hyperlink"/>
        </w:rPr>
        <w:t>major inquiry</w:t>
      </w:r>
      <w:r>
        <w:fldChar w:fldCharType="end"/>
      </w:r>
      <w:r>
        <w:t xml:space="preserve"> </w:t>
      </w:r>
      <w:r>
        <w:t xml:space="preserve">into </w:t>
      </w:r>
      <w:r>
        <w:t xml:space="preserve">public service </w:t>
      </w:r>
      <w:r>
        <w:t>television</w:t>
      </w:r>
      <w:r>
        <w:t xml:space="preserve">, chaired by Lord Puttnam. </w:t>
      </w:r>
      <w:r>
        <w:t>The inquiry considered the nature, purpose and role of public service television</w:t>
      </w:r>
      <w:r>
        <w:t xml:space="preserve"> and addressed the ways in which </w:t>
      </w:r>
      <w:r w:rsidRPr="007F3026">
        <w:t xml:space="preserve">public service content can most effectively </w:t>
      </w:r>
      <w:r>
        <w:t xml:space="preserve">be </w:t>
      </w:r>
      <w:r w:rsidRPr="007F3026">
        <w:t>nurtured</w:t>
      </w:r>
      <w:r>
        <w:t xml:space="preserve"> in an age of rapidly changing </w:t>
      </w:r>
      <w:r>
        <w:t xml:space="preserve">services, platforms and funding models. </w:t>
      </w:r>
      <w:r>
        <w:t xml:space="preserve">It reported in 2016. </w:t>
      </w:r>
    </w:p>
    <w:p w:rsidR="004D7898" w:rsidP="00B115BC">
      <w:r>
        <w:t>T</w:t>
      </w:r>
      <w:r>
        <w:t xml:space="preserve">o mark </w:t>
      </w:r>
      <w:r>
        <w:t>the Centenary of the BBC</w:t>
      </w:r>
      <w:r>
        <w:t xml:space="preserve"> in 2022</w:t>
      </w:r>
      <w:r>
        <w:t xml:space="preserve">, </w:t>
      </w:r>
      <w:r w:rsidRPr="00EE02EA">
        <w:t xml:space="preserve">the British Academy held a </w:t>
      </w:r>
      <w:r>
        <w:fldChar w:fldCharType="begin"/>
      </w:r>
      <w:r>
        <w:instrText xml:space="preserve"> HYPERLINK "https://www.thebritishacademy.ac.uk/publications/rethinking-principles-public-service-media-digital-society/" </w:instrText>
      </w:r>
      <w:r>
        <w:fldChar w:fldCharType="separate"/>
      </w:r>
      <w:r w:rsidRPr="00CF0068">
        <w:rPr>
          <w:rStyle w:val="Hyperlink"/>
        </w:rPr>
        <w:t>roundtable discussion</w:t>
      </w:r>
      <w:r>
        <w:fldChar w:fldCharType="end"/>
      </w:r>
      <w:r w:rsidRPr="00EE02EA">
        <w:t xml:space="preserve"> examining the role, achievements and future of public service media in the UK. The event brought together the research, policy and professional communities to revisit the 2016 </w:t>
      </w:r>
      <w:r w:rsidRPr="00EA516B">
        <w:rPr>
          <w:i/>
          <w:iCs/>
        </w:rPr>
        <w:t>Future for Public Service Television Inquiry</w:t>
      </w:r>
      <w:r w:rsidRPr="00EA516B">
        <w:rPr>
          <w:i/>
          <w:iCs/>
        </w:rPr>
        <w:t xml:space="preserve"> </w:t>
      </w:r>
      <w:r w:rsidRPr="00EE02EA">
        <w:t>and provided an opportunity to reflect on developments in broadcasting and media systems since its publication</w:t>
      </w:r>
      <w:r>
        <w:t xml:space="preserve">. </w:t>
      </w:r>
    </w:p>
    <w:p w:rsidR="004D7898" w:rsidP="00B115BC">
      <w:r>
        <w:t>More recently, in anticipation of the review of the BBC Charter</w:t>
      </w:r>
      <w:r>
        <w:t>, the Academy decided to build on its previous wor</w:t>
      </w:r>
      <w:r>
        <w:t xml:space="preserve">k in this field by commissioning a </w:t>
      </w:r>
      <w:r>
        <w:t xml:space="preserve">comparative </w:t>
      </w:r>
      <w:r>
        <w:t xml:space="preserve">collection </w:t>
      </w:r>
      <w:r>
        <w:t xml:space="preserve">of </w:t>
      </w:r>
      <w:r>
        <w:t xml:space="preserve">12 </w:t>
      </w:r>
      <w:r>
        <w:t>policy briefs</w:t>
      </w:r>
      <w:r>
        <w:t xml:space="preserve">, </w:t>
      </w:r>
      <w:r>
        <w:t xml:space="preserve">drawn from </w:t>
      </w:r>
      <w:r>
        <w:t>research on ten countries and the UK,</w:t>
      </w:r>
      <w:r>
        <w:t xml:space="preserve"> </w:t>
      </w:r>
      <w:r w:rsidRPr="003003D3">
        <w:t>to help inform decisions around the future funding and governance of the BBC.</w:t>
      </w:r>
      <w:r>
        <w:t xml:space="preserve"> </w:t>
      </w:r>
      <w:r>
        <w:t xml:space="preserve">This submission is </w:t>
      </w:r>
      <w:r>
        <w:t xml:space="preserve">based on the evidence provided in </w:t>
      </w:r>
      <w:r>
        <w:t>th</w:t>
      </w:r>
      <w:r>
        <w:t>o</w:t>
      </w:r>
      <w:r>
        <w:t xml:space="preserve">se briefs, which are included </w:t>
      </w:r>
      <w:r>
        <w:t xml:space="preserve">below, along with a short summary. </w:t>
      </w:r>
    </w:p>
    <w:p w:rsidR="004D7898" w:rsidP="001F4725">
      <w:pPr>
        <w:pStyle w:val="Heading2"/>
      </w:pPr>
      <w:r>
        <w:t>Summary</w:t>
      </w:r>
    </w:p>
    <w:p w:rsidR="004D7898" w:rsidRPr="007406DC" w:rsidP="007406DC">
      <w:pPr>
        <w:pStyle w:val="Heading3"/>
        <w:rPr>
          <w:rFonts w:eastAsiaTheme="minorHAnsi" w:cstheme="minorBidi"/>
          <w:color w:val="auto"/>
          <w:sz w:val="24"/>
          <w:szCs w:val="22"/>
        </w:rPr>
      </w:pPr>
      <w:r w:rsidRPr="007406DC">
        <w:rPr>
          <w:rFonts w:eastAsiaTheme="minorHAnsi" w:cstheme="minorBidi"/>
          <w:color w:val="auto"/>
          <w:sz w:val="24"/>
          <w:szCs w:val="22"/>
        </w:rPr>
        <w:t>T</w:t>
      </w:r>
      <w:r w:rsidRPr="007406DC">
        <w:rPr>
          <w:rFonts w:eastAsiaTheme="minorHAnsi" w:cstheme="minorBidi"/>
          <w:color w:val="auto"/>
          <w:sz w:val="24"/>
          <w:szCs w:val="22"/>
        </w:rPr>
        <w:t>he forthcoming BBC Charter renewal in 2027 comes at a critical time for Public Service</w:t>
      </w:r>
      <w:r>
        <w:rPr>
          <w:rFonts w:eastAsiaTheme="minorHAnsi" w:cstheme="minorBidi"/>
          <w:color w:val="auto"/>
          <w:sz w:val="24"/>
          <w:szCs w:val="22"/>
        </w:rPr>
        <w:t xml:space="preserve"> </w:t>
      </w:r>
      <w:r w:rsidRPr="007406DC">
        <w:rPr>
          <w:rFonts w:eastAsiaTheme="minorHAnsi" w:cstheme="minorBidi"/>
          <w:color w:val="auto"/>
          <w:sz w:val="24"/>
          <w:szCs w:val="22"/>
        </w:rPr>
        <w:t xml:space="preserve">Media (PSM). </w:t>
      </w:r>
      <w:r>
        <w:rPr>
          <w:rFonts w:eastAsiaTheme="minorHAnsi" w:cstheme="minorBidi"/>
          <w:color w:val="auto"/>
          <w:sz w:val="24"/>
          <w:szCs w:val="22"/>
        </w:rPr>
        <w:t>The British Academy, as the UK’s national academy for the humanities and social sciences, believes that d</w:t>
      </w:r>
      <w:r w:rsidRPr="007406DC">
        <w:rPr>
          <w:rFonts w:eastAsiaTheme="minorHAnsi" w:cstheme="minorBidi"/>
          <w:color w:val="auto"/>
          <w:sz w:val="24"/>
          <w:szCs w:val="22"/>
        </w:rPr>
        <w:t>ecisions about the future of UK P</w:t>
      </w:r>
      <w:r>
        <w:rPr>
          <w:rFonts w:eastAsiaTheme="minorHAnsi" w:cstheme="minorBidi"/>
          <w:color w:val="auto"/>
          <w:sz w:val="24"/>
          <w:szCs w:val="22"/>
        </w:rPr>
        <w:t>SM</w:t>
      </w:r>
      <w:r w:rsidRPr="007406DC">
        <w:rPr>
          <w:rFonts w:eastAsiaTheme="minorHAnsi" w:cstheme="minorBidi"/>
          <w:color w:val="auto"/>
          <w:sz w:val="24"/>
          <w:szCs w:val="22"/>
        </w:rPr>
        <w:t xml:space="preserve"> </w:t>
      </w:r>
      <w:r>
        <w:rPr>
          <w:rFonts w:eastAsiaTheme="minorHAnsi" w:cstheme="minorBidi"/>
          <w:color w:val="auto"/>
          <w:sz w:val="24"/>
          <w:szCs w:val="22"/>
        </w:rPr>
        <w:t>should</w:t>
      </w:r>
      <w:r w:rsidRPr="007406DC">
        <w:rPr>
          <w:rFonts w:eastAsiaTheme="minorHAnsi" w:cstheme="minorBidi"/>
          <w:color w:val="auto"/>
          <w:sz w:val="24"/>
          <w:szCs w:val="22"/>
        </w:rPr>
        <w:t xml:space="preserve"> be balanced, evidence-led and reflect the changing dynamics of the media landscape. </w:t>
      </w:r>
    </w:p>
    <w:p w:rsidR="004D7898" w:rsidP="007406DC">
      <w:pPr>
        <w:pStyle w:val="Heading3"/>
        <w:rPr>
          <w:rFonts w:eastAsiaTheme="minorHAnsi" w:cstheme="minorBidi"/>
          <w:color w:val="auto"/>
          <w:sz w:val="24"/>
          <w:szCs w:val="22"/>
        </w:rPr>
      </w:pPr>
      <w:r w:rsidRPr="007406DC">
        <w:rPr>
          <w:rFonts w:eastAsiaTheme="minorHAnsi" w:cstheme="minorBidi"/>
          <w:color w:val="auto"/>
          <w:sz w:val="24"/>
          <w:szCs w:val="22"/>
        </w:rPr>
        <w:t xml:space="preserve">To </w:t>
      </w:r>
      <w:r>
        <w:rPr>
          <w:rFonts w:eastAsiaTheme="minorHAnsi" w:cstheme="minorBidi"/>
          <w:color w:val="auto"/>
          <w:sz w:val="24"/>
          <w:szCs w:val="22"/>
        </w:rPr>
        <w:t xml:space="preserve">help </w:t>
      </w:r>
      <w:r w:rsidRPr="007406DC">
        <w:rPr>
          <w:rFonts w:eastAsiaTheme="minorHAnsi" w:cstheme="minorBidi"/>
          <w:color w:val="auto"/>
          <w:sz w:val="24"/>
          <w:szCs w:val="22"/>
        </w:rPr>
        <w:t xml:space="preserve">inform </w:t>
      </w:r>
      <w:r>
        <w:rPr>
          <w:rFonts w:eastAsiaTheme="minorHAnsi" w:cstheme="minorBidi"/>
          <w:color w:val="auto"/>
          <w:sz w:val="24"/>
          <w:szCs w:val="22"/>
        </w:rPr>
        <w:t xml:space="preserve">the UK Government </w:t>
      </w:r>
      <w:r>
        <w:rPr>
          <w:rFonts w:eastAsiaTheme="minorHAnsi" w:cstheme="minorBidi"/>
          <w:color w:val="auto"/>
          <w:sz w:val="24"/>
          <w:szCs w:val="22"/>
        </w:rPr>
        <w:t>i</w:t>
      </w:r>
      <w:r>
        <w:rPr>
          <w:rFonts w:eastAsiaTheme="minorHAnsi" w:cstheme="minorBidi"/>
          <w:color w:val="auto"/>
          <w:sz w:val="24"/>
          <w:szCs w:val="22"/>
        </w:rPr>
        <w:t>n its decision-making</w:t>
      </w:r>
      <w:r w:rsidRPr="007406DC">
        <w:rPr>
          <w:rFonts w:eastAsiaTheme="minorHAnsi" w:cstheme="minorBidi"/>
          <w:color w:val="auto"/>
          <w:sz w:val="24"/>
          <w:szCs w:val="22"/>
        </w:rPr>
        <w:t xml:space="preserve">, Fellows of the British Academy commissioned policy briefs exploring </w:t>
      </w:r>
      <w:r>
        <w:rPr>
          <w:rFonts w:eastAsiaTheme="minorHAnsi" w:cstheme="minorBidi"/>
          <w:color w:val="auto"/>
          <w:sz w:val="24"/>
          <w:szCs w:val="22"/>
        </w:rPr>
        <w:t xml:space="preserve">a diverse set of </w:t>
      </w:r>
      <w:r w:rsidRPr="007406DC">
        <w:rPr>
          <w:rFonts w:eastAsiaTheme="minorHAnsi" w:cstheme="minorBidi"/>
          <w:color w:val="auto"/>
          <w:sz w:val="24"/>
          <w:szCs w:val="22"/>
        </w:rPr>
        <w:t>PSM systems</w:t>
      </w:r>
      <w:r>
        <w:rPr>
          <w:rFonts w:eastAsiaTheme="minorHAnsi" w:cstheme="minorBidi"/>
          <w:color w:val="auto"/>
          <w:sz w:val="24"/>
          <w:szCs w:val="22"/>
        </w:rPr>
        <w:t>, which were published with a summarising Introduction</w:t>
      </w:r>
      <w:r w:rsidRPr="007406DC">
        <w:rPr>
          <w:rFonts w:eastAsiaTheme="minorHAnsi" w:cstheme="minorBidi"/>
          <w:color w:val="auto"/>
          <w:sz w:val="24"/>
          <w:szCs w:val="22"/>
        </w:rPr>
        <w:t xml:space="preserve">. These briefs </w:t>
      </w:r>
      <w:r>
        <w:rPr>
          <w:rFonts w:eastAsiaTheme="minorHAnsi" w:cstheme="minorBidi"/>
          <w:color w:val="auto"/>
          <w:sz w:val="24"/>
          <w:szCs w:val="22"/>
        </w:rPr>
        <w:t>examine</w:t>
      </w:r>
      <w:r>
        <w:rPr>
          <w:rFonts w:eastAsiaTheme="minorHAnsi" w:cstheme="minorBidi"/>
          <w:color w:val="auto"/>
          <w:sz w:val="24"/>
          <w:szCs w:val="22"/>
        </w:rPr>
        <w:t>d</w:t>
      </w:r>
      <w:r>
        <w:rPr>
          <w:rFonts w:eastAsiaTheme="minorHAnsi" w:cstheme="minorBidi"/>
          <w:color w:val="auto"/>
          <w:sz w:val="24"/>
          <w:szCs w:val="22"/>
        </w:rPr>
        <w:t xml:space="preserve"> </w:t>
      </w:r>
      <w:r w:rsidRPr="007406DC">
        <w:rPr>
          <w:rFonts w:eastAsiaTheme="minorHAnsi" w:cstheme="minorBidi"/>
          <w:color w:val="auto"/>
          <w:sz w:val="24"/>
          <w:szCs w:val="22"/>
        </w:rPr>
        <w:t xml:space="preserve">UK PSM </w:t>
      </w:r>
      <w:r>
        <w:rPr>
          <w:rFonts w:eastAsiaTheme="minorHAnsi" w:cstheme="minorBidi"/>
          <w:color w:val="auto"/>
          <w:sz w:val="24"/>
          <w:szCs w:val="22"/>
        </w:rPr>
        <w:t xml:space="preserve">comparatively in relation to </w:t>
      </w:r>
      <w:r>
        <w:rPr>
          <w:rFonts w:eastAsiaTheme="minorHAnsi" w:cstheme="minorBidi"/>
          <w:color w:val="auto"/>
          <w:sz w:val="24"/>
          <w:szCs w:val="22"/>
        </w:rPr>
        <w:t xml:space="preserve">10 </w:t>
      </w:r>
      <w:r>
        <w:rPr>
          <w:rFonts w:eastAsiaTheme="minorHAnsi" w:cstheme="minorBidi"/>
          <w:color w:val="auto"/>
          <w:sz w:val="24"/>
          <w:szCs w:val="22"/>
        </w:rPr>
        <w:t xml:space="preserve">countries with </w:t>
      </w:r>
      <w:r>
        <w:rPr>
          <w:rFonts w:eastAsiaTheme="minorHAnsi" w:cstheme="minorBidi"/>
          <w:color w:val="auto"/>
          <w:sz w:val="24"/>
          <w:szCs w:val="22"/>
        </w:rPr>
        <w:t xml:space="preserve">substantial </w:t>
      </w:r>
      <w:r>
        <w:rPr>
          <w:rFonts w:eastAsiaTheme="minorHAnsi" w:cstheme="minorBidi"/>
          <w:color w:val="auto"/>
          <w:sz w:val="24"/>
          <w:szCs w:val="22"/>
        </w:rPr>
        <w:t>PSM systems</w:t>
      </w:r>
      <w:r w:rsidRPr="007406DC">
        <w:rPr>
          <w:rFonts w:eastAsiaTheme="minorHAnsi" w:cstheme="minorBidi"/>
          <w:color w:val="auto"/>
          <w:sz w:val="24"/>
          <w:szCs w:val="22"/>
        </w:rPr>
        <w:t xml:space="preserve">, </w:t>
      </w:r>
      <w:r>
        <w:rPr>
          <w:rFonts w:eastAsiaTheme="minorHAnsi" w:cstheme="minorBidi"/>
          <w:color w:val="auto"/>
          <w:sz w:val="24"/>
          <w:szCs w:val="22"/>
        </w:rPr>
        <w:t xml:space="preserve">analysing </w:t>
      </w:r>
      <w:r w:rsidRPr="007406DC">
        <w:rPr>
          <w:rFonts w:eastAsiaTheme="minorHAnsi" w:cstheme="minorBidi"/>
          <w:color w:val="auto"/>
          <w:sz w:val="24"/>
          <w:szCs w:val="22"/>
        </w:rPr>
        <w:t>the</w:t>
      </w:r>
      <w:r>
        <w:rPr>
          <w:rFonts w:eastAsiaTheme="minorHAnsi" w:cstheme="minorBidi"/>
          <w:color w:val="auto"/>
          <w:sz w:val="24"/>
          <w:szCs w:val="22"/>
        </w:rPr>
        <w:t>ir</w:t>
      </w:r>
      <w:r w:rsidRPr="007406DC">
        <w:rPr>
          <w:rFonts w:eastAsiaTheme="minorHAnsi" w:cstheme="minorBidi"/>
          <w:color w:val="auto"/>
          <w:sz w:val="24"/>
          <w:szCs w:val="22"/>
        </w:rPr>
        <w:t xml:space="preserve"> strengths and weakness</w:t>
      </w:r>
      <w:r>
        <w:rPr>
          <w:rFonts w:eastAsiaTheme="minorHAnsi" w:cstheme="minorBidi"/>
          <w:color w:val="auto"/>
          <w:sz w:val="24"/>
          <w:szCs w:val="22"/>
        </w:rPr>
        <w:t>es</w:t>
      </w:r>
      <w:r w:rsidRPr="007406DC">
        <w:rPr>
          <w:rFonts w:eastAsiaTheme="minorHAnsi" w:cstheme="minorBidi"/>
          <w:color w:val="auto"/>
          <w:sz w:val="24"/>
          <w:szCs w:val="22"/>
        </w:rPr>
        <w:t xml:space="preserve">. </w:t>
      </w:r>
      <w:r>
        <w:rPr>
          <w:rFonts w:eastAsiaTheme="minorHAnsi" w:cstheme="minorBidi"/>
          <w:color w:val="auto"/>
          <w:sz w:val="24"/>
          <w:szCs w:val="22"/>
        </w:rPr>
        <w:t>The policy brief</w:t>
      </w:r>
      <w:r>
        <w:rPr>
          <w:rFonts w:eastAsiaTheme="minorHAnsi" w:cstheme="minorBidi"/>
          <w:color w:val="auto"/>
          <w:sz w:val="24"/>
          <w:szCs w:val="22"/>
        </w:rPr>
        <w:t>s</w:t>
      </w:r>
      <w:r>
        <w:rPr>
          <w:rFonts w:eastAsiaTheme="minorHAnsi" w:cstheme="minorBidi"/>
          <w:color w:val="auto"/>
          <w:sz w:val="24"/>
          <w:szCs w:val="22"/>
        </w:rPr>
        <w:t xml:space="preserve"> are </w:t>
      </w:r>
      <w:r w:rsidRPr="007406DC">
        <w:rPr>
          <w:rFonts w:eastAsiaTheme="minorHAnsi" w:cstheme="minorBidi"/>
          <w:color w:val="auto"/>
          <w:sz w:val="24"/>
          <w:szCs w:val="22"/>
        </w:rPr>
        <w:t>from Australia, Austria, Canada, Denmark, Finland, Germany, Norway, Spain, Sweden, Switzerland and the UK</w:t>
      </w:r>
      <w:r>
        <w:rPr>
          <w:rFonts w:eastAsiaTheme="minorHAnsi" w:cstheme="minorBidi"/>
          <w:color w:val="auto"/>
          <w:sz w:val="24"/>
          <w:szCs w:val="22"/>
        </w:rPr>
        <w:t xml:space="preserve">. </w:t>
      </w:r>
    </w:p>
    <w:p w:rsidR="004D7898" w:rsidP="004A3EF3">
      <w:r>
        <w:t>T</w:t>
      </w:r>
      <w:r>
        <w:t>h</w:t>
      </w:r>
      <w:r>
        <w:t>is</w:t>
      </w:r>
      <w:r>
        <w:t xml:space="preserve"> summary </w:t>
      </w:r>
      <w:r>
        <w:t xml:space="preserve">sets out </w:t>
      </w:r>
      <w:r>
        <w:t xml:space="preserve">key findings from </w:t>
      </w:r>
      <w:r>
        <w:t xml:space="preserve">the </w:t>
      </w:r>
      <w:r>
        <w:t xml:space="preserve">policy briefs </w:t>
      </w:r>
      <w:r>
        <w:t xml:space="preserve">organised </w:t>
      </w:r>
      <w:r>
        <w:t xml:space="preserve">under headings from the Committee’s call for evidence. </w:t>
      </w:r>
      <w:r>
        <w:t xml:space="preserve">For further detail, </w:t>
      </w:r>
      <w:r>
        <w:t>you</w:t>
      </w:r>
      <w:r>
        <w:t xml:space="preserve"> can find the full report containing the policy briefs on our </w:t>
      </w:r>
      <w:r>
        <w:fldChar w:fldCharType="begin"/>
      </w:r>
      <w:r>
        <w:instrText xml:space="preserve"> HYPERLINK "https://www.thebritishacademy.ac.uk/publications/future-of-public-service-media/" </w:instrText>
      </w:r>
      <w:r>
        <w:fldChar w:fldCharType="separate"/>
      </w:r>
      <w:r w:rsidRPr="00FD25EE">
        <w:rPr>
          <w:rStyle w:val="Hyperlink"/>
        </w:rPr>
        <w:t>website</w:t>
      </w:r>
      <w:r>
        <w:fldChar w:fldCharType="end"/>
      </w:r>
      <w:r>
        <w:t xml:space="preserve">. </w:t>
      </w:r>
      <w:r>
        <w:t xml:space="preserve"> </w:t>
      </w:r>
      <w:r>
        <w:t xml:space="preserve"> </w:t>
      </w:r>
    </w:p>
    <w:p w:rsidR="004D7898" w:rsidP="004A3EF3"/>
    <w:p w:rsidR="004D7898" w:rsidP="00DC7FBC">
      <w:pPr>
        <w:pStyle w:val="Heading3"/>
      </w:pPr>
      <w:r>
        <w:t xml:space="preserve">Purpose </w:t>
      </w:r>
    </w:p>
    <w:p w:rsidR="004D7898" w:rsidP="00DC7FBC">
      <w:pPr>
        <w:pStyle w:val="ListParagraph"/>
        <w:numPr>
          <w:ilvl w:val="0"/>
          <w:numId w:val="27"/>
        </w:numPr>
      </w:pPr>
      <w:r>
        <w:t xml:space="preserve">PSM play a unique role in sustaining democracies in the digital age, </w:t>
      </w:r>
      <w:r>
        <w:t xml:space="preserve">building </w:t>
      </w:r>
      <w:r>
        <w:t xml:space="preserve">trust in media and </w:t>
      </w:r>
      <w:r>
        <w:t xml:space="preserve">combatting misinformation by providing </w:t>
      </w:r>
      <w:r>
        <w:t xml:space="preserve">accurate and </w:t>
      </w:r>
      <w:r>
        <w:t xml:space="preserve">balanced news coverage. They are </w:t>
      </w:r>
      <w:r>
        <w:t xml:space="preserve">mandated </w:t>
      </w:r>
      <w:r>
        <w:t xml:space="preserve">to reflect national and local cultures in a way commercial providers are not. </w:t>
      </w:r>
    </w:p>
    <w:p w:rsidR="004D7898" w:rsidP="00DC7FBC">
      <w:pPr>
        <w:pStyle w:val="ListParagraph"/>
        <w:numPr>
          <w:ilvl w:val="0"/>
          <w:numId w:val="27"/>
        </w:numPr>
      </w:pPr>
      <w:r>
        <w:t xml:space="preserve">PSM </w:t>
      </w:r>
      <w:r>
        <w:t xml:space="preserve">systems </w:t>
      </w:r>
      <w:r>
        <w:t xml:space="preserve">in our sample of countries </w:t>
      </w:r>
      <w:r>
        <w:t xml:space="preserve">are shown to </w:t>
      </w:r>
      <w:r>
        <w:t>support and enrich national and regional creative economies. In the UK, PSM are central to the success of the creative industries across the four nations.</w:t>
      </w:r>
    </w:p>
    <w:p w:rsidR="004D7898" w:rsidP="00223248">
      <w:pPr>
        <w:pStyle w:val="Heading3"/>
      </w:pPr>
      <w:r>
        <w:t xml:space="preserve">Funding </w:t>
      </w:r>
    </w:p>
    <w:p w:rsidR="004D7898" w:rsidP="00223248">
      <w:pPr>
        <w:pStyle w:val="ListParagraph"/>
        <w:numPr>
          <w:ilvl w:val="0"/>
          <w:numId w:val="30"/>
        </w:numPr>
      </w:pPr>
      <w:r>
        <w:t xml:space="preserve">There is strong international evidence to </w:t>
      </w:r>
      <w:r>
        <w:t xml:space="preserve">suggest that the </w:t>
      </w:r>
      <w:r>
        <w:t xml:space="preserve">licence fee is an unsustainable funding mechanism for the BBC. </w:t>
      </w:r>
      <w:r>
        <w:t>D</w:t>
      </w:r>
      <w:r>
        <w:t>eclin</w:t>
      </w:r>
      <w:r>
        <w:t>ing</w:t>
      </w:r>
      <w:r>
        <w:t xml:space="preserve"> revenue </w:t>
      </w:r>
      <w:r>
        <w:t>has</w:t>
      </w:r>
      <w:r>
        <w:t xml:space="preserve"> an increasingly negative impact on the UK’s highly successful media </w:t>
      </w:r>
      <w:r>
        <w:t xml:space="preserve">production </w:t>
      </w:r>
      <w:r>
        <w:t xml:space="preserve">sector and </w:t>
      </w:r>
      <w:r>
        <w:t xml:space="preserve">the </w:t>
      </w:r>
      <w:r>
        <w:t>creative industries. Moreover, the Charter renewal process creates instability and politicises the licence fee settlement process.</w:t>
      </w:r>
    </w:p>
    <w:p w:rsidR="004D7898" w:rsidP="00223248">
      <w:pPr>
        <w:pStyle w:val="ListParagraph"/>
        <w:numPr>
          <w:ilvl w:val="0"/>
          <w:numId w:val="30"/>
        </w:numPr>
      </w:pPr>
      <w:r>
        <w:t xml:space="preserve">Evidence finds that commercial forms of funding are not viable alternatives to the BBC licence fee. The entry of the BBC into the market for advertising would undermine the sustainability of other UK media, including </w:t>
      </w:r>
      <w:r>
        <w:t xml:space="preserve">other PSM and </w:t>
      </w:r>
      <w:r>
        <w:t xml:space="preserve">commercial channels and print media, all of which rely on </w:t>
      </w:r>
      <w:r>
        <w:t xml:space="preserve">a common </w:t>
      </w:r>
      <w:r>
        <w:t>stream of advertising revenue</w:t>
      </w:r>
      <w:r>
        <w:t xml:space="preserve">. </w:t>
      </w:r>
    </w:p>
    <w:p w:rsidR="004D7898" w:rsidP="00223248">
      <w:pPr>
        <w:pStyle w:val="ListParagraph"/>
        <w:numPr>
          <w:ilvl w:val="0"/>
          <w:numId w:val="30"/>
        </w:numPr>
      </w:pPr>
      <w:r>
        <w:t xml:space="preserve">Most other countries have moved away from licence fee funding </w:t>
      </w:r>
      <w:r>
        <w:t xml:space="preserve">of PSMs </w:t>
      </w:r>
      <w:r>
        <w:t xml:space="preserve">towards general taxation or a household levy. </w:t>
      </w:r>
      <w:r w:rsidRPr="00726417">
        <w:t xml:space="preserve">A flat universal household levy with discounts and exemptions for those least able to pay </w:t>
      </w:r>
      <w:r>
        <w:t xml:space="preserve">has been shown to </w:t>
      </w:r>
      <w:r w:rsidRPr="00726417">
        <w:t>provide clarity and</w:t>
      </w:r>
      <w:r>
        <w:t xml:space="preserve">, of the alternatives, </w:t>
      </w:r>
      <w:r w:rsidRPr="00726417">
        <w:t xml:space="preserve">is most </w:t>
      </w:r>
      <w:r>
        <w:t xml:space="preserve">similar </w:t>
      </w:r>
      <w:r w:rsidRPr="00726417">
        <w:t xml:space="preserve">to the licence fee. </w:t>
      </w:r>
      <w:r>
        <w:t>A g</w:t>
      </w:r>
      <w:r w:rsidRPr="00726417">
        <w:t>eneral taxation</w:t>
      </w:r>
      <w:r>
        <w:t xml:space="preserve"> </w:t>
      </w:r>
      <w:r>
        <w:t xml:space="preserve">model </w:t>
      </w:r>
      <w:r w:rsidRPr="00726417">
        <w:t xml:space="preserve">has the merit of being progressive but </w:t>
      </w:r>
      <w:r>
        <w:t xml:space="preserve">is vulnerable to </w:t>
      </w:r>
      <w:r w:rsidRPr="00726417">
        <w:t>political interference.</w:t>
      </w:r>
      <w:r>
        <w:t xml:space="preserve"> </w:t>
      </w:r>
    </w:p>
    <w:p w:rsidR="004D7898" w:rsidP="0089065B">
      <w:pPr>
        <w:pStyle w:val="ListParagraph"/>
        <w:numPr>
          <w:ilvl w:val="1"/>
          <w:numId w:val="30"/>
        </w:numPr>
      </w:pPr>
      <w:r>
        <w:t xml:space="preserve">Germany, Austria and Switzerland have </w:t>
      </w:r>
      <w:r>
        <w:t xml:space="preserve">all </w:t>
      </w:r>
      <w:r>
        <w:t xml:space="preserve">fairly recently </w:t>
      </w:r>
      <w:r>
        <w:t xml:space="preserve">introduced </w:t>
      </w:r>
      <w:r>
        <w:t>a universal household levy</w:t>
      </w:r>
      <w:r>
        <w:t xml:space="preserve">, abandoning </w:t>
      </w:r>
      <w:r>
        <w:t xml:space="preserve">licence fee </w:t>
      </w:r>
      <w:r>
        <w:t>model</w:t>
      </w:r>
      <w:r>
        <w:t>s</w:t>
      </w:r>
      <w:r>
        <w:t xml:space="preserve"> </w:t>
      </w:r>
      <w:r>
        <w:t>similar to the BBC</w:t>
      </w:r>
      <w:r>
        <w:t xml:space="preserve">. The reasons for this change </w:t>
      </w:r>
      <w:r>
        <w:t>were</w:t>
      </w:r>
      <w:r>
        <w:t xml:space="preserve"> the greater efficiency </w:t>
      </w:r>
      <w:r>
        <w:t xml:space="preserve">of a universal system for </w:t>
      </w:r>
      <w:r>
        <w:t xml:space="preserve">revenue collection and </w:t>
      </w:r>
      <w:r>
        <w:t xml:space="preserve">the </w:t>
      </w:r>
      <w:r>
        <w:t>ability to make contributions fairer when universally shared</w:t>
      </w:r>
      <w:r>
        <w:t xml:space="preserve">. All </w:t>
      </w:r>
      <w:r>
        <w:t xml:space="preserve">the </w:t>
      </w:r>
      <w:r>
        <w:t xml:space="preserve">countries </w:t>
      </w:r>
      <w:r>
        <w:t xml:space="preserve">examined </w:t>
      </w:r>
      <w:r>
        <w:t xml:space="preserve">managed to </w:t>
      </w:r>
      <w:r>
        <w:t xml:space="preserve">drive up majority support for the household levy model </w:t>
      </w:r>
      <w:r>
        <w:t xml:space="preserve">through strong civic engagement in </w:t>
      </w:r>
      <w:r>
        <w:t xml:space="preserve">the </w:t>
      </w:r>
      <w:r>
        <w:t xml:space="preserve">governance </w:t>
      </w:r>
      <w:r>
        <w:t xml:space="preserve">of PSM </w:t>
      </w:r>
      <w:r>
        <w:t xml:space="preserve">and </w:t>
      </w:r>
      <w:r>
        <w:t xml:space="preserve">by </w:t>
      </w:r>
      <w:r>
        <w:t xml:space="preserve">employing </w:t>
      </w:r>
      <w:r>
        <w:t xml:space="preserve">convincing narratives </w:t>
      </w:r>
      <w:r>
        <w:t xml:space="preserve">explaining why </w:t>
      </w:r>
      <w:r>
        <w:t xml:space="preserve">PSM </w:t>
      </w:r>
      <w:r>
        <w:t>is</w:t>
      </w:r>
      <w:r>
        <w:t xml:space="preserve"> a</w:t>
      </w:r>
      <w:r>
        <w:t>n important</w:t>
      </w:r>
      <w:r>
        <w:t xml:space="preserve"> </w:t>
      </w:r>
      <w:r>
        <w:t>public</w:t>
      </w:r>
      <w:r>
        <w:t xml:space="preserve"> good</w:t>
      </w:r>
      <w:r>
        <w:t xml:space="preserve">. </w:t>
      </w:r>
    </w:p>
    <w:p w:rsidR="004D7898" w:rsidP="0089065B">
      <w:pPr>
        <w:pStyle w:val="ListParagraph"/>
        <w:numPr>
          <w:ilvl w:val="1"/>
          <w:numId w:val="30"/>
        </w:numPr>
      </w:pPr>
      <w:r>
        <w:t xml:space="preserve">In 2013, </w:t>
      </w:r>
      <w:r>
        <w:t>Finland changed from a licence fee model to fund</w:t>
      </w:r>
      <w:r>
        <w:t>ing</w:t>
      </w:r>
      <w:r>
        <w:t xml:space="preserve"> </w:t>
      </w:r>
      <w:r>
        <w:t xml:space="preserve">PSM </w:t>
      </w:r>
      <w:r>
        <w:t xml:space="preserve">through </w:t>
      </w:r>
      <w:r>
        <w:t xml:space="preserve">a broadcasting tax on </w:t>
      </w:r>
      <w:r>
        <w:t>individuals and co</w:t>
      </w:r>
      <w:r>
        <w:t>rporations</w:t>
      </w:r>
      <w:r>
        <w:t>.</w:t>
      </w:r>
      <w:r>
        <w:t xml:space="preserve"> </w:t>
      </w:r>
      <w:r>
        <w:t xml:space="preserve">The move </w:t>
      </w:r>
      <w:r>
        <w:t xml:space="preserve">was made </w:t>
      </w:r>
      <w:r>
        <w:t>to ensure stability of PSM revenue</w:t>
      </w:r>
      <w:r>
        <w:t xml:space="preserve"> in the face of declining fee-paying households, and </w:t>
      </w:r>
      <w:r>
        <w:t xml:space="preserve">to increase </w:t>
      </w:r>
      <w:r>
        <w:t>fairness by replacing a flat fee with a progressive tax based on income.</w:t>
      </w:r>
      <w:r>
        <w:t xml:space="preserve"> </w:t>
      </w:r>
    </w:p>
    <w:p w:rsidR="004D7898" w:rsidP="0089065B">
      <w:pPr>
        <w:pStyle w:val="ListParagraph"/>
        <w:numPr>
          <w:ilvl w:val="1"/>
          <w:numId w:val="30"/>
        </w:numPr>
      </w:pPr>
      <w:r>
        <w:t>In 2018, Denmark</w:t>
      </w:r>
      <w:r>
        <w:t xml:space="preserve"> </w:t>
      </w:r>
      <w:r>
        <w:t>opted to change from a licence fee to funding through general taxation</w:t>
      </w:r>
      <w:r>
        <w:t xml:space="preserve">. </w:t>
      </w:r>
      <w:r>
        <w:t>The aim</w:t>
      </w:r>
      <w:r>
        <w:t>s were</w:t>
      </w:r>
      <w:r>
        <w:t xml:space="preserve"> </w:t>
      </w:r>
      <w:r>
        <w:t xml:space="preserve">to ensure </w:t>
      </w:r>
      <w:r>
        <w:t xml:space="preserve">that </w:t>
      </w:r>
      <w:r>
        <w:t xml:space="preserve">the funding model </w:t>
      </w:r>
      <w:r>
        <w:t xml:space="preserve">is </w:t>
      </w:r>
      <w:r>
        <w:t>socially balanced</w:t>
      </w:r>
      <w:r>
        <w:t xml:space="preserve"> </w:t>
      </w:r>
      <w:r>
        <w:t xml:space="preserve">and to reflect changes in viewing habits, while reducing administrative costs and </w:t>
      </w:r>
      <w:r>
        <w:t>collection inefficiencies</w:t>
      </w:r>
      <w:r>
        <w:t xml:space="preserve"> </w:t>
      </w:r>
      <w:r>
        <w:t xml:space="preserve">due to </w:t>
      </w:r>
      <w:r>
        <w:t>fee evasion</w:t>
      </w:r>
      <w:r>
        <w:t>.</w:t>
      </w:r>
    </w:p>
    <w:p w:rsidR="004D7898" w:rsidRPr="00253CC0" w:rsidP="00223248">
      <w:pPr>
        <w:pStyle w:val="ListParagraph"/>
        <w:numPr>
          <w:ilvl w:val="0"/>
          <w:numId w:val="30"/>
        </w:numPr>
        <w:rPr>
          <w:b/>
          <w:bCs/>
        </w:rPr>
      </w:pPr>
      <w:r w:rsidRPr="00426088">
        <w:t xml:space="preserve">The </w:t>
      </w:r>
      <w:r w:rsidRPr="00932081">
        <w:t xml:space="preserve">UK </w:t>
      </w:r>
      <w:r w:rsidRPr="00426088">
        <w:t xml:space="preserve">Government </w:t>
      </w:r>
      <w:r>
        <w:t>c</w:t>
      </w:r>
      <w:r w:rsidRPr="00426088">
        <w:t xml:space="preserve">ould use the BBC Charter renewal to replace the licence fee with a </w:t>
      </w:r>
      <w:r>
        <w:t xml:space="preserve">more </w:t>
      </w:r>
      <w:r w:rsidRPr="00426088">
        <w:t>stable and long-term funding</w:t>
      </w:r>
      <w:r>
        <w:t xml:space="preserve"> model</w:t>
      </w:r>
      <w:r w:rsidRPr="00426088">
        <w:t>, with</w:t>
      </w:r>
      <w:r>
        <w:t xml:space="preserve"> </w:t>
      </w:r>
      <w:r w:rsidRPr="00426088">
        <w:t>inflationary increases</w:t>
      </w:r>
      <w:r>
        <w:t xml:space="preserve"> built in</w:t>
      </w:r>
      <w:r w:rsidRPr="00426088">
        <w:t>.</w:t>
      </w:r>
      <w:r w:rsidRPr="00253CC0">
        <w:rPr>
          <w:b/>
          <w:bCs/>
        </w:rPr>
        <w:t xml:space="preserve"> </w:t>
      </w:r>
      <w:r w:rsidRPr="00712BDB">
        <w:t xml:space="preserve">The </w:t>
      </w:r>
      <w:r>
        <w:t xml:space="preserve">two options </w:t>
      </w:r>
      <w:r>
        <w:t xml:space="preserve">most likely to meet </w:t>
      </w:r>
      <w:r>
        <w:t xml:space="preserve">these </w:t>
      </w:r>
      <w:r>
        <w:t xml:space="preserve">objectives </w:t>
      </w:r>
      <w:r>
        <w:t xml:space="preserve">are a flat universal household levy (with discounts and exemptions) or funding through general taxation. </w:t>
      </w:r>
    </w:p>
    <w:p w:rsidR="004D7898" w:rsidP="00223248">
      <w:pPr>
        <w:pStyle w:val="ListParagraph"/>
        <w:numPr>
          <w:ilvl w:val="0"/>
          <w:numId w:val="30"/>
        </w:numPr>
      </w:pPr>
      <w:r w:rsidRPr="00426088">
        <w:t xml:space="preserve">With either funding </w:t>
      </w:r>
      <w:r>
        <w:t>model</w:t>
      </w:r>
      <w:r w:rsidRPr="00426088">
        <w:t xml:space="preserve">, </w:t>
      </w:r>
      <w:r>
        <w:t>the</w:t>
      </w:r>
      <w:r>
        <w:t xml:space="preserve"> evidence makes a </w:t>
      </w:r>
      <w:r w:rsidRPr="00426088">
        <w:t xml:space="preserve">compelling case for creating new institutional arrangements to ensure </w:t>
      </w:r>
      <w:r>
        <w:t>decision</w:t>
      </w:r>
      <w:r>
        <w:t>-</w:t>
      </w:r>
      <w:r>
        <w:t xml:space="preserve">making </w:t>
      </w:r>
      <w:r w:rsidRPr="00426088">
        <w:t xml:space="preserve">independence from </w:t>
      </w:r>
      <w:r>
        <w:t>G</w:t>
      </w:r>
      <w:r w:rsidRPr="00426088">
        <w:t xml:space="preserve">overnment in setting </w:t>
      </w:r>
      <w:r>
        <w:t xml:space="preserve">PSM </w:t>
      </w:r>
      <w:r w:rsidRPr="00426088">
        <w:t>long-term funding and in governance. This</w:t>
      </w:r>
      <w:r>
        <w:t xml:space="preserve"> </w:t>
      </w:r>
      <w:r w:rsidRPr="00426088">
        <w:t xml:space="preserve">means </w:t>
      </w:r>
      <w:r>
        <w:t xml:space="preserve">introducing a governance process involving </w:t>
      </w:r>
      <w:r w:rsidRPr="00426088">
        <w:t xml:space="preserve">democratic, citizen-based </w:t>
      </w:r>
      <w:r>
        <w:t xml:space="preserve">input to </w:t>
      </w:r>
      <w:r w:rsidRPr="00426088">
        <w:t xml:space="preserve">decision-making </w:t>
      </w:r>
      <w:r>
        <w:t>and</w:t>
      </w:r>
      <w:r w:rsidRPr="00426088">
        <w:t xml:space="preserve">, where </w:t>
      </w:r>
      <w:r>
        <w:t>appropriate</w:t>
      </w:r>
      <w:r w:rsidRPr="00426088">
        <w:t>, expert</w:t>
      </w:r>
      <w:r>
        <w:t xml:space="preserve"> input. We expand on both below</w:t>
      </w:r>
      <w:r w:rsidRPr="00426088">
        <w:t xml:space="preserve">. </w:t>
      </w:r>
    </w:p>
    <w:p w:rsidR="004D7898" w:rsidP="00232EBD">
      <w:pPr>
        <w:pStyle w:val="Heading3"/>
      </w:pPr>
      <w:r>
        <w:t>Trust and relevance</w:t>
      </w:r>
    </w:p>
    <w:p w:rsidR="004D7898" w:rsidP="00DD3C3B">
      <w:pPr>
        <w:pStyle w:val="ListParagraph"/>
        <w:numPr>
          <w:ilvl w:val="0"/>
          <w:numId w:val="33"/>
        </w:numPr>
      </w:pPr>
      <w:r>
        <w:t>PSM are highly valued by citizens, with significantly higher levels of trust than commercial providers. Countries that spend the most on</w:t>
      </w:r>
      <w:r>
        <w:t xml:space="preserve"> their</w:t>
      </w:r>
      <w:r>
        <w:t xml:space="preserve"> </w:t>
      </w:r>
      <w:r>
        <w:t>PSM</w:t>
      </w:r>
      <w:r>
        <w:t xml:space="preserve"> also see the highest trust and support for these services among citizens. </w:t>
      </w:r>
    </w:p>
    <w:p w:rsidR="004D7898" w:rsidP="00DD3C3B">
      <w:pPr>
        <w:pStyle w:val="ListParagraph"/>
        <w:numPr>
          <w:ilvl w:val="0"/>
          <w:numId w:val="33"/>
        </w:numPr>
      </w:pPr>
      <w:r>
        <w:t xml:space="preserve">Despite recent challenges </w:t>
      </w:r>
      <w:r>
        <w:t xml:space="preserve">and criticisms of bias </w:t>
      </w:r>
      <w:r>
        <w:t xml:space="preserve">at the BBC, it remains highly trusted by </w:t>
      </w:r>
      <w:r>
        <w:t>audiences from across the mainstream political spectrum</w:t>
      </w:r>
      <w:r>
        <w:t>. It maintains a very strong international reputation</w:t>
      </w:r>
      <w:r>
        <w:t xml:space="preserve">, </w:t>
      </w:r>
      <w:r>
        <w:t xml:space="preserve">and is </w:t>
      </w:r>
      <w:r w:rsidRPr="003D6BB8">
        <w:t>regarded as a UK success story and as a leader in digital innovation</w:t>
      </w:r>
      <w:r>
        <w:t xml:space="preserve">. </w:t>
      </w:r>
    </w:p>
    <w:p w:rsidR="004D7898" w:rsidRPr="00AB3131" w:rsidP="00513E13">
      <w:pPr>
        <w:pStyle w:val="ListParagraph"/>
        <w:numPr>
          <w:ilvl w:val="0"/>
          <w:numId w:val="33"/>
        </w:numPr>
      </w:pPr>
      <w:r>
        <w:t>Our c</w:t>
      </w:r>
      <w:r w:rsidRPr="00AB3131">
        <w:t xml:space="preserve">omparative analysis of PSM systems </w:t>
      </w:r>
      <w:r>
        <w:t>shows</w:t>
      </w:r>
      <w:r w:rsidRPr="00AB3131">
        <w:t xml:space="preserve"> that </w:t>
      </w:r>
      <w:r>
        <w:t>g</w:t>
      </w:r>
      <w:r w:rsidRPr="00AB3131">
        <w:t>overnment interference with PSM undermines impartiality and public trust</w:t>
      </w:r>
      <w:r>
        <w:t>,</w:t>
      </w:r>
      <w:r w:rsidRPr="00AB3131">
        <w:t xml:space="preserve"> and inhibits innovation </w:t>
      </w:r>
      <w:r>
        <w:t>in response to</w:t>
      </w:r>
      <w:r w:rsidRPr="00AB3131">
        <w:t xml:space="preserve"> digital transformation</w:t>
      </w:r>
      <w:r>
        <w:t>s</w:t>
      </w:r>
      <w:r w:rsidRPr="00AB3131">
        <w:t xml:space="preserve">. </w:t>
      </w:r>
      <w:r>
        <w:t xml:space="preserve">This has led </w:t>
      </w:r>
      <w:r>
        <w:t xml:space="preserve">some countries to </w:t>
      </w:r>
      <w:r>
        <w:t xml:space="preserve">strengthen </w:t>
      </w:r>
      <w:r>
        <w:t xml:space="preserve">the independence of </w:t>
      </w:r>
      <w:r>
        <w:t xml:space="preserve">their </w:t>
      </w:r>
      <w:r>
        <w:t>PSM. For instance, Austria changed the composition of</w:t>
      </w:r>
      <w:r>
        <w:t xml:space="preserve"> </w:t>
      </w:r>
      <w:r>
        <w:t xml:space="preserve">ORF’s Foundation Council, its highest </w:t>
      </w:r>
      <w:r>
        <w:t>decision-making body</w:t>
      </w:r>
      <w:r>
        <w:t xml:space="preserve">, to decrease </w:t>
      </w:r>
      <w:r>
        <w:t xml:space="preserve">the number of political appointees and </w:t>
      </w:r>
      <w:r>
        <w:t xml:space="preserve">increase </w:t>
      </w:r>
      <w:r>
        <w:t xml:space="preserve">civil society representation. </w:t>
      </w:r>
      <w:r>
        <w:t xml:space="preserve">There are proposals in Germany to make </w:t>
      </w:r>
      <w:r>
        <w:t xml:space="preserve">the </w:t>
      </w:r>
      <w:r>
        <w:t>independent</w:t>
      </w:r>
      <w:r>
        <w:t>,</w:t>
      </w:r>
      <w:r>
        <w:t xml:space="preserve"> expert-based</w:t>
      </w:r>
      <w:r>
        <w:t xml:space="preserve"> </w:t>
      </w:r>
      <w:r>
        <w:t>KEF</w:t>
      </w:r>
      <w:r>
        <w:t>’s</w:t>
      </w:r>
      <w:r>
        <w:t xml:space="preserve"> funding recommendations </w:t>
      </w:r>
      <w:r>
        <w:t xml:space="preserve">for PSM </w:t>
      </w:r>
      <w:r>
        <w:t xml:space="preserve">automatic </w:t>
      </w:r>
      <w:r>
        <w:t xml:space="preserve">unless opposed by a set number of </w:t>
      </w:r>
      <w:r>
        <w:t>federal states.</w:t>
      </w:r>
      <w:r>
        <w:t xml:space="preserve"> (We explain the KEF’s role below).</w:t>
      </w:r>
      <w:r>
        <w:t xml:space="preserve"> </w:t>
      </w:r>
    </w:p>
    <w:p w:rsidR="004D7898" w:rsidP="00D21C75">
      <w:pPr>
        <w:pStyle w:val="ListParagraph"/>
        <w:numPr>
          <w:ilvl w:val="0"/>
          <w:numId w:val="33"/>
        </w:numPr>
      </w:pPr>
      <w:r>
        <w:t>Our e</w:t>
      </w:r>
      <w:r w:rsidRPr="00AB3131">
        <w:t>vidence finds that</w:t>
      </w:r>
      <w:r>
        <w:t>,</w:t>
      </w:r>
      <w:r w:rsidRPr="00AB3131">
        <w:t xml:space="preserve"> </w:t>
      </w:r>
      <w:r>
        <w:t xml:space="preserve">together, </w:t>
      </w:r>
      <w:r w:rsidRPr="00AB3131">
        <w:t>democratic governance and citizen representation,</w:t>
      </w:r>
      <w:r>
        <w:t xml:space="preserve"> and</w:t>
      </w:r>
      <w:r w:rsidRPr="00AB3131">
        <w:t xml:space="preserve"> independence from party politics, </w:t>
      </w:r>
      <w:r>
        <w:t xml:space="preserve">can result in stronger </w:t>
      </w:r>
      <w:r w:rsidRPr="00AB3131">
        <w:t xml:space="preserve">public support for PSM. </w:t>
      </w:r>
      <w:r>
        <w:t xml:space="preserve">Public support </w:t>
      </w:r>
      <w:r>
        <w:t xml:space="preserve">in the UK </w:t>
      </w:r>
      <w:r>
        <w:t xml:space="preserve">would be strengthened by introducing </w:t>
      </w:r>
      <w:r w:rsidRPr="00AB3131">
        <w:t xml:space="preserve">deliberative forms of democratic input - such as citizen assemblies </w:t>
      </w:r>
      <w:r>
        <w:t>–</w:t>
      </w:r>
      <w:r w:rsidRPr="00AB3131">
        <w:t xml:space="preserve"> into </w:t>
      </w:r>
      <w:r>
        <w:t xml:space="preserve">the </w:t>
      </w:r>
      <w:r>
        <w:t xml:space="preserve">BBC’s </w:t>
      </w:r>
      <w:r>
        <w:t xml:space="preserve">high-level </w:t>
      </w:r>
      <w:r w:rsidRPr="00AB3131">
        <w:t>governance</w:t>
      </w:r>
      <w:r>
        <w:t xml:space="preserve"> </w:t>
      </w:r>
      <w:r w:rsidRPr="00AB3131">
        <w:t xml:space="preserve">and </w:t>
      </w:r>
      <w:r>
        <w:t xml:space="preserve">strategic </w:t>
      </w:r>
      <w:r w:rsidRPr="00AB3131">
        <w:t xml:space="preserve">decision-making. </w:t>
      </w:r>
    </w:p>
    <w:p w:rsidR="004D7898" w:rsidP="00614A19">
      <w:pPr>
        <w:pStyle w:val="Heading3"/>
      </w:pPr>
      <w:r>
        <w:t>The UK and Regions</w:t>
      </w:r>
    </w:p>
    <w:p w:rsidR="004D7898" w:rsidP="00614A19">
      <w:pPr>
        <w:pStyle w:val="ListParagraph"/>
        <w:numPr>
          <w:ilvl w:val="0"/>
          <w:numId w:val="34"/>
        </w:numPr>
      </w:pPr>
      <w:r>
        <w:t xml:space="preserve">As the UK Government </w:t>
      </w:r>
      <w:r>
        <w:t xml:space="preserve">works </w:t>
      </w:r>
      <w:r>
        <w:t xml:space="preserve">to </w:t>
      </w:r>
      <w:r>
        <w:t>re</w:t>
      </w:r>
      <w:r>
        <w:t>organise local government</w:t>
      </w:r>
      <w:r>
        <w:t xml:space="preserve">, the </w:t>
      </w:r>
      <w:r>
        <w:t xml:space="preserve">benefits of regional governance of </w:t>
      </w:r>
      <w:r>
        <w:t>PSM</w:t>
      </w:r>
      <w:r>
        <w:t xml:space="preserve"> should be considered</w:t>
      </w:r>
      <w:r>
        <w:t xml:space="preserve">. </w:t>
      </w:r>
      <w:r>
        <w:t xml:space="preserve">This </w:t>
      </w:r>
      <w:r>
        <w:t xml:space="preserve">would be </w:t>
      </w:r>
      <w:r>
        <w:t xml:space="preserve">in line with the </w:t>
      </w:r>
      <w:r>
        <w:t xml:space="preserve">Government’s desire to support a thriving local media sector, as stated in </w:t>
      </w:r>
      <w:r>
        <w:t xml:space="preserve">its </w:t>
      </w:r>
      <w:r>
        <w:t>Devolution White Paper</w:t>
      </w:r>
      <w:r>
        <w:t>. The</w:t>
      </w:r>
      <w:r>
        <w:t xml:space="preserve"> DCMS Local Media Action Plan</w:t>
      </w:r>
      <w:r>
        <w:t xml:space="preserve"> </w:t>
      </w:r>
      <w:r>
        <w:t>considers the role of the BBC in the local media ecosystem,</w:t>
      </w:r>
      <w:r>
        <w:t xml:space="preserve"> </w:t>
      </w:r>
      <w:r>
        <w:t xml:space="preserve">treating </w:t>
      </w:r>
      <w:r>
        <w:t xml:space="preserve">the Charter </w:t>
      </w:r>
      <w:r>
        <w:t>r</w:t>
      </w:r>
      <w:r>
        <w:t xml:space="preserve">eview process as an opportunity to ensure the BBC supports </w:t>
      </w:r>
      <w:r>
        <w:t>the ‘diversity of local media and news services’</w:t>
      </w:r>
      <w:r>
        <w:t xml:space="preserve"> </w:t>
      </w:r>
      <w:r>
        <w:t>.</w:t>
      </w:r>
      <w:r>
        <w:t>T</w:t>
      </w:r>
      <w:r>
        <w:t>he Action Plan focuses on policy and regulatory re</w:t>
      </w:r>
      <w:r>
        <w:t xml:space="preserve">quirements, </w:t>
      </w:r>
      <w:r>
        <w:t xml:space="preserve">but it </w:t>
      </w:r>
      <w:r>
        <w:t>overlook</w:t>
      </w:r>
      <w:r>
        <w:t xml:space="preserve">s </w:t>
      </w:r>
      <w:r>
        <w:t xml:space="preserve">the role regional governance could play in building partnerships between the BBC and </w:t>
      </w:r>
      <w:r>
        <w:t>local media.</w:t>
      </w:r>
      <w:r>
        <w:t xml:space="preserve"> </w:t>
      </w:r>
    </w:p>
    <w:p w:rsidR="004D7898" w:rsidP="00614A19">
      <w:pPr>
        <w:pStyle w:val="ListParagraph"/>
        <w:numPr>
          <w:ilvl w:val="0"/>
          <w:numId w:val="34"/>
        </w:numPr>
      </w:pPr>
      <w:r>
        <w:t xml:space="preserve">Our evidence from PSMs in Germany and Switzerland </w:t>
      </w:r>
      <w:r>
        <w:t>show</w:t>
      </w:r>
      <w:r>
        <w:t>s</w:t>
      </w:r>
      <w:r>
        <w:t xml:space="preserve"> how regional governance</w:t>
      </w:r>
      <w:r>
        <w:t xml:space="preserve"> </w:t>
      </w:r>
      <w:r>
        <w:t xml:space="preserve">has </w:t>
      </w:r>
      <w:r>
        <w:t>help</w:t>
      </w:r>
      <w:r>
        <w:t>ed</w:t>
      </w:r>
      <w:r>
        <w:t xml:space="preserve"> to ensure public support</w:t>
      </w:r>
      <w:r>
        <w:t>, protect regional culture and language</w:t>
      </w:r>
      <w:r>
        <w:t>s</w:t>
      </w:r>
      <w:r>
        <w:t>,</w:t>
      </w:r>
      <w:r>
        <w:t xml:space="preserve"> </w:t>
      </w:r>
      <w:r>
        <w:t xml:space="preserve">and </w:t>
      </w:r>
      <w:r>
        <w:t>create</w:t>
      </w:r>
      <w:r>
        <w:t>d</w:t>
      </w:r>
      <w:r>
        <w:t xml:space="preserve"> stronger </w:t>
      </w:r>
      <w:r>
        <w:t>connections between PSM</w:t>
      </w:r>
      <w:r>
        <w:t>,</w:t>
      </w:r>
      <w:r>
        <w:t xml:space="preserve"> regional economies and civil society. </w:t>
      </w:r>
    </w:p>
    <w:p w:rsidR="004D7898" w:rsidP="00614A19">
      <w:pPr>
        <w:pStyle w:val="ListParagraph"/>
        <w:numPr>
          <w:ilvl w:val="0"/>
          <w:numId w:val="34"/>
        </w:numPr>
      </w:pPr>
      <w:r>
        <w:t xml:space="preserve">In Switzerland, </w:t>
      </w:r>
      <w:r>
        <w:t xml:space="preserve">PSM is governed by four regional associations, </w:t>
      </w:r>
      <w:r>
        <w:t>organised around the country’s languages and culture</w:t>
      </w:r>
      <w:r>
        <w:t>s</w:t>
      </w:r>
      <w:r>
        <w:t xml:space="preserve">. </w:t>
      </w:r>
      <w:r>
        <w:t xml:space="preserve">Despite </w:t>
      </w:r>
      <w:r>
        <w:t xml:space="preserve">some issues </w:t>
      </w:r>
      <w:r>
        <w:t xml:space="preserve">due to </w:t>
      </w:r>
      <w:r>
        <w:t xml:space="preserve">the model’s </w:t>
      </w:r>
      <w:r>
        <w:t>complex</w:t>
      </w:r>
      <w:r>
        <w:t xml:space="preserve">ity, </w:t>
      </w:r>
      <w:r>
        <w:t>the embeddedness of</w:t>
      </w:r>
      <w:r>
        <w:t xml:space="preserve"> </w:t>
      </w:r>
      <w:r>
        <w:t xml:space="preserve">Swiss PSM </w:t>
      </w:r>
      <w:r>
        <w:t xml:space="preserve">governance in regional culture and civil society has </w:t>
      </w:r>
      <w:r>
        <w:t xml:space="preserve">enabled </w:t>
      </w:r>
      <w:r>
        <w:t xml:space="preserve">it to </w:t>
      </w:r>
      <w:r>
        <w:t xml:space="preserve">survive </w:t>
      </w:r>
      <w:r>
        <w:t xml:space="preserve">political </w:t>
      </w:r>
      <w:r>
        <w:t xml:space="preserve">attacks </w:t>
      </w:r>
      <w:r>
        <w:t xml:space="preserve">during national referenda </w:t>
      </w:r>
      <w:r>
        <w:t>on its funding</w:t>
      </w:r>
      <w:r>
        <w:t xml:space="preserve">. </w:t>
      </w:r>
    </w:p>
    <w:p w:rsidR="004D7898" w:rsidP="00232EBD">
      <w:pPr>
        <w:pStyle w:val="ListParagraph"/>
        <w:numPr>
          <w:ilvl w:val="0"/>
          <w:numId w:val="34"/>
        </w:numPr>
      </w:pPr>
      <w:r>
        <w:t xml:space="preserve">In Germany, </w:t>
      </w:r>
      <w:r w:rsidRPr="001818A0">
        <w:t xml:space="preserve">the regional </w:t>
      </w:r>
      <w:r w:rsidRPr="001818A0">
        <w:rPr>
          <w:i/>
          <w:iCs/>
        </w:rPr>
        <w:t>Medienräte</w:t>
      </w:r>
      <w:r w:rsidRPr="001818A0">
        <w:t xml:space="preserve"> </w:t>
      </w:r>
      <w:r>
        <w:t>(</w:t>
      </w:r>
      <w:r w:rsidRPr="001818A0">
        <w:t>Media Councils</w:t>
      </w:r>
      <w:r>
        <w:t>)</w:t>
      </w:r>
      <w:r w:rsidRPr="001818A0">
        <w:t xml:space="preserve">, made up of seven independent experts, </w:t>
      </w:r>
      <w:r>
        <w:t xml:space="preserve">provide regional accountability by </w:t>
      </w:r>
      <w:r w:rsidRPr="001818A0">
        <w:t>examin</w:t>
      </w:r>
      <w:r>
        <w:t>ing</w:t>
      </w:r>
      <w:r w:rsidRPr="001818A0">
        <w:t xml:space="preserve"> whether PSM organisations are fulfilling their mandate</w:t>
      </w:r>
      <w:r>
        <w:t>s</w:t>
      </w:r>
      <w:r>
        <w:t xml:space="preserve">. </w:t>
      </w:r>
      <w:r>
        <w:t>This type of</w:t>
      </w:r>
      <w:r>
        <w:t xml:space="preserve"> model could </w:t>
      </w:r>
      <w:r>
        <w:t xml:space="preserve">work effectively </w:t>
      </w:r>
      <w:r>
        <w:t xml:space="preserve">to </w:t>
      </w:r>
      <w:r>
        <w:t>ensur</w:t>
      </w:r>
      <w:r>
        <w:t>e</w:t>
      </w:r>
      <w:r>
        <w:t xml:space="preserve"> </w:t>
      </w:r>
      <w:r>
        <w:t xml:space="preserve">the BBC </w:t>
      </w:r>
      <w:r>
        <w:t xml:space="preserve">engages </w:t>
      </w:r>
      <w:r>
        <w:t>constructively with local and regional media</w:t>
      </w:r>
      <w:r>
        <w:t>.</w:t>
      </w:r>
      <w:r>
        <w:t xml:space="preserve"> </w:t>
      </w:r>
      <w:r>
        <w:t xml:space="preserve">This model is </w:t>
      </w:r>
      <w:r>
        <w:t>place-sensitiv</w:t>
      </w:r>
      <w:r>
        <w:t>e as a result of</w:t>
      </w:r>
      <w:r>
        <w:t xml:space="preserve"> the active involvement of civil society</w:t>
      </w:r>
      <w:r>
        <w:t xml:space="preserve"> and regional stakeholders, in</w:t>
      </w:r>
      <w:r>
        <w:t xml:space="preserve"> </w:t>
      </w:r>
      <w:r>
        <w:t xml:space="preserve">contrast </w:t>
      </w:r>
      <w:r>
        <w:t xml:space="preserve">to </w:t>
      </w:r>
      <w:r>
        <w:t xml:space="preserve">managing </w:t>
      </w:r>
      <w:r>
        <w:t xml:space="preserve">PSM accountability </w:t>
      </w:r>
      <w:r>
        <w:t xml:space="preserve">centrally. </w:t>
      </w:r>
    </w:p>
    <w:p w:rsidR="004D7898" w:rsidP="006F4443">
      <w:pPr>
        <w:pStyle w:val="Heading3"/>
      </w:pPr>
      <w:r>
        <w:t>Future of Public Service Media</w:t>
      </w:r>
    </w:p>
    <w:p w:rsidR="004D7898" w:rsidRPr="006F4443" w:rsidP="00EF788D">
      <w:pPr>
        <w:pStyle w:val="ListParagraph"/>
        <w:numPr>
          <w:ilvl w:val="0"/>
          <w:numId w:val="35"/>
        </w:numPr>
      </w:pPr>
      <w:r>
        <w:t xml:space="preserve">If UK PSM are to survive in the era of dominant </w:t>
      </w:r>
      <w:r w:rsidRPr="00B538EE">
        <w:t>commercial digital platforms</w:t>
      </w:r>
      <w:r>
        <w:t>, t</w:t>
      </w:r>
      <w:r w:rsidRPr="000B6A8E">
        <w:t>here is a</w:t>
      </w:r>
      <w:r>
        <w:t xml:space="preserve">n urgent need for </w:t>
      </w:r>
      <w:r w:rsidRPr="000B6A8E">
        <w:t xml:space="preserve">interventions </w:t>
      </w:r>
      <w:r>
        <w:t xml:space="preserve">to encourage younger audiences to engage with PSM </w:t>
      </w:r>
      <w:r>
        <w:t xml:space="preserve">and </w:t>
      </w:r>
      <w:r>
        <w:t xml:space="preserve">to ensure support by future generations. </w:t>
      </w:r>
    </w:p>
    <w:p w:rsidR="004D7898" w:rsidP="00A579EC">
      <w:pPr>
        <w:pStyle w:val="ListParagraph"/>
        <w:numPr>
          <w:ilvl w:val="0"/>
          <w:numId w:val="35"/>
        </w:numPr>
      </w:pPr>
      <w:r>
        <w:t xml:space="preserve">There is a need to </w:t>
      </w:r>
      <w:r>
        <w:t>consider ways to</w:t>
      </w:r>
      <w:r>
        <w:t xml:space="preserve"> recreate the structural conditions whereby PSM, and in the UK the BBC in particular, </w:t>
      </w:r>
      <w:r>
        <w:t>can</w:t>
      </w:r>
      <w:r>
        <w:t xml:space="preserve"> influence </w:t>
      </w:r>
      <w:r>
        <w:t>media</w:t>
      </w:r>
      <w:r>
        <w:t xml:space="preserve"> markets </w:t>
      </w:r>
      <w:r>
        <w:t xml:space="preserve">in important, positive ways </w:t>
      </w:r>
      <w:r>
        <w:t>by setting standards for accuracy, impartiality, cultural relevance</w:t>
      </w:r>
      <w:r>
        <w:t xml:space="preserve"> and diversity</w:t>
      </w:r>
      <w:r>
        <w:t>, quality and innovation.</w:t>
      </w:r>
    </w:p>
    <w:p w:rsidR="004D7898" w:rsidP="006F4443">
      <w:pPr>
        <w:pStyle w:val="ListParagraph"/>
        <w:numPr>
          <w:ilvl w:val="0"/>
          <w:numId w:val="35"/>
        </w:numPr>
      </w:pPr>
      <w:r>
        <w:t>To achieve such ends, t</w:t>
      </w:r>
      <w:r>
        <w:t xml:space="preserve">he BBC </w:t>
      </w:r>
      <w:r>
        <w:t>c</w:t>
      </w:r>
      <w:r>
        <w:t>ould</w:t>
      </w:r>
      <w:r>
        <w:t xml:space="preserve"> </w:t>
      </w:r>
      <w:r>
        <w:t xml:space="preserve">consider </w:t>
      </w:r>
      <w:r>
        <w:t xml:space="preserve">interventions in collaboration </w:t>
      </w:r>
      <w:r>
        <w:t xml:space="preserve">with other PSMs, both </w:t>
      </w:r>
      <w:r>
        <w:t xml:space="preserve">nationally and </w:t>
      </w:r>
      <w:r>
        <w:t>international</w:t>
      </w:r>
      <w:r>
        <w:t>ly</w:t>
      </w:r>
      <w:r>
        <w:t>.</w:t>
      </w:r>
      <w:r>
        <w:t xml:space="preserve"> </w:t>
      </w:r>
      <w:r>
        <w:t xml:space="preserve">Such collaboration </w:t>
      </w:r>
      <w:r>
        <w:t xml:space="preserve">could build </w:t>
      </w:r>
      <w:r>
        <w:t xml:space="preserve">a new </w:t>
      </w:r>
      <w:r>
        <w:t>PSM infrastructure</w:t>
      </w:r>
      <w:r>
        <w:t>, enabling</w:t>
      </w:r>
      <w:r>
        <w:t xml:space="preserve"> the operation of </w:t>
      </w:r>
      <w:r>
        <w:t xml:space="preserve">PSM </w:t>
      </w:r>
      <w:r>
        <w:t xml:space="preserve">content distribution </w:t>
      </w:r>
      <w:r>
        <w:t>platforms</w:t>
      </w:r>
      <w:r>
        <w:t xml:space="preserve">, </w:t>
      </w:r>
      <w:r>
        <w:t xml:space="preserve">algorithms </w:t>
      </w:r>
      <w:r>
        <w:t>and, potentially, social media</w:t>
      </w:r>
      <w:r>
        <w:t xml:space="preserve">, </w:t>
      </w:r>
      <w:r>
        <w:t>reduc</w:t>
      </w:r>
      <w:r>
        <w:t xml:space="preserve">ing the </w:t>
      </w:r>
      <w:r>
        <w:t>structural dependenc</w:t>
      </w:r>
      <w:r>
        <w:t>e</w:t>
      </w:r>
      <w:r>
        <w:t xml:space="preserve"> on global technology companies</w:t>
      </w:r>
      <w:r>
        <w:t xml:space="preserve">, </w:t>
      </w:r>
      <w:r>
        <w:t xml:space="preserve">and </w:t>
      </w:r>
      <w:r>
        <w:t>creat</w:t>
      </w:r>
      <w:r>
        <w:t xml:space="preserve">ing </w:t>
      </w:r>
      <w:r>
        <w:t xml:space="preserve">the visibility and </w:t>
      </w:r>
      <w:r>
        <w:t xml:space="preserve">incentives </w:t>
      </w:r>
      <w:r>
        <w:t xml:space="preserve">to bring </w:t>
      </w:r>
      <w:r>
        <w:t>audiences to PSM</w:t>
      </w:r>
      <w:r w:rsidRPr="000D4E61">
        <w:t>.</w:t>
      </w:r>
    </w:p>
    <w:p w:rsidR="004D7898" w:rsidRPr="001751CB" w:rsidP="00E22AE8">
      <w:pPr>
        <w:pStyle w:val="ListParagraph"/>
        <w:numPr>
          <w:ilvl w:val="0"/>
          <w:numId w:val="35"/>
        </w:numPr>
      </w:pPr>
      <w:r>
        <w:t xml:space="preserve">Our evidence suggests that </w:t>
      </w:r>
      <w:r>
        <w:t xml:space="preserve">PSM should </w:t>
      </w:r>
      <w:r>
        <w:t xml:space="preserve">avoid </w:t>
      </w:r>
      <w:r>
        <w:t xml:space="preserve">replicating </w:t>
      </w:r>
      <w:r>
        <w:t xml:space="preserve">the features of </w:t>
      </w:r>
      <w:r>
        <w:t xml:space="preserve">the global </w:t>
      </w:r>
      <w:r>
        <w:t>commercial platforms</w:t>
      </w:r>
      <w:r>
        <w:t xml:space="preserve"> in order to compete. </w:t>
      </w:r>
      <w:r>
        <w:t>Public service values</w:t>
      </w:r>
      <w:r>
        <w:t xml:space="preserve"> </w:t>
      </w:r>
      <w:r>
        <w:t>should</w:t>
      </w:r>
      <w:r>
        <w:t xml:space="preserve"> be embedded in </w:t>
      </w:r>
      <w:r>
        <w:t>how PSMs innovate</w:t>
      </w:r>
      <w:r>
        <w:t xml:space="preserve"> to</w:t>
      </w:r>
      <w:r>
        <w:t xml:space="preserve"> ensur</w:t>
      </w:r>
      <w:r>
        <w:t>e</w:t>
      </w:r>
      <w:r>
        <w:t xml:space="preserve"> </w:t>
      </w:r>
      <w:r>
        <w:t xml:space="preserve">that PSM </w:t>
      </w:r>
      <w:r>
        <w:t xml:space="preserve">content distribution </w:t>
      </w:r>
      <w:r>
        <w:t xml:space="preserve">platforms, </w:t>
      </w:r>
      <w:r>
        <w:t xml:space="preserve">algorithms </w:t>
      </w:r>
      <w:r>
        <w:t xml:space="preserve">and social media </w:t>
      </w:r>
      <w:r>
        <w:t xml:space="preserve">are </w:t>
      </w:r>
      <w:r>
        <w:t>transparent and accountable</w:t>
      </w:r>
      <w:r>
        <w:t xml:space="preserve">, </w:t>
      </w:r>
      <w:r>
        <w:t xml:space="preserve">and </w:t>
      </w:r>
      <w:r>
        <w:t xml:space="preserve">achieving </w:t>
      </w:r>
      <w:r>
        <w:t>reach and diversity in the</w:t>
      </w:r>
      <w:r>
        <w:t xml:space="preserve"> PSM</w:t>
      </w:r>
      <w:r>
        <w:t xml:space="preserve"> offer. </w:t>
      </w:r>
      <w:r>
        <w:t xml:space="preserve">When </w:t>
      </w:r>
      <w:r>
        <w:t>algorithms</w:t>
      </w:r>
      <w:r>
        <w:t xml:space="preserve"> designed principally to respond to competition</w:t>
      </w:r>
      <w:r>
        <w:t xml:space="preserve"> </w:t>
      </w:r>
      <w:r>
        <w:t>are used to shape user preferences</w:t>
      </w:r>
      <w:r>
        <w:t>,</w:t>
      </w:r>
      <w:r>
        <w:t xml:space="preserve"> </w:t>
      </w:r>
      <w:r>
        <w:t xml:space="preserve">core </w:t>
      </w:r>
      <w:r>
        <w:t xml:space="preserve">PSM </w:t>
      </w:r>
      <w:r>
        <w:t>commitment</w:t>
      </w:r>
      <w:r>
        <w:t>s</w:t>
      </w:r>
      <w:r>
        <w:t xml:space="preserve"> to </w:t>
      </w:r>
      <w:r>
        <w:t>principles</w:t>
      </w:r>
      <w:r w:rsidRPr="00E230FB">
        <w:t xml:space="preserve"> of universalit</w:t>
      </w:r>
      <w:r>
        <w:t>y</w:t>
      </w:r>
      <w:r>
        <w:t xml:space="preserve">, diversity, </w:t>
      </w:r>
      <w:r>
        <w:t>impartiality</w:t>
      </w:r>
      <w:r>
        <w:t xml:space="preserve"> </w:t>
      </w:r>
      <w:r>
        <w:t xml:space="preserve">and being the collective </w:t>
      </w:r>
      <w:r>
        <w:t xml:space="preserve">cultural </w:t>
      </w:r>
      <w:r>
        <w:t>voice of a nation</w:t>
      </w:r>
      <w:r>
        <w:t xml:space="preserve"> </w:t>
      </w:r>
      <w:r>
        <w:t xml:space="preserve">are put </w:t>
      </w:r>
      <w:r>
        <w:t>at risk</w:t>
      </w:r>
      <w:r>
        <w:t xml:space="preserve">. </w:t>
      </w:r>
      <w:r>
        <w:t xml:space="preserve">The Danish PSM </w:t>
      </w:r>
      <w:r>
        <w:t xml:space="preserve">has addressed this risk by </w:t>
      </w:r>
      <w:r>
        <w:t xml:space="preserve">mandating transparency </w:t>
      </w:r>
      <w:r>
        <w:t xml:space="preserve">in </w:t>
      </w:r>
      <w:r>
        <w:t xml:space="preserve">the use of algorithms </w:t>
      </w:r>
      <w:r>
        <w:t xml:space="preserve">in </w:t>
      </w:r>
      <w:r>
        <w:t xml:space="preserve">its </w:t>
      </w:r>
      <w:r>
        <w:t>content recommendation system</w:t>
      </w:r>
      <w:r>
        <w:t xml:space="preserve">; </w:t>
      </w:r>
      <w:r>
        <w:t xml:space="preserve">VRT, </w:t>
      </w:r>
      <w:r>
        <w:t xml:space="preserve">the </w:t>
      </w:r>
      <w:r>
        <w:t xml:space="preserve">Flemish </w:t>
      </w:r>
      <w:r>
        <w:t xml:space="preserve">PSM, </w:t>
      </w:r>
      <w:r>
        <w:t xml:space="preserve">has researched </w:t>
      </w:r>
      <w:r>
        <w:t>a</w:t>
      </w:r>
      <w:r>
        <w:t xml:space="preserve"> ‘taste-broadening’</w:t>
      </w:r>
      <w:r>
        <w:t xml:space="preserve"> algorithm that </w:t>
      </w:r>
      <w:r>
        <w:t xml:space="preserve">helps to </w:t>
      </w:r>
      <w:r>
        <w:t>promote</w:t>
      </w:r>
      <w:r>
        <w:t xml:space="preserve"> </w:t>
      </w:r>
      <w:r>
        <w:t>content diversity</w:t>
      </w:r>
      <w:r>
        <w:t xml:space="preserve">; and the BBC has trialled a ‘commonality’ recommender algorithm that promotes </w:t>
      </w:r>
      <w:r w:rsidRPr="00EF4B17">
        <w:t xml:space="preserve">universality </w:t>
      </w:r>
      <w:r w:rsidRPr="00EF4B17">
        <w:t>(</w:t>
      </w:r>
      <w:r>
        <w:t xml:space="preserve">or </w:t>
      </w:r>
      <w:r w:rsidRPr="00EF4B17">
        <w:t>shared experience)</w:t>
      </w:r>
      <w:r>
        <w:t xml:space="preserve"> as a </w:t>
      </w:r>
      <w:r>
        <w:t xml:space="preserve">complement </w:t>
      </w:r>
      <w:r>
        <w:t xml:space="preserve">to </w:t>
      </w:r>
      <w:r>
        <w:t>personalisation.</w:t>
      </w:r>
    </w:p>
    <w:p w:rsidR="004D7898" w:rsidRPr="00AB3131" w:rsidP="00AB3131">
      <w:pPr>
        <w:pStyle w:val="Heading3"/>
      </w:pPr>
      <w:r>
        <w:t>An independent and accountable BBC</w:t>
      </w:r>
    </w:p>
    <w:p w:rsidR="004D7898" w:rsidP="005034EC">
      <w:pPr>
        <w:pStyle w:val="ListParagraph"/>
        <w:numPr>
          <w:ilvl w:val="0"/>
          <w:numId w:val="29"/>
        </w:numPr>
      </w:pPr>
      <w:r>
        <w:t xml:space="preserve">The UK </w:t>
      </w:r>
      <w:r w:rsidRPr="00EF4B17">
        <w:t xml:space="preserve">Government </w:t>
      </w:r>
      <w:r>
        <w:t xml:space="preserve">is seeking in the Charter review to </w:t>
      </w:r>
      <w:r>
        <w:t>find</w:t>
      </w:r>
      <w:r>
        <w:t xml:space="preserve"> </w:t>
      </w:r>
      <w:r w:rsidRPr="00EF4B17">
        <w:t xml:space="preserve">a </w:t>
      </w:r>
      <w:r w:rsidRPr="00EF4B17">
        <w:t>model</w:t>
      </w:r>
      <w:r>
        <w:t xml:space="preserve"> of governance and funding </w:t>
      </w:r>
      <w:r>
        <w:t xml:space="preserve">that assures </w:t>
      </w:r>
      <w:r>
        <w:t>the long-term sustainability of the BBC and the wider PSM ecosystem</w:t>
      </w:r>
      <w:r>
        <w:t>, and this is essential for the future of PSM in the UK</w:t>
      </w:r>
      <w:r>
        <w:t xml:space="preserve">. The benefits </w:t>
      </w:r>
      <w:r>
        <w:t xml:space="preserve">to </w:t>
      </w:r>
      <w:r>
        <w:t>our economy and society, and for our democracy, of</w:t>
      </w:r>
      <w:r>
        <w:t xml:space="preserve"> </w:t>
      </w:r>
      <w:r>
        <w:t xml:space="preserve">sustained </w:t>
      </w:r>
      <w:r>
        <w:t>public investment and support are enormous</w:t>
      </w:r>
      <w:r>
        <w:t>.</w:t>
      </w:r>
      <w:r>
        <w:t xml:space="preserve"> </w:t>
      </w:r>
      <w:r>
        <w:t>T</w:t>
      </w:r>
      <w:r>
        <w:t xml:space="preserve">he UK Government </w:t>
      </w:r>
      <w:r>
        <w:t>can</w:t>
      </w:r>
      <w:r>
        <w:t xml:space="preserve"> </w:t>
      </w:r>
      <w:r>
        <w:t xml:space="preserve">capitalise on </w:t>
      </w:r>
      <w:r>
        <w:t xml:space="preserve">the </w:t>
      </w:r>
      <w:r>
        <w:t>opportunity</w:t>
      </w:r>
      <w:r>
        <w:t xml:space="preserve"> created by the </w:t>
      </w:r>
      <w:r>
        <w:t xml:space="preserve">BBC </w:t>
      </w:r>
      <w:r>
        <w:t xml:space="preserve">Charter </w:t>
      </w:r>
      <w:r>
        <w:t>r</w:t>
      </w:r>
      <w:r>
        <w:t xml:space="preserve">eview </w:t>
      </w:r>
      <w:r>
        <w:t xml:space="preserve">process </w:t>
      </w:r>
      <w:r>
        <w:t xml:space="preserve">to make </w:t>
      </w:r>
      <w:r>
        <w:t xml:space="preserve">important </w:t>
      </w:r>
      <w:r>
        <w:t>changes</w:t>
      </w:r>
      <w:r>
        <w:t xml:space="preserve"> such as those outlined</w:t>
      </w:r>
      <w:r>
        <w:t xml:space="preserve">.  </w:t>
      </w:r>
    </w:p>
    <w:p w:rsidR="004D7898" w:rsidRPr="00426088" w:rsidP="008501F0">
      <w:pPr>
        <w:pStyle w:val="ListParagraph"/>
        <w:numPr>
          <w:ilvl w:val="0"/>
          <w:numId w:val="29"/>
        </w:numPr>
      </w:pPr>
      <w:r>
        <w:t xml:space="preserve">It appears </w:t>
      </w:r>
      <w:r>
        <w:t>crucial</w:t>
      </w:r>
      <w:r w:rsidRPr="00426088">
        <w:t xml:space="preserve"> t</w:t>
      </w:r>
      <w:r>
        <w:t xml:space="preserve">hat </w:t>
      </w:r>
      <w:r>
        <w:t xml:space="preserve">the Government considers </w:t>
      </w:r>
      <w:r>
        <w:t xml:space="preserve">options for </w:t>
      </w:r>
      <w:r w:rsidRPr="00426088">
        <w:t>strengthen</w:t>
      </w:r>
      <w:r>
        <w:t>ing</w:t>
      </w:r>
      <w:r w:rsidRPr="00426088">
        <w:t xml:space="preserve"> the arms-length principle in decisions on </w:t>
      </w:r>
      <w:r>
        <w:t xml:space="preserve">both </w:t>
      </w:r>
      <w:r>
        <w:t xml:space="preserve">BBC </w:t>
      </w:r>
      <w:r w:rsidRPr="00426088">
        <w:t>funding and governance.</w:t>
      </w:r>
      <w:r w:rsidRPr="008566BA">
        <w:t xml:space="preserve"> </w:t>
      </w:r>
      <w:r>
        <w:t>Our</w:t>
      </w:r>
      <w:r w:rsidRPr="008566BA">
        <w:t xml:space="preserve"> </w:t>
      </w:r>
      <w:r>
        <w:t xml:space="preserve">comparative </w:t>
      </w:r>
      <w:r w:rsidRPr="008566BA">
        <w:t xml:space="preserve">evidence points </w:t>
      </w:r>
      <w:r>
        <w:t xml:space="preserve">strongly </w:t>
      </w:r>
      <w:r w:rsidRPr="008566BA">
        <w:t>towards the need for two new independent expert bodies</w:t>
      </w:r>
      <w:r>
        <w:t xml:space="preserve">: </w:t>
      </w:r>
      <w:r>
        <w:t xml:space="preserve">1) </w:t>
      </w:r>
      <w:r>
        <w:t xml:space="preserve">to assess and recommend BBC funding needs </w:t>
      </w:r>
      <w:r>
        <w:t xml:space="preserve">over </w:t>
      </w:r>
      <w:r>
        <w:t xml:space="preserve">4 to 5 year periods; </w:t>
      </w:r>
      <w:r>
        <w:t xml:space="preserve">and </w:t>
      </w:r>
      <w:r>
        <w:t xml:space="preserve">2) </w:t>
      </w:r>
      <w:r>
        <w:t xml:space="preserve">to oversee </w:t>
      </w:r>
      <w:r>
        <w:t xml:space="preserve">the appointment of key senior positions, both executive and to the Board, at an </w:t>
      </w:r>
      <w:r>
        <w:t>arm’s length</w:t>
      </w:r>
      <w:r>
        <w:t xml:space="preserve"> from Government</w:t>
      </w:r>
      <w:r>
        <w:t xml:space="preserve">. </w:t>
      </w:r>
      <w:r>
        <w:t>N</w:t>
      </w:r>
      <w:r w:rsidRPr="00426088">
        <w:t xml:space="preserve">ew </w:t>
      </w:r>
      <w:r>
        <w:t xml:space="preserve">bodies </w:t>
      </w:r>
      <w:r>
        <w:t xml:space="preserve">are needed </w:t>
      </w:r>
      <w:r w:rsidRPr="00426088">
        <w:t xml:space="preserve">to secure the independence of </w:t>
      </w:r>
      <w:r>
        <w:t>the BBC</w:t>
      </w:r>
      <w:r>
        <w:t>, which can in turn</w:t>
      </w:r>
      <w:r w:rsidRPr="00426088">
        <w:t xml:space="preserve"> </w:t>
      </w:r>
      <w:r w:rsidRPr="00426088">
        <w:t>sustain pub</w:t>
      </w:r>
      <w:r w:rsidRPr="00426088">
        <w:t xml:space="preserve">lic trust and </w:t>
      </w:r>
      <w:r>
        <w:t xml:space="preserve">the </w:t>
      </w:r>
      <w:r w:rsidRPr="00426088">
        <w:t>public value</w:t>
      </w:r>
      <w:r>
        <w:t xml:space="preserve"> of </w:t>
      </w:r>
      <w:r>
        <w:t xml:space="preserve">the </w:t>
      </w:r>
      <w:r>
        <w:t>BBC</w:t>
      </w:r>
      <w:r>
        <w:t xml:space="preserve">, </w:t>
      </w:r>
      <w:r>
        <w:t xml:space="preserve">and </w:t>
      </w:r>
      <w:r w:rsidRPr="00426088">
        <w:t>mitigat</w:t>
      </w:r>
      <w:r>
        <w:t>e</w:t>
      </w:r>
      <w:r>
        <w:t xml:space="preserve"> </w:t>
      </w:r>
      <w:r w:rsidRPr="00426088">
        <w:t>the risks of political interference.</w:t>
      </w:r>
      <w:r>
        <w:t xml:space="preserve"> The</w:t>
      </w:r>
      <w:r>
        <w:t>se changes</w:t>
      </w:r>
      <w:r>
        <w:t xml:space="preserve"> should be combined with </w:t>
      </w:r>
      <w:r w:rsidRPr="00426088">
        <w:t>introducing democratic</w:t>
      </w:r>
      <w:r>
        <w:t>,</w:t>
      </w:r>
      <w:r w:rsidRPr="00426088">
        <w:t xml:space="preserve"> </w:t>
      </w:r>
      <w:r>
        <w:t xml:space="preserve">deliberative </w:t>
      </w:r>
      <w:r w:rsidRPr="00426088">
        <w:t xml:space="preserve">structures for public input on </w:t>
      </w:r>
      <w:r>
        <w:t xml:space="preserve">high-level </w:t>
      </w:r>
      <w:r>
        <w:t xml:space="preserve">BBC and </w:t>
      </w:r>
      <w:r>
        <w:t xml:space="preserve">PSM </w:t>
      </w:r>
      <w:r>
        <w:t xml:space="preserve">strategy. </w:t>
      </w:r>
    </w:p>
    <w:p w:rsidR="004D7898" w:rsidRPr="00AA7869" w:rsidP="0032435E">
      <w:pPr>
        <w:pStyle w:val="ListParagraph"/>
        <w:numPr>
          <w:ilvl w:val="0"/>
          <w:numId w:val="29"/>
        </w:numPr>
      </w:pPr>
      <w:r>
        <w:t>T</w:t>
      </w:r>
      <w:r>
        <w:t xml:space="preserve">he </w:t>
      </w:r>
      <w:r>
        <w:t xml:space="preserve">German-speaking countries </w:t>
      </w:r>
      <w:r>
        <w:t xml:space="preserve">– </w:t>
      </w:r>
      <w:r>
        <w:t xml:space="preserve">Germany, Austria and Switzerland </w:t>
      </w:r>
      <w:r>
        <w:t xml:space="preserve">– </w:t>
      </w:r>
      <w:r>
        <w:t xml:space="preserve">have a long-established history of </w:t>
      </w:r>
      <w:r>
        <w:t xml:space="preserve">PSM governance </w:t>
      </w:r>
      <w:r>
        <w:t xml:space="preserve">models </w:t>
      </w:r>
      <w:r>
        <w:t xml:space="preserve">that reduce </w:t>
      </w:r>
      <w:r>
        <w:t xml:space="preserve">political interference and </w:t>
      </w:r>
      <w:r>
        <w:t xml:space="preserve">enable </w:t>
      </w:r>
      <w:r>
        <w:t>greater involvement of civil society</w:t>
      </w:r>
      <w:r>
        <w:t xml:space="preserve">. </w:t>
      </w:r>
      <w:r>
        <w:t>The German model</w:t>
      </w:r>
      <w:r>
        <w:t>,</w:t>
      </w:r>
      <w:r>
        <w:t xml:space="preserve"> </w:t>
      </w:r>
      <w:r>
        <w:t>in particular</w:t>
      </w:r>
      <w:r>
        <w:t>,</w:t>
      </w:r>
      <w:r>
        <w:t xml:space="preserve"> </w:t>
      </w:r>
      <w:r>
        <w:t xml:space="preserve">has </w:t>
      </w:r>
      <w:r>
        <w:t xml:space="preserve">strong </w:t>
      </w:r>
      <w:r>
        <w:t xml:space="preserve">features that </w:t>
      </w:r>
      <w:r>
        <w:t xml:space="preserve">could </w:t>
      </w:r>
      <w:r>
        <w:t xml:space="preserve">be </w:t>
      </w:r>
      <w:r>
        <w:t xml:space="preserve">emulated </w:t>
      </w:r>
      <w:r>
        <w:t xml:space="preserve">in the UK. </w:t>
      </w:r>
      <w:r w:rsidRPr="002A351E">
        <w:t xml:space="preserve">Germany’s KEF (Kommission zur Ermittlung des Finanzbedarfs) – an independent commission </w:t>
      </w:r>
      <w:r>
        <w:t xml:space="preserve">– </w:t>
      </w:r>
      <w:r w:rsidRPr="002A351E">
        <w:t>assesses the funding requirements for public broadcasters</w:t>
      </w:r>
      <w:r>
        <w:t xml:space="preserve">, demonstrating </w:t>
      </w:r>
      <w:r>
        <w:t xml:space="preserve">how </w:t>
      </w:r>
      <w:r>
        <w:t xml:space="preserve">decisions </w:t>
      </w:r>
      <w:r>
        <w:t xml:space="preserve">about </w:t>
      </w:r>
      <w:r>
        <w:t xml:space="preserve">PSM </w:t>
      </w:r>
      <w:r>
        <w:t xml:space="preserve">funding </w:t>
      </w:r>
      <w:r>
        <w:t>can be</w:t>
      </w:r>
      <w:r>
        <w:t xml:space="preserve"> </w:t>
      </w:r>
      <w:r>
        <w:t xml:space="preserve">set by independent </w:t>
      </w:r>
      <w:r>
        <w:t>experts</w:t>
      </w:r>
      <w:r>
        <w:t>. If adopted in the UK</w:t>
      </w:r>
      <w:r>
        <w:t>,</w:t>
      </w:r>
      <w:r>
        <w:t xml:space="preserve"> this is a model that would be</w:t>
      </w:r>
      <w:r>
        <w:t xml:space="preserve"> free </w:t>
      </w:r>
      <w:r>
        <w:t xml:space="preserve">of both </w:t>
      </w:r>
      <w:r>
        <w:t>political interference and</w:t>
      </w:r>
      <w:r>
        <w:t xml:space="preserve"> perverse</w:t>
      </w:r>
      <w:r>
        <w:t xml:space="preserve"> </w:t>
      </w:r>
      <w:r>
        <w:t>budget</w:t>
      </w:r>
      <w:r>
        <w:t>-</w:t>
      </w:r>
      <w:r>
        <w:t>maximis</w:t>
      </w:r>
      <w:r>
        <w:t xml:space="preserve">ing incentives inside the BBC. </w:t>
      </w:r>
    </w:p>
    <w:sectPr w:rsidSect="008227EE">
      <w:footerReference w:type="even" r:id="rId8"/>
      <w:footerReference w:type="default" r:id="rId9"/>
      <w:headerReference w:type="first" r:id="rId10"/>
      <w:pgSz w:w="11900" w:h="16820"/>
      <w:pgMar w:top="1440" w:right="1325" w:bottom="1440" w:left="1134"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238490141"/>
      <w:docPartObj>
        <w:docPartGallery w:val="Page Numbers (Bottom of Page)"/>
        <w:docPartUnique/>
      </w:docPartObj>
    </w:sdtPr>
    <w:sdtEndPr>
      <w:rPr>
        <w:rStyle w:val="PageNumber"/>
      </w:rPr>
    </w:sdtEndPr>
    <w:sdtContent>
      <w:p w:rsidR="004D7898" w:rsidP="00EC33AB">
        <w:pPr>
          <w:pStyle w:val="Footer"/>
          <w:framePr w:wrap="none" w:vAnchor="text" w:hAnchor="margin" w:xAlign="right" w:y="1"/>
          <w:rPr>
            <w:rStyle w:val="PageNumber"/>
          </w:rPr>
        </w:pPr>
        <w:r w:rsidRPr="36D6926A">
          <w:rPr>
            <w:rStyle w:val="PageNumber"/>
          </w:rPr>
          <w:fldChar w:fldCharType="begin"/>
        </w:r>
        <w:r w:rsidRPr="36D6926A">
          <w:rPr>
            <w:rStyle w:val="PageNumber"/>
          </w:rPr>
          <w:instrText xml:space="preserve"> PAGE </w:instrText>
        </w:r>
        <w:r w:rsidRPr="36D6926A">
          <w:rPr>
            <w:rStyle w:val="PageNumber"/>
          </w:rPr>
          <w:fldChar w:fldCharType="separate"/>
        </w:r>
        <w:r w:rsidRPr="36D6926A">
          <w:rPr>
            <w:rStyle w:val="PageNumber"/>
          </w:rPr>
          <w:fldChar w:fldCharType="end"/>
        </w:r>
      </w:p>
    </w:sdtContent>
  </w:sdt>
  <w:p w:rsidR="004D7898" w:rsidP="00EC33A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7898">
    <w:pPr>
      <w:pStyle w:val="Footer"/>
    </w:pPr>
  </w:p>
  <w:tbl>
    <w:tblPr>
      <w:tblW w:w="0" w:type="auto"/>
      <w:tblLook w:val="0600"/>
    </w:tblPr>
    <w:tblGrid>
      <w:gridCol w:w="7650"/>
      <w:gridCol w:w="1781"/>
    </w:tblGrid>
    <w:tr w:rsidTr="00AC4C62">
      <w:tblPrEx>
        <w:tblW w:w="0" w:type="auto"/>
        <w:tblLook w:val="0600"/>
      </w:tblPrEx>
      <w:tc>
        <w:tcPr>
          <w:tcW w:w="7650" w:type="dxa"/>
        </w:tcPr>
        <w:p w:rsidR="004D7898" w:rsidP="00962B33">
          <w:pPr>
            <w:pStyle w:val="Footer"/>
          </w:pPr>
        </w:p>
      </w:tc>
      <w:tc>
        <w:tcPr>
          <w:tcW w:w="1781" w:type="dxa"/>
        </w:tcPr>
        <w:p w:rsidR="004D7898" w:rsidP="00C140B9">
          <w:pPr>
            <w:pStyle w:val="Footer"/>
            <w:jc w:val="right"/>
          </w:pPr>
        </w:p>
      </w:tc>
    </w:tr>
  </w:tbl>
  <w:p w:rsidR="004D789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7898" w:rsidP="00EC33AB">
    <w:pPr>
      <w:pStyle w:val="Header"/>
      <w:jc w:val="right"/>
    </w:pPr>
  </w:p>
  <w:p w:rsidR="004D7898" w:rsidP="00EC33A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192D794"/>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F3C05BF6"/>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0089335C"/>
    <w:multiLevelType w:val="hybridMultilevel"/>
    <w:tmpl w:val="04988254"/>
    <w:lvl w:ilvl="0">
      <w:start w:val="1"/>
      <w:numFmt w:val="bullet"/>
      <w:lvlText w:val=""/>
      <w:lvlJc w:val="left"/>
      <w:pPr>
        <w:ind w:left="1485" w:hanging="360"/>
      </w:pPr>
      <w:rPr>
        <w:rFonts w:ascii="Symbol" w:hAnsi="Symbol" w:hint="default"/>
      </w:rPr>
    </w:lvl>
    <w:lvl w:ilvl="1" w:tentative="1">
      <w:start w:val="1"/>
      <w:numFmt w:val="bullet"/>
      <w:lvlText w:val="o"/>
      <w:lvlJc w:val="left"/>
      <w:pPr>
        <w:ind w:left="2205" w:hanging="360"/>
      </w:pPr>
      <w:rPr>
        <w:rFonts w:ascii="Courier New" w:hAnsi="Courier New" w:cs="Courier New" w:hint="default"/>
      </w:rPr>
    </w:lvl>
    <w:lvl w:ilvl="2" w:tentative="1">
      <w:start w:val="1"/>
      <w:numFmt w:val="bullet"/>
      <w:lvlText w:val=""/>
      <w:lvlJc w:val="left"/>
      <w:pPr>
        <w:ind w:left="2925" w:hanging="360"/>
      </w:pPr>
      <w:rPr>
        <w:rFonts w:ascii="Wingdings" w:hAnsi="Wingdings" w:hint="default"/>
      </w:rPr>
    </w:lvl>
    <w:lvl w:ilvl="3" w:tentative="1">
      <w:start w:val="1"/>
      <w:numFmt w:val="bullet"/>
      <w:lvlText w:val=""/>
      <w:lvlJc w:val="left"/>
      <w:pPr>
        <w:ind w:left="3645" w:hanging="360"/>
      </w:pPr>
      <w:rPr>
        <w:rFonts w:ascii="Symbol" w:hAnsi="Symbol" w:hint="default"/>
      </w:rPr>
    </w:lvl>
    <w:lvl w:ilvl="4" w:tentative="1">
      <w:start w:val="1"/>
      <w:numFmt w:val="bullet"/>
      <w:lvlText w:val="o"/>
      <w:lvlJc w:val="left"/>
      <w:pPr>
        <w:ind w:left="4365" w:hanging="360"/>
      </w:pPr>
      <w:rPr>
        <w:rFonts w:ascii="Courier New" w:hAnsi="Courier New" w:cs="Courier New" w:hint="default"/>
      </w:rPr>
    </w:lvl>
    <w:lvl w:ilvl="5" w:tentative="1">
      <w:start w:val="1"/>
      <w:numFmt w:val="bullet"/>
      <w:lvlText w:val=""/>
      <w:lvlJc w:val="left"/>
      <w:pPr>
        <w:ind w:left="5085" w:hanging="360"/>
      </w:pPr>
      <w:rPr>
        <w:rFonts w:ascii="Wingdings" w:hAnsi="Wingdings" w:hint="default"/>
      </w:rPr>
    </w:lvl>
    <w:lvl w:ilvl="6" w:tentative="1">
      <w:start w:val="1"/>
      <w:numFmt w:val="bullet"/>
      <w:lvlText w:val=""/>
      <w:lvlJc w:val="left"/>
      <w:pPr>
        <w:ind w:left="5805" w:hanging="360"/>
      </w:pPr>
      <w:rPr>
        <w:rFonts w:ascii="Symbol" w:hAnsi="Symbol" w:hint="default"/>
      </w:rPr>
    </w:lvl>
    <w:lvl w:ilvl="7" w:tentative="1">
      <w:start w:val="1"/>
      <w:numFmt w:val="bullet"/>
      <w:lvlText w:val="o"/>
      <w:lvlJc w:val="left"/>
      <w:pPr>
        <w:ind w:left="6525" w:hanging="360"/>
      </w:pPr>
      <w:rPr>
        <w:rFonts w:ascii="Courier New" w:hAnsi="Courier New" w:cs="Courier New" w:hint="default"/>
      </w:rPr>
    </w:lvl>
    <w:lvl w:ilvl="8" w:tentative="1">
      <w:start w:val="1"/>
      <w:numFmt w:val="bullet"/>
      <w:lvlText w:val=""/>
      <w:lvlJc w:val="left"/>
      <w:pPr>
        <w:ind w:left="7245" w:hanging="360"/>
      </w:pPr>
      <w:rPr>
        <w:rFonts w:ascii="Wingdings" w:hAnsi="Wingdings" w:hint="default"/>
      </w:rPr>
    </w:lvl>
  </w:abstractNum>
  <w:abstractNum w:abstractNumId="3">
    <w:nsid w:val="01931595"/>
    <w:multiLevelType w:val="hybridMultilevel"/>
    <w:tmpl w:val="719E3544"/>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4">
    <w:nsid w:val="050B27A0"/>
    <w:multiLevelType w:val="hybridMultilevel"/>
    <w:tmpl w:val="CBE4A7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9646F2F"/>
    <w:multiLevelType w:val="hybridMultilevel"/>
    <w:tmpl w:val="44CA7E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0B527D07"/>
    <w:multiLevelType w:val="hybridMultilevel"/>
    <w:tmpl w:val="8160D4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FCA649B"/>
    <w:multiLevelType w:val="hybridMultilevel"/>
    <w:tmpl w:val="A61400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61845D3"/>
    <w:multiLevelType w:val="hybridMultilevel"/>
    <w:tmpl w:val="CA0CBE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DFA43C7"/>
    <w:multiLevelType w:val="hybridMultilevel"/>
    <w:tmpl w:val="FB349C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E154E7F"/>
    <w:multiLevelType w:val="hybridMultilevel"/>
    <w:tmpl w:val="4B1AAA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240236E"/>
    <w:multiLevelType w:val="hybridMultilevel"/>
    <w:tmpl w:val="E76CCB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9E26B60"/>
    <w:multiLevelType w:val="hybridMultilevel"/>
    <w:tmpl w:val="2D6609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1EFE2F8"/>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397F6DDE"/>
    <w:multiLevelType w:val="hybridMultilevel"/>
    <w:tmpl w:val="4998E0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24F1716"/>
    <w:multiLevelType w:val="hybridMultilevel"/>
    <w:tmpl w:val="D7E028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2EA4A7A"/>
    <w:multiLevelType w:val="hybridMultilevel"/>
    <w:tmpl w:val="C2C2FD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3990C13"/>
    <w:multiLevelType w:val="hybridMultilevel"/>
    <w:tmpl w:val="C8A01F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ABF470B"/>
    <w:multiLevelType w:val="hybridMultilevel"/>
    <w:tmpl w:val="4AFE51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EC401D6"/>
    <w:multiLevelType w:val="hybridMultilevel"/>
    <w:tmpl w:val="28EC6E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F827608"/>
    <w:multiLevelType w:val="hybridMultilevel"/>
    <w:tmpl w:val="CB5887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47B2B87"/>
    <w:multiLevelType w:val="hybridMultilevel"/>
    <w:tmpl w:val="1B8C4D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8B31A3F"/>
    <w:multiLevelType w:val="hybridMultilevel"/>
    <w:tmpl w:val="0FB4B5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3FD32DC"/>
    <w:multiLevelType w:val="hybridMultilevel"/>
    <w:tmpl w:val="D7D0EE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88215D4"/>
    <w:multiLevelType w:val="hybridMultilevel"/>
    <w:tmpl w:val="2C9848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B6C4E8C"/>
    <w:multiLevelType w:val="hybridMultilevel"/>
    <w:tmpl w:val="A74EE44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B9340A7"/>
    <w:multiLevelType w:val="hybridMultilevel"/>
    <w:tmpl w:val="F0BC16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BC405E1"/>
    <w:multiLevelType w:val="hybridMultilevel"/>
    <w:tmpl w:val="758040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C360F75"/>
    <w:multiLevelType w:val="hybridMultilevel"/>
    <w:tmpl w:val="4C085E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C747489"/>
    <w:multiLevelType w:val="hybridMultilevel"/>
    <w:tmpl w:val="119A7C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ECE2FEE"/>
    <w:multiLevelType w:val="hybridMultilevel"/>
    <w:tmpl w:val="00B212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FDF0E3C"/>
    <w:multiLevelType w:val="hybridMultilevel"/>
    <w:tmpl w:val="6D2EE5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0720537"/>
    <w:multiLevelType w:val="hybridMultilevel"/>
    <w:tmpl w:val="7A22EAAA"/>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33">
    <w:nsid w:val="75EB0ACE"/>
    <w:multiLevelType w:val="hybridMultilevel"/>
    <w:tmpl w:val="6A06E6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D4D483C"/>
    <w:multiLevelType w:val="hybridMultilevel"/>
    <w:tmpl w:val="B1E2D4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34"/>
  </w:num>
  <w:num w:numId="3">
    <w:abstractNumId w:val="12"/>
  </w:num>
  <w:num w:numId="4">
    <w:abstractNumId w:val="31"/>
  </w:num>
  <w:num w:numId="5">
    <w:abstractNumId w:val="33"/>
  </w:num>
  <w:num w:numId="6">
    <w:abstractNumId w:val="9"/>
  </w:num>
  <w:num w:numId="7">
    <w:abstractNumId w:val="32"/>
  </w:num>
  <w:num w:numId="8">
    <w:abstractNumId w:val="29"/>
  </w:num>
  <w:num w:numId="9">
    <w:abstractNumId w:val="19"/>
  </w:num>
  <w:num w:numId="10">
    <w:abstractNumId w:val="17"/>
  </w:num>
  <w:num w:numId="11">
    <w:abstractNumId w:val="25"/>
  </w:num>
  <w:num w:numId="12">
    <w:abstractNumId w:val="30"/>
  </w:num>
  <w:num w:numId="13">
    <w:abstractNumId w:val="3"/>
  </w:num>
  <w:num w:numId="14">
    <w:abstractNumId w:val="2"/>
  </w:num>
  <w:num w:numId="15">
    <w:abstractNumId w:val="20"/>
  </w:num>
  <w:num w:numId="16">
    <w:abstractNumId w:val="14"/>
  </w:num>
  <w:num w:numId="17">
    <w:abstractNumId w:val="8"/>
  </w:num>
  <w:num w:numId="18">
    <w:abstractNumId w:val="23"/>
  </w:num>
  <w:num w:numId="19">
    <w:abstractNumId w:val="10"/>
  </w:num>
  <w:num w:numId="20">
    <w:abstractNumId w:val="26"/>
  </w:num>
  <w:num w:numId="21">
    <w:abstractNumId w:val="15"/>
  </w:num>
  <w:num w:numId="22">
    <w:abstractNumId w:val="4"/>
  </w:num>
  <w:num w:numId="23">
    <w:abstractNumId w:val="6"/>
  </w:num>
  <w:num w:numId="24">
    <w:abstractNumId w:val="7"/>
  </w:num>
  <w:num w:numId="25">
    <w:abstractNumId w:val="27"/>
  </w:num>
  <w:num w:numId="26">
    <w:abstractNumId w:val="11"/>
  </w:num>
  <w:num w:numId="27">
    <w:abstractNumId w:val="24"/>
  </w:num>
  <w:num w:numId="28">
    <w:abstractNumId w:val="13"/>
  </w:num>
  <w:num w:numId="29">
    <w:abstractNumId w:val="16"/>
  </w:num>
  <w:num w:numId="30">
    <w:abstractNumId w:val="21"/>
  </w:num>
  <w:num w:numId="31">
    <w:abstractNumId w:val="0"/>
  </w:num>
  <w:num w:numId="32">
    <w:abstractNumId w:val="1"/>
  </w:num>
  <w:num w:numId="33">
    <w:abstractNumId w:val="22"/>
  </w:num>
  <w:num w:numId="34">
    <w:abstractNumId w:val="28"/>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SortMethod w:val="name"/>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2247"/>
    <w:pPr>
      <w:spacing w:after="240" w:line="264" w:lineRule="auto"/>
    </w:pPr>
    <w:rPr>
      <w:rFonts w:ascii="Arial" w:hAnsi="Arial"/>
      <w:sz w:val="24"/>
    </w:rPr>
  </w:style>
  <w:style w:type="paragraph" w:styleId="Heading1">
    <w:name w:val="heading 1"/>
    <w:basedOn w:val="Normal"/>
    <w:next w:val="Normal"/>
    <w:link w:val="Heading1Char"/>
    <w:uiPriority w:val="9"/>
    <w:qFormat/>
    <w:rsid w:val="00AF4FD1"/>
    <w:pPr>
      <w:keepNext/>
      <w:keepLines/>
      <w:spacing w:before="360" w:after="80"/>
      <w:outlineLvl w:val="0"/>
    </w:pPr>
    <w:rPr>
      <w:rFonts w:ascii="Times New Roman" w:hAnsi="Times New Roman" w:eastAsiaTheme="majorEastAsia" w:cstheme="majorBidi"/>
      <w:color w:val="00334D" w:themeColor="accent1"/>
      <w:sz w:val="48"/>
      <w:szCs w:val="40"/>
    </w:rPr>
  </w:style>
  <w:style w:type="paragraph" w:styleId="Heading2">
    <w:name w:val="heading 2"/>
    <w:basedOn w:val="Heading1"/>
    <w:next w:val="Normal"/>
    <w:link w:val="Heading2Char"/>
    <w:autoRedefine/>
    <w:uiPriority w:val="9"/>
    <w:unhideWhenUsed/>
    <w:qFormat/>
    <w:rsid w:val="00451A1E"/>
    <w:pPr>
      <w:spacing w:before="240"/>
      <w:outlineLvl w:val="1"/>
    </w:pPr>
    <w:rPr>
      <w:rFonts w:ascii="Arial" w:hAnsi="Arial" w:cs="Arial"/>
      <w:sz w:val="36"/>
      <w:szCs w:val="32"/>
    </w:rPr>
  </w:style>
  <w:style w:type="paragraph" w:styleId="Heading3">
    <w:name w:val="heading 3"/>
    <w:basedOn w:val="Normal"/>
    <w:next w:val="Normal"/>
    <w:link w:val="Heading3Char"/>
    <w:uiPriority w:val="9"/>
    <w:unhideWhenUsed/>
    <w:qFormat/>
    <w:rsid w:val="001E10C7"/>
    <w:pPr>
      <w:keepNext/>
      <w:keepLines/>
      <w:spacing w:before="240" w:after="80"/>
      <w:outlineLvl w:val="2"/>
    </w:pPr>
    <w:rPr>
      <w:rFonts w:eastAsiaTheme="majorEastAsia" w:cstheme="majorBidi"/>
      <w:color w:val="002539" w:themeColor="accent1" w:themeShade="BF"/>
      <w:sz w:val="28"/>
      <w:szCs w:val="28"/>
    </w:rPr>
  </w:style>
  <w:style w:type="paragraph" w:styleId="Heading4">
    <w:name w:val="heading 4"/>
    <w:basedOn w:val="Normal"/>
    <w:next w:val="Normal"/>
    <w:link w:val="Heading4Char"/>
    <w:uiPriority w:val="9"/>
    <w:unhideWhenUsed/>
    <w:qFormat/>
    <w:rsid w:val="001E10C7"/>
    <w:pPr>
      <w:keepNext/>
      <w:keepLines/>
      <w:spacing w:before="240" w:after="80"/>
      <w:outlineLvl w:val="3"/>
    </w:pPr>
    <w:rPr>
      <w:rFonts w:eastAsiaTheme="majorEastAsia" w:cstheme="majorBidi"/>
      <w:iCs/>
      <w:color w:val="00334D" w:themeColor="accent1"/>
    </w:rPr>
  </w:style>
  <w:style w:type="paragraph" w:styleId="Heading5">
    <w:name w:val="heading 5"/>
    <w:basedOn w:val="Normal"/>
    <w:next w:val="Normal"/>
    <w:link w:val="Heading5Char"/>
    <w:uiPriority w:val="9"/>
    <w:semiHidden/>
    <w:unhideWhenUsed/>
    <w:qFormat/>
    <w:rsid w:val="36D6926A"/>
    <w:pPr>
      <w:keepNext/>
      <w:keepLines/>
      <w:spacing w:before="80" w:after="40"/>
      <w:outlineLvl w:val="4"/>
    </w:pPr>
    <w:rPr>
      <w:rFonts w:eastAsiaTheme="majorEastAsia" w:cstheme="majorBidi"/>
      <w:color w:val="002539" w:themeColor="accent1" w:themeShade="BF"/>
    </w:rPr>
  </w:style>
  <w:style w:type="paragraph" w:styleId="Heading6">
    <w:name w:val="heading 6"/>
    <w:basedOn w:val="Normal"/>
    <w:next w:val="Normal"/>
    <w:link w:val="Heading6Char"/>
    <w:uiPriority w:val="9"/>
    <w:semiHidden/>
    <w:unhideWhenUsed/>
    <w:qFormat/>
    <w:rsid w:val="36D692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36D692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36D6926A"/>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36D6926A"/>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FD1"/>
    <w:rPr>
      <w:rFonts w:ascii="Times New Roman" w:hAnsi="Times New Roman" w:eastAsiaTheme="majorEastAsia" w:cstheme="majorBidi"/>
      <w:color w:val="00334D" w:themeColor="accent1"/>
      <w:sz w:val="48"/>
      <w:szCs w:val="40"/>
    </w:rPr>
  </w:style>
  <w:style w:type="character" w:customStyle="1" w:styleId="Heading2Char">
    <w:name w:val="Heading 2 Char"/>
    <w:basedOn w:val="DefaultParagraphFont"/>
    <w:link w:val="Heading2"/>
    <w:uiPriority w:val="9"/>
    <w:rsid w:val="00451A1E"/>
    <w:rPr>
      <w:rFonts w:ascii="Arial" w:hAnsi="Arial" w:eastAsiaTheme="majorEastAsia" w:cs="Arial"/>
      <w:color w:val="002539" w:themeColor="accent1" w:themeShade="BF"/>
      <w:sz w:val="36"/>
      <w:szCs w:val="32"/>
    </w:rPr>
  </w:style>
  <w:style w:type="character" w:customStyle="1" w:styleId="Heading3Char">
    <w:name w:val="Heading 3 Char"/>
    <w:basedOn w:val="DefaultParagraphFont"/>
    <w:link w:val="Heading3"/>
    <w:uiPriority w:val="9"/>
    <w:rsid w:val="001E10C7"/>
    <w:rPr>
      <w:rFonts w:ascii="Arial" w:hAnsi="Arial" w:eastAsiaTheme="majorEastAsia" w:cstheme="majorBidi"/>
      <w:color w:val="002539" w:themeColor="accent1" w:themeShade="BF"/>
      <w:sz w:val="28"/>
      <w:szCs w:val="28"/>
    </w:rPr>
  </w:style>
  <w:style w:type="character" w:customStyle="1" w:styleId="Heading4Char">
    <w:name w:val="Heading 4 Char"/>
    <w:basedOn w:val="DefaultParagraphFont"/>
    <w:link w:val="Heading4"/>
    <w:uiPriority w:val="9"/>
    <w:rsid w:val="001E10C7"/>
    <w:rPr>
      <w:rFonts w:ascii="Arial" w:hAnsi="Arial" w:eastAsiaTheme="majorEastAsia" w:cstheme="majorBidi"/>
      <w:iCs/>
      <w:color w:val="00334D" w:themeColor="accent1"/>
      <w:sz w:val="24"/>
    </w:rPr>
  </w:style>
  <w:style w:type="character" w:customStyle="1" w:styleId="Heading5Char">
    <w:name w:val="Heading 5 Char"/>
    <w:basedOn w:val="DefaultParagraphFont"/>
    <w:link w:val="Heading5"/>
    <w:uiPriority w:val="9"/>
    <w:semiHidden/>
    <w:rsid w:val="008227EE"/>
    <w:rPr>
      <w:rFonts w:eastAsiaTheme="majorEastAsia" w:cstheme="majorBidi"/>
      <w:color w:val="002539" w:themeColor="accent1" w:themeShade="BF"/>
    </w:rPr>
  </w:style>
  <w:style w:type="character" w:customStyle="1" w:styleId="Heading6Char">
    <w:name w:val="Heading 6 Char"/>
    <w:basedOn w:val="DefaultParagraphFont"/>
    <w:link w:val="Heading6"/>
    <w:uiPriority w:val="9"/>
    <w:semiHidden/>
    <w:rsid w:val="008227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7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7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7EE"/>
    <w:rPr>
      <w:rFonts w:eastAsiaTheme="majorEastAsia" w:cstheme="majorBidi"/>
      <w:color w:val="272727" w:themeColor="text1" w:themeTint="D8"/>
    </w:rPr>
  </w:style>
  <w:style w:type="paragraph" w:styleId="Quote">
    <w:name w:val="Quote"/>
    <w:basedOn w:val="Normal"/>
    <w:next w:val="Normal"/>
    <w:link w:val="QuoteChar"/>
    <w:uiPriority w:val="29"/>
    <w:qFormat/>
    <w:rsid w:val="00065998"/>
    <w:pPr>
      <w:spacing w:before="160"/>
      <w:ind w:left="567" w:right="567"/>
    </w:pPr>
    <w:rPr>
      <w:iCs/>
      <w:color w:val="000000" w:themeColor="text1"/>
    </w:rPr>
  </w:style>
  <w:style w:type="character" w:customStyle="1" w:styleId="QuoteChar">
    <w:name w:val="Quote Char"/>
    <w:basedOn w:val="DefaultParagraphFont"/>
    <w:link w:val="Quote"/>
    <w:uiPriority w:val="29"/>
    <w:rsid w:val="00065998"/>
    <w:rPr>
      <w:rFonts w:ascii="Arial" w:hAnsi="Arial"/>
      <w:iCs/>
      <w:color w:val="000000" w:themeColor="text1"/>
      <w:sz w:val="24"/>
    </w:rPr>
  </w:style>
  <w:style w:type="paragraph" w:styleId="ListParagraph">
    <w:name w:val="List Paragraph"/>
    <w:basedOn w:val="Normal"/>
    <w:uiPriority w:val="34"/>
    <w:qFormat/>
    <w:rsid w:val="36D6926A"/>
    <w:pPr>
      <w:ind w:left="720"/>
      <w:contextualSpacing/>
    </w:pPr>
  </w:style>
  <w:style w:type="character" w:styleId="IntenseEmphasis">
    <w:name w:val="Intense Emphasis"/>
    <w:basedOn w:val="DefaultParagraphFont"/>
    <w:uiPriority w:val="21"/>
    <w:qFormat/>
    <w:rsid w:val="008227EE"/>
    <w:rPr>
      <w:i/>
      <w:iCs/>
      <w:color w:val="002539" w:themeColor="accent1" w:themeShade="BF"/>
    </w:rPr>
  </w:style>
  <w:style w:type="character" w:styleId="BookTitle">
    <w:name w:val="Book Title"/>
    <w:basedOn w:val="DefaultParagraphFont"/>
    <w:uiPriority w:val="33"/>
    <w:qFormat/>
    <w:rsid w:val="00951005"/>
    <w:rPr>
      <w:rFonts w:ascii="Arial" w:hAnsi="Arial"/>
      <w:b/>
      <w:bCs/>
      <w:i w:val="0"/>
      <w:iCs/>
      <w:spacing w:val="5"/>
    </w:rPr>
  </w:style>
  <w:style w:type="paragraph" w:styleId="TOC1">
    <w:name w:val="toc 1"/>
    <w:basedOn w:val="Normal"/>
    <w:next w:val="Normal"/>
    <w:autoRedefine/>
    <w:uiPriority w:val="39"/>
    <w:unhideWhenUsed/>
    <w:rsid w:val="0071518E"/>
    <w:pPr>
      <w:spacing w:after="100"/>
    </w:pPr>
  </w:style>
  <w:style w:type="paragraph" w:styleId="TOC2">
    <w:name w:val="toc 2"/>
    <w:basedOn w:val="Normal"/>
    <w:next w:val="Normal"/>
    <w:autoRedefine/>
    <w:uiPriority w:val="39"/>
    <w:unhideWhenUsed/>
    <w:rsid w:val="0071518E"/>
    <w:pPr>
      <w:spacing w:after="100"/>
      <w:ind w:left="240"/>
    </w:pPr>
  </w:style>
  <w:style w:type="paragraph" w:styleId="Header">
    <w:name w:val="header"/>
    <w:basedOn w:val="Normal"/>
    <w:link w:val="HeaderChar"/>
    <w:uiPriority w:val="99"/>
    <w:unhideWhenUsed/>
    <w:rsid w:val="36D692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7EE"/>
  </w:style>
  <w:style w:type="paragraph" w:styleId="Footer">
    <w:name w:val="footer"/>
    <w:basedOn w:val="Normal"/>
    <w:link w:val="FooterChar"/>
    <w:uiPriority w:val="99"/>
    <w:unhideWhenUsed/>
    <w:rsid w:val="36D692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7EE"/>
  </w:style>
  <w:style w:type="character" w:styleId="PageNumber">
    <w:name w:val="page number"/>
    <w:basedOn w:val="DefaultParagraphFont"/>
    <w:rsid w:val="008227EE"/>
  </w:style>
  <w:style w:type="paragraph" w:styleId="CommentSubject">
    <w:name w:val="annotation subject"/>
    <w:basedOn w:val="Normal"/>
    <w:next w:val="Normal"/>
    <w:link w:val="CommentSubjectChar"/>
    <w:uiPriority w:val="99"/>
    <w:semiHidden/>
    <w:unhideWhenUsed/>
    <w:rsid w:val="00873C15"/>
    <w:pPr>
      <w:spacing w:line="240" w:lineRule="auto"/>
    </w:pPr>
    <w:rPr>
      <w:rFonts w:asciiTheme="minorHAnsi" w:hAnsiTheme="minorHAnsi"/>
      <w:b/>
      <w:bCs/>
      <w:sz w:val="20"/>
      <w:szCs w:val="20"/>
    </w:rPr>
  </w:style>
  <w:style w:type="character" w:customStyle="1" w:styleId="CommentSubjectChar">
    <w:name w:val="Comment Subject Char"/>
    <w:basedOn w:val="DefaultParagraphFont"/>
    <w:link w:val="CommentSubject"/>
    <w:uiPriority w:val="99"/>
    <w:semiHidden/>
    <w:rsid w:val="00873C15"/>
    <w:rPr>
      <w:rFonts w:ascii="Franklin Gothic Book" w:eastAsia="Times New Roman" w:hAnsi="Franklin Gothic Book" w:cs="Times New Roman"/>
      <w:b/>
      <w:bCs/>
      <w:kern w:val="0"/>
      <w:sz w:val="20"/>
      <w:szCs w:val="20"/>
      <w:lang w:val="en-US"/>
    </w:rPr>
  </w:style>
  <w:style w:type="character" w:styleId="Hyperlink">
    <w:name w:val="Hyperlink"/>
    <w:basedOn w:val="DefaultParagraphFont"/>
    <w:uiPriority w:val="99"/>
    <w:unhideWhenUsed/>
    <w:rsid w:val="006D05C4"/>
    <w:rPr>
      <w:color w:val="005E51"/>
      <w:u w:val="single"/>
    </w:rPr>
  </w:style>
  <w:style w:type="character" w:customStyle="1" w:styleId="UnresolvedMention1">
    <w:name w:val="Unresolved Mention1"/>
    <w:basedOn w:val="DefaultParagraphFont"/>
    <w:uiPriority w:val="99"/>
    <w:semiHidden/>
    <w:unhideWhenUsed/>
    <w:rsid w:val="00D40A9E"/>
    <w:rPr>
      <w:color w:val="605E5C"/>
      <w:shd w:val="clear" w:color="auto" w:fill="E1DFDD"/>
    </w:rPr>
  </w:style>
  <w:style w:type="paragraph" w:styleId="FootnoteText">
    <w:name w:val="footnote text"/>
    <w:basedOn w:val="Normal"/>
    <w:link w:val="FootnoteTextChar"/>
    <w:uiPriority w:val="99"/>
    <w:semiHidden/>
    <w:unhideWhenUsed/>
    <w:rsid w:val="00C460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60C1"/>
    <w:rPr>
      <w:sz w:val="20"/>
      <w:szCs w:val="20"/>
    </w:rPr>
  </w:style>
  <w:style w:type="character" w:styleId="FootnoteReference">
    <w:name w:val="footnote reference"/>
    <w:basedOn w:val="DefaultParagraphFont"/>
    <w:uiPriority w:val="99"/>
    <w:semiHidden/>
    <w:unhideWhenUsed/>
    <w:rsid w:val="00C460C1"/>
    <w:rPr>
      <w:vertAlign w:val="superscript"/>
    </w:rPr>
  </w:style>
  <w:style w:type="character" w:styleId="FollowedHyperlink">
    <w:name w:val="FollowedHyperlink"/>
    <w:basedOn w:val="DefaultParagraphFont"/>
    <w:uiPriority w:val="99"/>
    <w:semiHidden/>
    <w:unhideWhenUsed/>
    <w:rsid w:val="00B76916"/>
    <w:rPr>
      <w:color w:val="4EA72E" w:themeColor="followedHyperlink"/>
      <w:u w:val="single"/>
    </w:rPr>
  </w:style>
  <w:style w:type="paragraph" w:customStyle="1" w:styleId="Highlightedbox-bodytext">
    <w:name w:val="Highlighted box - body text"/>
    <w:basedOn w:val="Normal"/>
    <w:link w:val="Highlightedbox-bodytextChar"/>
    <w:qFormat/>
    <w:rsid w:val="00B85954"/>
    <w:pPr>
      <w:pBdr>
        <w:top w:val="single" w:sz="48" w:space="0" w:color="FFFFFF"/>
        <w:left w:val="single" w:sz="48" w:space="0" w:color="FFFFFF"/>
        <w:bottom w:val="single" w:sz="48" w:space="0" w:color="FFFFFF"/>
        <w:right w:val="single" w:sz="48" w:space="0" w:color="FFFFFF"/>
      </w:pBdr>
      <w:shd w:val="clear" w:color="auto" w:fill="FFFFFF"/>
      <w:ind w:left="567" w:right="567"/>
      <w:contextualSpacing/>
    </w:pPr>
  </w:style>
  <w:style w:type="table" w:styleId="TableGrid">
    <w:name w:val="Table Grid"/>
    <w:basedOn w:val="TableNormal"/>
    <w:uiPriority w:val="39"/>
    <w:rsid w:val="00B47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CBE7FD" w:themeFill="background2"/>
      </w:tcPr>
    </w:tblStylePr>
    <w:tblStylePr w:type="firstCol">
      <w:rPr>
        <w:b/>
      </w:rPr>
      <w:tblPr/>
      <w:tcPr>
        <w:shd w:val="clear" w:color="auto" w:fill="CBE7FD" w:themeFill="background2"/>
      </w:tcPr>
    </w:tblStylePr>
  </w:style>
  <w:style w:type="paragraph" w:styleId="TOC3">
    <w:name w:val="toc 3"/>
    <w:basedOn w:val="Normal"/>
    <w:next w:val="Normal"/>
    <w:autoRedefine/>
    <w:uiPriority w:val="39"/>
    <w:unhideWhenUsed/>
    <w:rsid w:val="0071518E"/>
    <w:pPr>
      <w:spacing w:after="100"/>
      <w:ind w:left="480"/>
    </w:pPr>
  </w:style>
  <w:style w:type="paragraph" w:styleId="TOCHeading">
    <w:name w:val="TOC Heading"/>
    <w:basedOn w:val="Heading1"/>
    <w:next w:val="Normal"/>
    <w:uiPriority w:val="39"/>
    <w:unhideWhenUsed/>
    <w:qFormat/>
    <w:rsid w:val="0024751E"/>
    <w:pPr>
      <w:spacing w:before="240" w:after="0" w:line="259" w:lineRule="auto"/>
      <w:outlineLvl w:val="9"/>
    </w:pPr>
    <w:rPr>
      <w:rFonts w:asciiTheme="majorHAnsi" w:hAnsiTheme="majorHAnsi"/>
      <w:kern w:val="0"/>
      <w:sz w:val="32"/>
      <w:szCs w:val="32"/>
      <w:lang w:eastAsia="en-GB"/>
    </w:rPr>
  </w:style>
  <w:style w:type="character" w:styleId="Emphasis">
    <w:name w:val="Emphasis"/>
    <w:basedOn w:val="DefaultParagraphFont"/>
    <w:uiPriority w:val="20"/>
    <w:qFormat/>
    <w:rsid w:val="007F7D3F"/>
    <w:rPr>
      <w:b/>
      <w:i w:val="0"/>
      <w:iCs/>
    </w:rPr>
  </w:style>
  <w:style w:type="table" w:customStyle="1" w:styleId="BritishAcademytable">
    <w:name w:val="British Academy table"/>
    <w:basedOn w:val="TableNormal"/>
    <w:uiPriority w:val="99"/>
    <w:rsid w:val="00B8179A"/>
    <w:pPr>
      <w:spacing w:after="0" w:line="240" w:lineRule="auto"/>
    </w:pPr>
    <w:rPr>
      <w:rFonts w:ascii="Arial" w:hAnsi="Arial"/>
      <w:sz w:val="24"/>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rPr>
    </w:tblStylePr>
    <w:tblStylePr w:type="firstCol">
      <w:rPr>
        <w:b/>
      </w:rPr>
    </w:tblStylePr>
  </w:style>
  <w:style w:type="character" w:customStyle="1" w:styleId="Highlightedbox-bodytextChar">
    <w:name w:val="Highlighted box - body text Char"/>
    <w:basedOn w:val="DefaultParagraphFont"/>
    <w:link w:val="Highlightedbox-bodytext"/>
    <w:rsid w:val="00B85954"/>
    <w:rPr>
      <w:rFonts w:ascii="Arial" w:hAnsi="Arial"/>
      <w:sz w:val="24"/>
      <w:shd w:val="clear" w:color="auto" w:fill="FFFFFF"/>
    </w:rPr>
  </w:style>
  <w:style w:type="paragraph" w:styleId="Revision">
    <w:name w:val="Revision"/>
    <w:hidden/>
    <w:uiPriority w:val="99"/>
    <w:semiHidden/>
    <w:rsid w:val="001A32D7"/>
    <w:pPr>
      <w:spacing w:after="0" w:line="240" w:lineRule="auto"/>
    </w:pPr>
    <w:rPr>
      <w:rFonts w:ascii="Arial" w:hAnsi="Arial"/>
      <w:sz w:val="24"/>
    </w:rPr>
  </w:style>
  <w:style w:type="character" w:styleId="CommentReference">
    <w:name w:val="annotation reference"/>
    <w:basedOn w:val="DefaultParagraphFont"/>
    <w:semiHidden/>
    <w:unhideWhenUsed/>
    <w:rsid w:val="00355312"/>
    <w:rPr>
      <w:sz w:val="16"/>
      <w:szCs w:val="16"/>
    </w:rPr>
  </w:style>
  <w:style w:type="paragraph" w:styleId="CommentText">
    <w:name w:val="annotation text"/>
    <w:basedOn w:val="Normal"/>
    <w:link w:val="CommentTextChar"/>
    <w:unhideWhenUsed/>
    <w:rsid w:val="00355312"/>
    <w:pPr>
      <w:spacing w:line="240" w:lineRule="auto"/>
    </w:pPr>
    <w:rPr>
      <w:sz w:val="20"/>
      <w:szCs w:val="20"/>
    </w:rPr>
  </w:style>
  <w:style w:type="character" w:customStyle="1" w:styleId="CommentTextChar">
    <w:name w:val="Comment Text Char"/>
    <w:basedOn w:val="DefaultParagraphFont"/>
    <w:link w:val="CommentText"/>
    <w:rsid w:val="00355312"/>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Custom 2">
      <a:dk1>
        <a:sysClr val="windowText" lastClr="000000"/>
      </a:dk1>
      <a:lt1>
        <a:srgbClr val="F5EFE9"/>
      </a:lt1>
      <a:dk2>
        <a:srgbClr val="00334D"/>
      </a:dk2>
      <a:lt2>
        <a:srgbClr val="CBE7FD"/>
      </a:lt2>
      <a:accent1>
        <a:srgbClr val="00334D"/>
      </a:accent1>
      <a:accent2>
        <a:srgbClr val="990000"/>
      </a:accent2>
      <a:accent3>
        <a:srgbClr val="6B104D"/>
      </a:accent3>
      <a:accent4>
        <a:srgbClr val="00334D"/>
      </a:accent4>
      <a:accent5>
        <a:srgbClr val="005E51"/>
      </a:accent5>
      <a:accent6>
        <a:srgbClr val="4EA72E"/>
      </a:accent6>
      <a:hlink>
        <a:srgbClr val="536A2C"/>
      </a:hlink>
      <a:folHlink>
        <a:srgbClr val="4EA72E"/>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D1133FAA646447B1F506C0CC1AD96D" ma:contentTypeVersion="19" ma:contentTypeDescription="Create a new document." ma:contentTypeScope="" ma:versionID="9621e356a168688b41c8213c5ce1cb56">
  <xsd:schema xmlns:xsd="http://www.w3.org/2001/XMLSchema" xmlns:xs="http://www.w3.org/2001/XMLSchema" xmlns:p="http://schemas.microsoft.com/office/2006/metadata/properties" xmlns:ns2="5542781d-72a5-46d9-8093-0fa1f196d6ef" xmlns:ns3="50a1e848-e179-4a22-99c5-517bb1bb7459" targetNamespace="http://schemas.microsoft.com/office/2006/metadata/properties" ma:root="true" ma:fieldsID="78d87bb7d522998da75036240b11af90" ns2:_="" ns3:_="">
    <xsd:import namespace="5542781d-72a5-46d9-8093-0fa1f196d6ef"/>
    <xsd:import namespace="50a1e848-e179-4a22-99c5-517bb1bb74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_Flow_SignoffStatu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42781d-72a5-46d9-8093-0fa1f196d6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Flow_SignoffStatus" ma:index="17" nillable="true" ma:displayName="Sign-off status" ma:internalName="Sign_x002d_off_x0020_status">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b5b39e-099d-40c3-b251-37436ed69e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a1e848-e179-4a22-99c5-517bb1bb745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fe34501-2834-45c5-8676-7166598bd81c}" ma:internalName="TaxCatchAll" ma:showField="CatchAllData" ma:web="50a1e848-e179-4a22-99c5-517bb1bb74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0a1e848-e179-4a22-99c5-517bb1bb7459" xsi:nil="true"/>
    <lcf76f155ced4ddcb4097134ff3c332f xmlns="5542781d-72a5-46d9-8093-0fa1f196d6ef">
      <Terms xmlns="http://schemas.microsoft.com/office/infopath/2007/PartnerControls"/>
    </lcf76f155ced4ddcb4097134ff3c332f>
    <_Flow_SignoffStatus xmlns="5542781d-72a5-46d9-8093-0fa1f196d6ef" xsi:nil="true"/>
  </documentManagement>
</p:properties>
</file>

<file path=customXml/itemProps1.xml><?xml version="1.0" encoding="utf-8"?>
<ds:datastoreItem xmlns:ds="http://schemas.openxmlformats.org/officeDocument/2006/customXml" ds:itemID="{BC4038AE-BEA7-4EAF-B977-F58101446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42781d-72a5-46d9-8093-0fa1f196d6ef"/>
    <ds:schemaRef ds:uri="50a1e848-e179-4a22-99c5-517bb1bb74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5B1A2E-EDB9-45C5-8A7C-BFFA24B86C8D}">
  <ds:schemaRefs>
    <ds:schemaRef ds:uri="http://schemas.microsoft.com/sharepoint/v3/contenttype/forms"/>
  </ds:schemaRefs>
</ds:datastoreItem>
</file>

<file path=customXml/itemProps3.xml><?xml version="1.0" encoding="utf-8"?>
<ds:datastoreItem xmlns:ds="http://schemas.openxmlformats.org/officeDocument/2006/customXml" ds:itemID="{171FA111-16C9-4BBB-A2F7-3EADA84772EB}">
  <ds:schemaRefs>
    <ds:schemaRef ds:uri="http://schemas.openxmlformats.org/officeDocument/2006/bibliography"/>
  </ds:schemaRefs>
</ds:datastoreItem>
</file>

<file path=customXml/itemProps4.xml><?xml version="1.0" encoding="utf-8"?>
<ds:datastoreItem xmlns:ds="http://schemas.openxmlformats.org/officeDocument/2006/customXml" ds:itemID="{ADFBBD9A-0153-4C26-AAF9-0FCD5C6C14A1}">
  <ds:schemaRefs>
    <ds:schemaRef ds:uri="http://schemas.microsoft.com/office/2006/metadata/properties"/>
    <ds:schemaRef ds:uri="http://schemas.microsoft.com/office/infopath/2007/PartnerControls"/>
    <ds:schemaRef ds:uri="50a1e848-e179-4a22-99c5-517bb1bb7459"/>
    <ds:schemaRef ds:uri="5542781d-72a5-46d9-8093-0fa1f196d6ef"/>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BBC0063</dc:title>
  <cp:revision>0</cp:revision>
</cp:coreProperties>
</file>