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1CCF" w:rsidRPr="00E30B12" w:rsidP="00E30B12">
      <w:pPr>
        <w:rPr>
          <w:rFonts w:ascii="Arial" w:hAnsi="Arial" w:cs="Arial"/>
          <w:color w:val="FF0000"/>
        </w:rPr>
      </w:pPr>
    </w:p>
    <w:p w:rsidR="00271CCF" w:rsidRPr="00E30B12" w:rsidP="00E30B12">
      <w:pPr>
        <w:rPr>
          <w:rFonts w:ascii="Arial" w:hAnsi="Arial" w:cs="Arial"/>
          <w:b/>
          <w:i/>
        </w:rPr>
      </w:pPr>
    </w:p>
    <w:p w:rsidR="00271CCF" w:rsidRPr="00E30B12" w:rsidP="00E30B12">
      <w:pPr>
        <w:rPr>
          <w:rFonts w:ascii="Arial" w:hAnsi="Arial" w:cs="Arial"/>
        </w:rPr>
      </w:pPr>
    </w:p>
    <w:p w:rsidR="00E22767" w:rsidRPr="00E22767" w:rsidP="00E22767">
      <w:pPr>
        <w:jc w:val="center"/>
        <w:outlineLvl w:val="2"/>
        <w:rPr>
          <w:rFonts w:ascii="Arial" w:hAnsi="Arial" w:cs="Arial"/>
          <w:b/>
          <w:bCs/>
          <w:sz w:val="28"/>
          <w:szCs w:val="28"/>
        </w:rPr>
      </w:pPr>
      <w:r w:rsidRPr="00E22767">
        <w:rPr>
          <w:rFonts w:ascii="Arial" w:hAnsi="Arial" w:cs="Arial"/>
          <w:b/>
          <w:bCs/>
          <w:sz w:val="28"/>
          <w:szCs w:val="28"/>
        </w:rPr>
        <w:t xml:space="preserve">Written Evidence Submitted by </w:t>
      </w:r>
      <w:r w:rsidRPr="00E22767">
        <w:rPr>
          <w:rFonts w:ascii="Arial" w:hAnsi="Arial" w:cs="Arial"/>
          <w:b/>
          <w:bCs/>
          <w:sz w:val="28"/>
          <w:szCs w:val="28"/>
        </w:rPr>
        <w:br/>
        <w:t>The Care Quality Commission</w:t>
      </w:r>
      <w:r w:rsidRPr="00E22767">
        <w:rPr>
          <w:rFonts w:ascii="Arial" w:hAnsi="Arial" w:cs="Arial"/>
          <w:b/>
          <w:bCs/>
          <w:sz w:val="28"/>
          <w:szCs w:val="28"/>
        </w:rPr>
        <w:t xml:space="preserve"> </w:t>
      </w:r>
      <w:r w:rsidRPr="00E22767">
        <w:rPr>
          <w:rFonts w:ascii="Arial" w:hAnsi="Arial" w:cs="Arial"/>
          <w:b/>
          <w:bCs/>
          <w:sz w:val="28"/>
          <w:szCs w:val="28"/>
        </w:rPr>
        <w:t>(CYM024</w:t>
      </w:r>
      <w:r w:rsidRPr="00E22767">
        <w:rPr>
          <w:rFonts w:ascii="Arial" w:hAnsi="Arial" w:cs="Arial"/>
          <w:b/>
          <w:bCs/>
          <w:sz w:val="28"/>
          <w:szCs w:val="28"/>
        </w:rPr>
        <w:t>9</w:t>
      </w:r>
      <w:r w:rsidRPr="00E22767">
        <w:rPr>
          <w:rFonts w:ascii="Arial" w:hAnsi="Arial" w:cs="Arial"/>
          <w:b/>
          <w:bCs/>
          <w:sz w:val="28"/>
          <w:szCs w:val="28"/>
        </w:rPr>
        <w:t>)</w:t>
      </w:r>
    </w:p>
    <w:p w:rsidR="00271CCF" w:rsidP="00BF6BBD">
      <w:pPr>
        <w:jc w:val="center"/>
        <w:outlineLvl w:val="2"/>
        <w:rPr>
          <w:rFonts w:ascii="Arial" w:hAnsi="Arial" w:cs="Arial"/>
          <w:b/>
        </w:rPr>
      </w:pPr>
    </w:p>
    <w:p w:rsidR="00271CCF" w:rsidRPr="00BF6BBD" w:rsidP="00BF6BBD">
      <w:pPr>
        <w:jc w:val="center"/>
        <w:outlineLvl w:val="2"/>
        <w:rPr>
          <w:rFonts w:ascii="Arial" w:hAnsi="Arial" w:cs="Arial"/>
          <w:b/>
        </w:rPr>
      </w:pPr>
    </w:p>
    <w:p w:rsidR="00271CCF" w:rsidRPr="00BF6BBD" w:rsidP="00BF6BBD">
      <w:pPr>
        <w:outlineLvl w:val="2"/>
        <w:rPr>
          <w:rFonts w:ascii="Arial" w:hAnsi="Arial" w:cs="Arial"/>
          <w:b/>
        </w:rPr>
      </w:pPr>
    </w:p>
    <w:p w:rsidR="00271CCF" w:rsidP="00BF6BBD">
      <w:pPr>
        <w:outlineLvl w:val="2"/>
        <w:rPr>
          <w:rFonts w:ascii="Arial" w:hAnsi="Arial" w:cs="Arial"/>
          <w:b/>
        </w:rPr>
      </w:pPr>
      <w:r w:rsidRPr="00BF6BBD">
        <w:rPr>
          <w:rFonts w:ascii="Arial" w:hAnsi="Arial" w:cs="Arial"/>
          <w:b/>
        </w:rPr>
        <w:t xml:space="preserve">Children and Young People’s mental health </w:t>
      </w:r>
      <w:r>
        <w:rPr>
          <w:rFonts w:ascii="Arial" w:hAnsi="Arial" w:cs="Arial"/>
          <w:b/>
        </w:rPr>
        <w:t xml:space="preserve">inquiry </w:t>
      </w:r>
    </w:p>
    <w:p w:rsidR="00271CCF" w:rsidRPr="00BF6BBD" w:rsidP="00BF6BBD">
      <w:pPr>
        <w:outlineLvl w:val="2"/>
        <w:rPr>
          <w:rFonts w:ascii="Arial" w:hAnsi="Arial" w:cs="Arial"/>
          <w:b/>
        </w:rPr>
      </w:pP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 xml:space="preserve">I am writing to provide evidence to the Education and Health and Social Care Committees on </w:t>
      </w:r>
      <w:r w:rsidRPr="49E8453A">
        <w:rPr>
          <w:rFonts w:ascii="Arial" w:hAnsi="Arial" w:cs="Arial"/>
        </w:rPr>
        <w:t>your </w:t>
      </w:r>
      <w:r w:rsidRPr="49E8453A">
        <w:rPr>
          <w:rFonts w:ascii="Arial" w:hAnsi="Arial" w:cs="Arial"/>
        </w:rPr>
        <w:t>inquiry into the mental health of children and young people. As much of our evidence is already published, this letter is intended to highlight those publications and some of the key findings from the reports to assist the Committees with this inquiry. </w:t>
      </w:r>
    </w:p>
    <w:p w:rsidR="00271CCF" w:rsidRPr="00F716AC" w:rsidP="49E8453A">
      <w:pPr>
        <w:outlineLvl w:val="2"/>
        <w:rPr>
          <w:rFonts w:ascii="Arial" w:hAnsi="Arial" w:cs="Arial"/>
        </w:rPr>
      </w:pPr>
    </w:p>
    <w:p w:rsidR="00271CCF" w:rsidRPr="00F716AC" w:rsidP="49E8453A">
      <w:pPr>
        <w:outlineLvl w:val="2"/>
        <w:rPr>
          <w:rFonts w:ascii="Arial" w:hAnsi="Arial" w:cs="Arial"/>
        </w:rPr>
      </w:pPr>
      <w:r w:rsidRPr="24868C92">
        <w:rPr>
          <w:rFonts w:ascii="Arial" w:hAnsi="Arial" w:cs="Arial"/>
        </w:rPr>
        <w:t>The Care Quality Commission (CQC) is the independent regulator of health and</w:t>
      </w:r>
      <w:r w:rsidRPr="24868C92">
        <w:rPr>
          <w:rFonts w:ascii="Arial" w:hAnsi="Arial" w:cs="Arial"/>
        </w:rPr>
        <w:t xml:space="preserve"> adult</w:t>
      </w:r>
      <w:r w:rsidRPr="24868C92">
        <w:rPr>
          <w:rFonts w:ascii="Arial" w:hAnsi="Arial" w:cs="Arial"/>
        </w:rPr>
        <w:t xml:space="preserve"> social care in England. We work together with the public, systems and providers of care to protect people, and to promote and improve the quality of care. </w:t>
      </w:r>
    </w:p>
    <w:p w:rsidR="00271CCF"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Over recent years, we have raised concern that many children and young people are not currently getting the support they need. This is a risk not just for today, but for the future. </w:t>
      </w:r>
    </w:p>
    <w:p w:rsidR="00271CCF" w:rsidP="49E8453A">
      <w:pPr>
        <w:outlineLvl w:val="2"/>
        <w:rPr>
          <w:rFonts w:ascii="Arial" w:hAnsi="Arial" w:cs="Arial"/>
        </w:rPr>
      </w:pPr>
    </w:p>
    <w:p w:rsidR="00271CCF" w:rsidRPr="00F716AC" w:rsidP="49E8453A">
      <w:pPr>
        <w:outlineLvl w:val="2"/>
        <w:rPr>
          <w:rFonts w:ascii="Arial" w:hAnsi="Arial" w:cs="Arial"/>
          <w:b/>
          <w:bCs/>
        </w:rPr>
      </w:pPr>
      <w:r w:rsidRPr="49E8453A">
        <w:rPr>
          <w:rFonts w:ascii="Arial" w:hAnsi="Arial" w:cs="Arial"/>
          <w:b/>
          <w:bCs/>
        </w:rPr>
        <w:t xml:space="preserve">Rising </w:t>
      </w:r>
      <w:r w:rsidRPr="49E8453A">
        <w:rPr>
          <w:rFonts w:ascii="Arial" w:hAnsi="Arial" w:cs="Arial"/>
          <w:b/>
          <w:bCs/>
        </w:rPr>
        <w:t>d</w:t>
      </w:r>
      <w:r w:rsidRPr="49E8453A">
        <w:rPr>
          <w:rFonts w:ascii="Arial" w:hAnsi="Arial" w:cs="Arial"/>
          <w:b/>
          <w:bCs/>
        </w:rPr>
        <w:t xml:space="preserve">emand and </w:t>
      </w:r>
      <w:r w:rsidRPr="49E8453A">
        <w:rPr>
          <w:rFonts w:ascii="Arial" w:hAnsi="Arial" w:cs="Arial"/>
          <w:b/>
          <w:bCs/>
        </w:rPr>
        <w:t>b</w:t>
      </w:r>
      <w:r w:rsidRPr="49E8453A">
        <w:rPr>
          <w:rFonts w:ascii="Arial" w:hAnsi="Arial" w:cs="Arial"/>
          <w:b/>
          <w:bCs/>
        </w:rPr>
        <w:t xml:space="preserve">arriers to </w:t>
      </w:r>
      <w:r w:rsidRPr="49E8453A">
        <w:rPr>
          <w:rFonts w:ascii="Arial" w:hAnsi="Arial" w:cs="Arial"/>
          <w:b/>
          <w:bCs/>
        </w:rPr>
        <w:t>a</w:t>
      </w:r>
      <w:r w:rsidRPr="49E8453A">
        <w:rPr>
          <w:rFonts w:ascii="Arial" w:hAnsi="Arial" w:cs="Arial"/>
          <w:b/>
          <w:bCs/>
        </w:rPr>
        <w:t>ccess</w:t>
      </w:r>
    </w:p>
    <w:p w:rsidR="00271CCF" w:rsidP="49E8453A">
      <w:pPr>
        <w:outlineLvl w:val="2"/>
        <w:rPr>
          <w:rFonts w:ascii="Arial" w:hAnsi="Arial" w:cs="Arial"/>
        </w:rPr>
      </w:pPr>
    </w:p>
    <w:p w:rsidR="00271CCF" w:rsidP="49E8453A">
      <w:pPr>
        <w:outlineLvl w:val="2"/>
        <w:rPr>
          <w:rFonts w:ascii="Arial" w:hAnsi="Arial" w:cs="Arial"/>
        </w:rPr>
      </w:pPr>
      <w:r w:rsidRPr="3C1F729C">
        <w:rPr>
          <w:rFonts w:ascii="Arial" w:hAnsi="Arial" w:cs="Arial"/>
        </w:rPr>
        <w:t>Our Monitoring the Mental Health Act (MHA) 2024/25 report highlights that rising demand, combined with higher thresholds for access, means many individuals are waiting longer for care and often only receive support once their condition has worsened</w:t>
      </w:r>
      <w:r w:rsidRPr="3C1F729C">
        <w:rPr>
          <w:rFonts w:ascii="Arial" w:hAnsi="Arial" w:cs="Arial"/>
        </w:rPr>
        <w:t>.</w:t>
      </w:r>
      <w:r>
        <w:rPr>
          <w:rStyle w:val="FootnoteReference"/>
          <w:rFonts w:ascii="Arial" w:hAnsi="Arial" w:cs="Arial"/>
        </w:rPr>
        <w:footnoteReference w:id="2"/>
      </w:r>
    </w:p>
    <w:p w:rsidR="00271CCF" w:rsidRPr="00F716AC" w:rsidP="49E8453A">
      <w:pPr>
        <w:outlineLvl w:val="2"/>
        <w:rPr>
          <w:rFonts w:ascii="Arial" w:hAnsi="Arial" w:cs="Arial"/>
        </w:rPr>
      </w:pPr>
    </w:p>
    <w:p w:rsidR="00271CCF" w:rsidP="49E8453A">
      <w:pPr>
        <w:spacing w:line="259" w:lineRule="auto"/>
        <w:rPr>
          <w:rFonts w:ascii="Arial" w:hAnsi="Arial" w:cs="Arial"/>
          <w:color w:val="7030A0"/>
        </w:rPr>
      </w:pPr>
      <w:r w:rsidRPr="61E3A511">
        <w:rPr>
          <w:rFonts w:ascii="Arial" w:hAnsi="Arial" w:cs="Arial"/>
        </w:rPr>
        <w:t>Our 2024/25 State of Care report included community health services for children and young people as an area of specific concern.</w:t>
      </w:r>
      <w:r>
        <w:rPr>
          <w:rStyle w:val="FootnoteReference"/>
          <w:rFonts w:ascii="Arial" w:hAnsi="Arial" w:cs="Arial"/>
        </w:rPr>
        <w:footnoteReference w:id="3"/>
      </w:r>
      <w:r w:rsidRPr="61E3A511">
        <w:rPr>
          <w:rFonts w:ascii="Arial" w:hAnsi="Arial" w:cs="Arial"/>
        </w:rPr>
        <w:t> In community health services, we saw a 26% increase in the number of children and young people waiting to access care between January 2023 and December 2024, compared with a 19% increase for adult services. Notably, the number of children and young people waiting for over a year for these services increased almost threefold in this period. We also state that the backlog of children and young people waiting for community paediatric services varies by region, highlighting a substantial gap between current pr</w:t>
      </w:r>
      <w:r w:rsidRPr="61E3A511">
        <w:rPr>
          <w:rFonts w:ascii="Arial" w:hAnsi="Arial" w:cs="Arial"/>
        </w:rPr>
        <w:t>ovision and recommended standards. </w:t>
      </w:r>
      <w:r w:rsidRPr="61E3A511">
        <w:rPr>
          <w:rFonts w:ascii="Arial" w:hAnsi="Arial" w:cs="Arial"/>
          <w:color w:val="7030A0"/>
        </w:rPr>
        <w:t xml:space="preserve"> </w:t>
      </w:r>
    </w:p>
    <w:p w:rsidR="00271CCF" w:rsidP="49E8453A">
      <w:pPr>
        <w:spacing w:line="259" w:lineRule="auto"/>
        <w:rPr>
          <w:rFonts w:ascii="Arial" w:hAnsi="Arial" w:cs="Arial"/>
          <w:color w:val="FF0000"/>
        </w:rPr>
      </w:pPr>
    </w:p>
    <w:p w:rsidR="00271CCF" w:rsidP="49E8453A">
      <w:pPr>
        <w:spacing w:line="259" w:lineRule="auto"/>
        <w:rPr>
          <w:rFonts w:ascii="Arial" w:hAnsi="Arial" w:cs="Arial"/>
          <w:color w:val="000000" w:themeColor="text1"/>
        </w:rPr>
      </w:pPr>
      <w:r w:rsidRPr="49E8453A">
        <w:rPr>
          <w:rFonts w:ascii="Arial" w:hAnsi="Arial" w:cs="Arial"/>
          <w:color w:val="000000" w:themeColor="text1"/>
        </w:rPr>
        <w:t xml:space="preserve">These system pressures are reflected in the experiences of children and young people. </w:t>
      </w:r>
      <w:r w:rsidRPr="49E8453A">
        <w:rPr>
          <w:rFonts w:ascii="Arial" w:hAnsi="Arial" w:cs="Arial"/>
          <w:color w:val="000000" w:themeColor="text1"/>
        </w:rPr>
        <w:t xml:space="preserve">Our </w:t>
      </w:r>
      <w:r w:rsidRPr="49E8453A">
        <w:rPr>
          <w:rFonts w:ascii="Arial" w:hAnsi="Arial" w:cs="Arial"/>
          <w:color w:val="000000" w:themeColor="text1"/>
        </w:rPr>
        <w:t xml:space="preserve">2025 </w:t>
      </w:r>
      <w:r w:rsidRPr="49E8453A">
        <w:rPr>
          <w:rFonts w:ascii="Arial" w:hAnsi="Arial" w:cs="Arial"/>
          <w:color w:val="000000" w:themeColor="text1"/>
        </w:rPr>
        <w:t xml:space="preserve">community mental health survey found that children and young people using </w:t>
      </w:r>
      <w:r w:rsidRPr="49E8453A">
        <w:rPr>
          <w:rFonts w:ascii="Arial" w:hAnsi="Arial" w:cs="Arial"/>
          <w:color w:val="000000" w:themeColor="text1"/>
        </w:rPr>
        <w:t xml:space="preserve">Child and adolescent mental health services </w:t>
      </w:r>
      <w:r w:rsidRPr="49E8453A">
        <w:rPr>
          <w:rFonts w:ascii="Arial" w:hAnsi="Arial" w:cs="Arial"/>
          <w:color w:val="000000" w:themeColor="text1"/>
        </w:rPr>
        <w:t xml:space="preserve">(CAMHS) report </w:t>
      </w:r>
      <w:r w:rsidRPr="49E8453A">
        <w:rPr>
          <w:rFonts w:ascii="Arial" w:hAnsi="Arial" w:cs="Arial"/>
          <w:color w:val="000000" w:themeColor="text1"/>
        </w:rPr>
        <w:t xml:space="preserve">consistently poor experiences, including long waits for treatment with little or no support in the meantime. 46% of </w:t>
      </w:r>
      <w:r w:rsidRPr="49E8453A">
        <w:rPr>
          <w:rFonts w:ascii="Arial" w:hAnsi="Arial" w:cs="Arial"/>
          <w:color w:val="000000" w:themeColor="text1"/>
        </w:rPr>
        <w:t xml:space="preserve">children and young people </w:t>
      </w:r>
      <w:r w:rsidRPr="49E8453A">
        <w:rPr>
          <w:rFonts w:ascii="Arial" w:hAnsi="Arial" w:cs="Arial"/>
          <w:color w:val="000000" w:themeColor="text1"/>
        </w:rPr>
        <w:t xml:space="preserve">waited 3 months or </w:t>
      </w:r>
      <w:r w:rsidRPr="49E8453A">
        <w:rPr>
          <w:rFonts w:ascii="Arial" w:hAnsi="Arial" w:cs="Arial"/>
          <w:color w:val="000000" w:themeColor="text1"/>
        </w:rPr>
        <w:t xml:space="preserve">more for their first appointment for treatment and over half (54%) received no support while waiting. There are also significant gaps in care coordination, with 25% </w:t>
      </w:r>
      <w:r w:rsidRPr="49E8453A">
        <w:rPr>
          <w:rFonts w:ascii="Arial" w:hAnsi="Arial" w:cs="Arial"/>
          <w:color w:val="000000" w:themeColor="text1"/>
        </w:rPr>
        <w:t>reporting not being involved in a plan for their care or were not aware of one,</w:t>
      </w:r>
      <w:r w:rsidRPr="49E8453A">
        <w:rPr>
          <w:rFonts w:ascii="Arial" w:hAnsi="Arial" w:cs="Arial"/>
          <w:color w:val="000000" w:themeColor="text1"/>
        </w:rPr>
        <w:t xml:space="preserve"> and 45% not having a </w:t>
      </w:r>
      <w:r w:rsidRPr="49E8453A">
        <w:rPr>
          <w:rFonts w:ascii="Arial" w:hAnsi="Arial" w:cs="Arial"/>
          <w:color w:val="000000" w:themeColor="text1"/>
        </w:rPr>
        <w:t>c</w:t>
      </w:r>
      <w:r w:rsidRPr="49E8453A">
        <w:rPr>
          <w:rFonts w:ascii="Arial" w:hAnsi="Arial" w:cs="Arial"/>
          <w:color w:val="000000" w:themeColor="text1"/>
        </w:rPr>
        <w:t>are</w:t>
      </w:r>
      <w:r w:rsidRPr="49E8453A">
        <w:rPr>
          <w:rFonts w:ascii="Arial" w:hAnsi="Arial" w:cs="Arial"/>
          <w:color w:val="000000" w:themeColor="text1"/>
        </w:rPr>
        <w:t xml:space="preserve"> review meeting</w:t>
      </w:r>
      <w:r w:rsidRPr="49E8453A">
        <w:rPr>
          <w:rFonts w:ascii="Arial" w:hAnsi="Arial" w:cs="Arial"/>
          <w:color w:val="000000" w:themeColor="text1"/>
        </w:rPr>
        <w:t>.</w:t>
      </w:r>
      <w:r>
        <w:rPr>
          <w:rStyle w:val="FootnoteReference"/>
          <w:rFonts w:ascii="Arial" w:hAnsi="Arial" w:cs="Arial"/>
          <w:color w:val="000000" w:themeColor="text1"/>
        </w:rPr>
        <w:footnoteReference w:id="4"/>
      </w:r>
    </w:p>
    <w:p w:rsidR="00271CCF" w:rsidP="49E8453A">
      <w:pPr>
        <w:spacing w:line="259" w:lineRule="auto"/>
        <w:rPr>
          <w:rFonts w:ascii="Arial" w:hAnsi="Arial" w:cs="Arial"/>
          <w:color w:val="FF0000"/>
        </w:rPr>
      </w:pPr>
    </w:p>
    <w:p w:rsidR="00271CCF" w:rsidP="49E8453A">
      <w:pPr>
        <w:outlineLvl w:val="2"/>
        <w:rPr>
          <w:rFonts w:ascii="Arial" w:hAnsi="Arial" w:cs="Arial"/>
        </w:rPr>
      </w:pPr>
      <w:r w:rsidRPr="61E3A511">
        <w:rPr>
          <w:rFonts w:ascii="Arial" w:hAnsi="Arial" w:cs="Arial"/>
        </w:rPr>
        <w:t xml:space="preserve">Our </w:t>
      </w:r>
      <w:r w:rsidRPr="61E3A511">
        <w:rPr>
          <w:rFonts w:ascii="Arial" w:hAnsi="Arial" w:cs="Arial"/>
        </w:rPr>
        <w:t xml:space="preserve">report </w:t>
      </w:r>
      <w:r w:rsidRPr="61E3A511">
        <w:rPr>
          <w:rFonts w:ascii="Arial" w:hAnsi="Arial" w:cs="Arial"/>
        </w:rPr>
        <w:t>on</w:t>
      </w:r>
      <w:r w:rsidRPr="61E3A511">
        <w:rPr>
          <w:rFonts w:ascii="Arial" w:hAnsi="Arial" w:cs="Arial"/>
        </w:rPr>
        <w:t xml:space="preserve"> </w:t>
      </w:r>
      <w:r w:rsidRPr="61E3A511">
        <w:rPr>
          <w:rFonts w:ascii="Arial" w:hAnsi="Arial" w:cs="Arial"/>
        </w:rPr>
        <w:t>findings from 6 joint targeted area inspections (JTAIs) carried out between September 2023 and May 2024</w:t>
      </w:r>
      <w:r w:rsidRPr="61E3A511">
        <w:rPr>
          <w:rFonts w:ascii="Arial" w:hAnsi="Arial" w:cs="Arial"/>
        </w:rPr>
        <w:t xml:space="preserve"> with Ofsted, His Majesty’s Inspectorate of Constabulary, Fire and Rescue Services, and His Majesty’s Inspectorate of Probation </w:t>
      </w:r>
      <w:r w:rsidRPr="61E3A511">
        <w:rPr>
          <w:rFonts w:ascii="Arial" w:hAnsi="Arial" w:cs="Arial"/>
        </w:rPr>
        <w:t>found</w:t>
      </w:r>
      <w:r w:rsidRPr="61E3A511">
        <w:rPr>
          <w:rFonts w:ascii="Arial" w:hAnsi="Arial" w:cs="Arial"/>
        </w:rPr>
        <w:t xml:space="preserve"> that children with special educational needs or disabilities are having to wait too long for their needs to be assessed.</w:t>
      </w:r>
      <w:r>
        <w:rPr>
          <w:rStyle w:val="FootnoteReference"/>
          <w:rFonts w:ascii="Arial" w:hAnsi="Arial" w:cs="Arial"/>
        </w:rPr>
        <w:footnoteReference w:id="5"/>
      </w:r>
      <w:r w:rsidRPr="61E3A511">
        <w:rPr>
          <w:rFonts w:ascii="Arial" w:hAnsi="Arial" w:cs="Arial"/>
          <w:vertAlign w:val="superscript"/>
        </w:rPr>
        <w:t xml:space="preserve"> </w:t>
      </w:r>
      <w:r w:rsidRPr="61E3A511">
        <w:rPr>
          <w:rFonts w:ascii="Arial" w:hAnsi="Arial" w:cs="Arial"/>
        </w:rPr>
        <w:t>Delays for diagnostic assessments and specialist support can negatively affect children and young people’s wellbeing and participation in education, and make them more vulnerable to serious youth violence</w:t>
      </w:r>
      <w:r w:rsidRPr="61E3A511">
        <w:rPr>
          <w:rFonts w:ascii="Arial" w:hAnsi="Arial" w:cs="Arial"/>
        </w:rPr>
        <w:t>,</w:t>
      </w:r>
      <w:r w:rsidRPr="61E3A511">
        <w:rPr>
          <w:rFonts w:ascii="Arial" w:hAnsi="Arial" w:cs="Arial"/>
        </w:rPr>
        <w:t> as needs can increase while they wait for an assessment or support. Out of the 6 areas we visited, 3 areas had waits of at least 2 years for a neurodevelopmental assessment. In one area, children then had to wait a shocking 10 years to access support following a diagnosis, by which time some of them would be adults.  </w:t>
      </w:r>
    </w:p>
    <w:p w:rsidR="00271CCF" w:rsidRPr="00F716AC" w:rsidP="49E8453A">
      <w:pPr>
        <w:outlineLvl w:val="2"/>
        <w:rPr>
          <w:rFonts w:ascii="Arial" w:hAnsi="Arial" w:cs="Arial"/>
        </w:rPr>
      </w:pPr>
    </w:p>
    <w:p w:rsidR="00271CCF" w:rsidP="49E8453A">
      <w:pPr>
        <w:outlineLvl w:val="2"/>
        <w:rPr>
          <w:rFonts w:ascii="Arial" w:hAnsi="Arial" w:cs="Arial"/>
        </w:rPr>
      </w:pPr>
      <w:r w:rsidRPr="3C1F729C">
        <w:rPr>
          <w:rFonts w:ascii="Arial" w:hAnsi="Arial" w:cs="Arial"/>
        </w:rPr>
        <w:t>Concerns about children and young people’s mental health services and the continued rise in demand were also raised in our 2023/24 State of Care report</w:t>
      </w:r>
      <w:r w:rsidRPr="3C1F729C">
        <w:rPr>
          <w:rFonts w:ascii="Arial" w:hAnsi="Arial" w:cs="Arial"/>
        </w:rPr>
        <w:t>.</w:t>
      </w:r>
      <w:r>
        <w:rPr>
          <w:rStyle w:val="FootnoteReference"/>
          <w:rFonts w:ascii="Arial" w:hAnsi="Arial" w:cs="Arial"/>
        </w:rPr>
        <w:footnoteReference w:id="6"/>
      </w:r>
      <w:r w:rsidRPr="3C1F729C">
        <w:rPr>
          <w:rFonts w:ascii="Arial" w:hAnsi="Arial" w:cs="Arial"/>
        </w:rPr>
        <w:t> </w:t>
      </w:r>
      <w:r w:rsidRPr="3C1F729C">
        <w:rPr>
          <w:rFonts w:ascii="Arial" w:hAnsi="Arial" w:cs="Arial"/>
        </w:rPr>
        <w:t xml:space="preserve"> </w:t>
      </w:r>
      <w:r w:rsidRPr="61E3A511">
        <w:rPr>
          <w:rFonts w:ascii="Arial" w:hAnsi="Arial" w:cs="Arial"/>
        </w:rPr>
        <w:t>Delays in accessing early support can lead to deterioration in mental health, with some children and young people reaching crisis point before receiving treatment, resulting in increased use of emergency services and more complex needs by the time care is provided. </w:t>
      </w:r>
    </w:p>
    <w:p w:rsidR="00271CCF" w:rsidRPr="00F716AC" w:rsidP="49E8453A">
      <w:pPr>
        <w:outlineLvl w:val="2"/>
        <w:rPr>
          <w:rFonts w:ascii="Arial" w:hAnsi="Arial" w:cs="Arial"/>
        </w:rPr>
      </w:pPr>
    </w:p>
    <w:p w:rsidR="00271CCF" w:rsidP="49E8453A">
      <w:pPr>
        <w:outlineLvl w:val="2"/>
        <w:rPr>
          <w:rFonts w:ascii="Arial" w:hAnsi="Arial" w:cs="Arial"/>
          <w:b/>
          <w:bCs/>
        </w:rPr>
      </w:pPr>
      <w:r w:rsidRPr="49E8453A">
        <w:rPr>
          <w:rFonts w:ascii="Arial" w:hAnsi="Arial" w:cs="Arial"/>
          <w:b/>
          <w:bCs/>
        </w:rPr>
        <w:t>E</w:t>
      </w:r>
      <w:r w:rsidRPr="49E8453A">
        <w:rPr>
          <w:rFonts w:ascii="Arial" w:hAnsi="Arial" w:cs="Arial"/>
          <w:b/>
          <w:bCs/>
        </w:rPr>
        <w:t>xperiences</w:t>
      </w:r>
      <w:r w:rsidRPr="49E8453A">
        <w:rPr>
          <w:rFonts w:ascii="Arial" w:hAnsi="Arial" w:cs="Arial"/>
          <w:b/>
          <w:bCs/>
        </w:rPr>
        <w:t>, staffing and access to</w:t>
      </w:r>
      <w:r w:rsidRPr="49E8453A">
        <w:rPr>
          <w:rFonts w:ascii="Arial" w:hAnsi="Arial" w:cs="Arial"/>
          <w:b/>
          <w:bCs/>
        </w:rPr>
        <w:t xml:space="preserve"> mental health services</w:t>
      </w:r>
    </w:p>
    <w:p w:rsidR="00271CCF" w:rsidP="49E8453A">
      <w:pPr>
        <w:outlineLvl w:val="2"/>
        <w:rPr>
          <w:rFonts w:ascii="Arial" w:hAnsi="Arial" w:cs="Arial"/>
          <w:b/>
          <w:bCs/>
        </w:rPr>
      </w:pPr>
    </w:p>
    <w:p w:rsidR="00271CCF" w:rsidP="49E8453A">
      <w:pPr>
        <w:outlineLvl w:val="2"/>
        <w:rPr>
          <w:rFonts w:ascii="Arial" w:hAnsi="Arial" w:cs="Arial"/>
        </w:rPr>
      </w:pPr>
      <w:r w:rsidRPr="49E8453A">
        <w:rPr>
          <w:rFonts w:ascii="Arial" w:hAnsi="Arial" w:cs="Arial"/>
        </w:rPr>
        <w:t>Our 2024/25 MHA report highlights a personal story from Ethan, who struggled for years without a diagnosis, facing bullying at school, long waits for support, repeated crises, and fragmented responses from education, health and social care services as his mental health rapidly deteriorated. After being detained under the Mental Health Act, he finally received an autism diagnosis and a safer, more supportive environment, while his family received clearer communication and some reassurance that he was receivi</w:t>
      </w:r>
      <w:r w:rsidRPr="49E8453A">
        <w:rPr>
          <w:rFonts w:ascii="Arial" w:hAnsi="Arial" w:cs="Arial"/>
        </w:rPr>
        <w:t>ng the care he needed. </w:t>
      </w:r>
    </w:p>
    <w:p w:rsidR="00271CCF" w:rsidRPr="00F716AC" w:rsidP="49E8453A">
      <w:pPr>
        <w:outlineLvl w:val="2"/>
        <w:rPr>
          <w:rFonts w:ascii="Arial" w:hAnsi="Arial" w:cs="Arial"/>
        </w:rPr>
      </w:pPr>
    </w:p>
    <w:p w:rsidR="00271CCF" w:rsidP="49E8453A">
      <w:pPr>
        <w:outlineLvl w:val="2"/>
        <w:rPr>
          <w:rFonts w:ascii="Arial" w:hAnsi="Arial" w:cs="Arial"/>
        </w:rPr>
      </w:pPr>
      <w:r w:rsidRPr="61E3A511">
        <w:rPr>
          <w:rFonts w:ascii="Arial" w:hAnsi="Arial" w:cs="Arial"/>
        </w:rPr>
        <w:t>Not only are children and young people with a mental health condition not getting the care they need in the community for their mental health, but they are also more likely to have poorer experiences in hospital for their physical health care. Analysis of our 2024 children and young people’s survey showed that, among others, children and young people with a mental health condition, au</w:t>
      </w:r>
      <w:r w:rsidRPr="61E3A511">
        <w:rPr>
          <w:rFonts w:ascii="Arial" w:hAnsi="Arial" w:cs="Arial"/>
        </w:rPr>
        <w:t>tism and / or a disability</w:t>
      </w:r>
      <w:r w:rsidRPr="61E3A511">
        <w:rPr>
          <w:rFonts w:ascii="Arial" w:hAnsi="Arial" w:cs="Arial"/>
        </w:rPr>
        <w:t xml:space="preserve"> </w:t>
      </w:r>
      <w:bookmarkStart w:id="0" w:name="_Int_8GOehRAO"/>
      <w:r w:rsidRPr="61E3A511">
        <w:rPr>
          <w:rFonts w:ascii="Arial" w:hAnsi="Arial" w:cs="Arial"/>
        </w:rPr>
        <w:t>were</w:t>
      </w:r>
      <w:bookmarkEnd w:id="0"/>
      <w:r w:rsidRPr="61E3A511">
        <w:rPr>
          <w:rFonts w:ascii="Arial" w:hAnsi="Arial" w:cs="Arial"/>
        </w:rPr>
        <w:t xml:space="preserve"> all significantly less likely to have their existing needs ‘definitely’ accounted for when attending hospital.</w:t>
      </w:r>
      <w:r>
        <w:rPr>
          <w:rStyle w:val="FootnoteReference"/>
          <w:rFonts w:ascii="Arial" w:hAnsi="Arial" w:cs="Arial"/>
        </w:rPr>
        <w:footnoteReference w:id="7"/>
      </w:r>
      <w:r w:rsidRPr="61E3A511">
        <w:rPr>
          <w:rFonts w:ascii="Arial" w:hAnsi="Arial" w:cs="Arial"/>
        </w:rPr>
        <w:t xml:space="preserve"> These groups of children and young people also had worse experiences in several other areas. </w:t>
      </w:r>
    </w:p>
    <w:p w:rsidR="00271CCF" w:rsidRPr="00F716AC" w:rsidP="49E8453A">
      <w:pPr>
        <w:outlineLvl w:val="2"/>
        <w:rPr>
          <w:rFonts w:ascii="Arial" w:hAnsi="Arial" w:cs="Arial"/>
        </w:rPr>
      </w:pPr>
    </w:p>
    <w:p w:rsidR="00271CCF" w:rsidP="49E8453A">
      <w:pPr>
        <w:outlineLvl w:val="2"/>
        <w:rPr>
          <w:rFonts w:ascii="Arial" w:hAnsi="Arial" w:cs="Arial"/>
        </w:rPr>
      </w:pPr>
      <w:r w:rsidRPr="3C1F729C">
        <w:rPr>
          <w:rFonts w:ascii="Arial" w:hAnsi="Arial" w:cs="Arial"/>
        </w:rPr>
        <w:t>Further, our 2024/25 MHA report states that the increasing need for children and young people’s mental health services means they continue to face long waits for a bed to become available, risk being placed in inappropriate environments, or being sent to a hospital miles away from home</w:t>
      </w:r>
      <w:r w:rsidRPr="3C1F729C">
        <w:rPr>
          <w:rFonts w:ascii="Arial" w:hAnsi="Arial" w:cs="Arial"/>
        </w:rPr>
        <w:t>.</w:t>
      </w:r>
      <w:r>
        <w:rPr>
          <w:rStyle w:val="FootnoteReference"/>
          <w:rFonts w:ascii="Arial" w:hAnsi="Arial" w:cs="Arial"/>
        </w:rPr>
        <w:footnoteReference w:id="8"/>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While many services have specialist staff who are trained to care for children and young people, access to specialist staff is being affected by low staffing levels leading to patients’ needs not being met. This was also a theme in our 2023/24 State of Care report, where we noted that while the mental health workforce had grown, problems with staffing and skill mix remain, having an impact on capacity, and therefore on the availability and regularity of appointments.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Our MHA report also found the quality of physical environments for children and young people varied, with access to food and drink, and food preparation facilities key issues for many children and young people.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We continue to hear about challenges in transitions of care between children and young people’s mental health services and adult mental health services, with many young people still falling through the gaps and not getting the care and support they need.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b/>
          <w:bCs/>
        </w:rPr>
        <w:t>Role of education settings in early intervention</w:t>
      </w:r>
      <w:r w:rsidRPr="49E8453A">
        <w:rPr>
          <w:rFonts w:ascii="Arial" w:hAnsi="Arial" w:cs="Arial"/>
        </w:rPr>
        <w:t> </w:t>
      </w:r>
    </w:p>
    <w:p w:rsidR="00271CCF" w:rsidRPr="00F716AC" w:rsidP="49E8453A">
      <w:pPr>
        <w:outlineLvl w:val="2"/>
        <w:rPr>
          <w:rFonts w:ascii="Arial" w:hAnsi="Arial" w:cs="Arial"/>
        </w:rPr>
      </w:pPr>
    </w:p>
    <w:p w:rsidR="00271CCF" w:rsidP="49E8453A">
      <w:pPr>
        <w:outlineLvl w:val="2"/>
        <w:rPr>
          <w:rFonts w:ascii="Arial" w:hAnsi="Arial" w:cs="Arial"/>
          <w:vertAlign w:val="superscript"/>
        </w:rPr>
      </w:pPr>
      <w:r w:rsidRPr="3C1F729C">
        <w:rPr>
          <w:rFonts w:ascii="Arial" w:hAnsi="Arial" w:cs="Arial"/>
        </w:rPr>
        <w:t>Education settings and their staff play an important role in early intervention. They are a critical part of the mental health referral pathways, working in partnership with health providers. In our joint thematic report with Ofsted on experiences of children with SEND who are not in school, we saw many positive examples of children who received co-ordinated support to meet their education, health and social care needs</w:t>
      </w:r>
      <w:r w:rsidRPr="3C1F729C">
        <w:rPr>
          <w:rFonts w:ascii="Arial" w:hAnsi="Arial" w:cs="Arial"/>
        </w:rPr>
        <w:t>.</w:t>
      </w:r>
      <w:r>
        <w:rPr>
          <w:rStyle w:val="FootnoteReference"/>
          <w:rFonts w:ascii="Arial" w:hAnsi="Arial" w:cs="Arial"/>
        </w:rPr>
        <w:footnoteReference w:id="9"/>
      </w:r>
    </w:p>
    <w:p w:rsidR="00271CCF" w:rsidRPr="00F716AC" w:rsidP="49E8453A">
      <w:pPr>
        <w:outlineLvl w:val="2"/>
        <w:rPr>
          <w:rFonts w:ascii="Arial" w:hAnsi="Arial" w:cs="Arial"/>
        </w:rPr>
      </w:pPr>
    </w:p>
    <w:p w:rsidR="00271CCF" w:rsidP="49E8453A">
      <w:pPr>
        <w:outlineLvl w:val="2"/>
        <w:rPr>
          <w:rFonts w:ascii="Arial" w:hAnsi="Arial" w:cs="Arial"/>
        </w:rPr>
      </w:pPr>
      <w:r w:rsidRPr="3C1F729C">
        <w:rPr>
          <w:rFonts w:ascii="Arial" w:hAnsi="Arial" w:cs="Arial"/>
        </w:rPr>
        <w:t>We have seen the positive impact of Mental Health Support Teams</w:t>
      </w:r>
      <w:r w:rsidRPr="3C1F729C">
        <w:rPr>
          <w:rFonts w:ascii="Arial" w:hAnsi="Arial" w:cs="Arial"/>
        </w:rPr>
        <w:t xml:space="preserve"> </w:t>
      </w:r>
      <w:r w:rsidRPr="3C1F729C">
        <w:rPr>
          <w:rFonts w:ascii="Arial" w:hAnsi="Arial" w:cs="Arial"/>
        </w:rPr>
        <w:t>(MHSTs) operating successfully in</w:t>
      </w:r>
      <w:r w:rsidRPr="3C1F729C">
        <w:rPr>
          <w:rFonts w:ascii="Arial" w:hAnsi="Arial" w:cs="Arial"/>
        </w:rPr>
        <w:t xml:space="preserve"> </w:t>
      </w:r>
      <w:r w:rsidRPr="3C1F729C">
        <w:rPr>
          <w:rFonts w:ascii="Arial" w:hAnsi="Arial" w:cs="Arial"/>
        </w:rPr>
        <w:t>schools during our community CAMHS inspections, reducing the waiting list for community CAMHS and reducing the need for children to attend and be re-admitted to emergency departments. An example of this can be found in our inspection report for Somerset NHS Foundation Trust</w:t>
      </w:r>
      <w:r w:rsidRPr="3C1F729C">
        <w:rPr>
          <w:rFonts w:ascii="Arial" w:hAnsi="Arial" w:cs="Arial"/>
        </w:rPr>
        <w:t>.</w:t>
      </w:r>
      <w:r>
        <w:rPr>
          <w:rStyle w:val="FootnoteReference"/>
          <w:rFonts w:ascii="Arial" w:hAnsi="Arial" w:cs="Arial"/>
        </w:rPr>
        <w:footnoteReference w:id="10"/>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b/>
          <w:bCs/>
        </w:rPr>
        <w:t>Alignment between government departments </w:t>
      </w:r>
      <w:r w:rsidRPr="49E8453A">
        <w:rPr>
          <w:rFonts w:ascii="Arial" w:hAnsi="Arial" w:cs="Arial"/>
        </w:rPr>
        <w:t>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 xml:space="preserve">The inquiry asks about alignment between the strategies and reviews of the Department of Health and </w:t>
      </w:r>
      <w:r w:rsidRPr="49E8453A">
        <w:rPr>
          <w:rFonts w:ascii="Arial" w:hAnsi="Arial" w:cs="Arial"/>
        </w:rPr>
        <w:t>S</w:t>
      </w:r>
      <w:r w:rsidRPr="49E8453A">
        <w:rPr>
          <w:rFonts w:ascii="Arial" w:hAnsi="Arial" w:cs="Arial"/>
        </w:rPr>
        <w:t xml:space="preserve">ocial </w:t>
      </w:r>
      <w:r w:rsidRPr="49E8453A">
        <w:rPr>
          <w:rFonts w:ascii="Arial" w:hAnsi="Arial" w:cs="Arial"/>
        </w:rPr>
        <w:t>C</w:t>
      </w:r>
      <w:r w:rsidRPr="49E8453A">
        <w:rPr>
          <w:rFonts w:ascii="Arial" w:hAnsi="Arial" w:cs="Arial"/>
        </w:rPr>
        <w:t>are</w:t>
      </w:r>
      <w:r w:rsidRPr="49E8453A">
        <w:rPr>
          <w:rFonts w:ascii="Arial" w:hAnsi="Arial" w:cs="Arial"/>
        </w:rPr>
        <w:t xml:space="preserve"> (DHSC)</w:t>
      </w:r>
      <w:r w:rsidRPr="49E8453A">
        <w:rPr>
          <w:rFonts w:ascii="Arial" w:hAnsi="Arial" w:cs="Arial"/>
        </w:rPr>
        <w:t xml:space="preserve"> and Department for Education</w:t>
      </w:r>
      <w:r w:rsidRPr="49E8453A">
        <w:rPr>
          <w:rFonts w:ascii="Arial" w:hAnsi="Arial" w:cs="Arial"/>
        </w:rPr>
        <w:t xml:space="preserve"> (DfE)</w:t>
      </w:r>
      <w:r w:rsidRPr="49E8453A">
        <w:rPr>
          <w:rFonts w:ascii="Arial" w:hAnsi="Arial" w:cs="Arial"/>
        </w:rPr>
        <w:t>. Through our experience as an arm’s length body (ALB), we have found the departments work together to jointly engage with us on areas which span provision of services for children across education and healthcare, and child safety and protection.  Examples of this include SEND reforms, updates to Working Together guidance and independent reviews into child safety.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rPr>
        <w:t>When DfE make recommendations in reviews specific to healthcare, DHSC will also speak to relevant ALBs, such as CQC to discuss how they can</w:t>
      </w:r>
      <w:r w:rsidRPr="49E8453A">
        <w:rPr>
          <w:rFonts w:ascii="Arial" w:hAnsi="Arial" w:cs="Arial"/>
        </w:rPr>
        <w:t xml:space="preserve"> be </w:t>
      </w:r>
      <w:r w:rsidRPr="49E8453A">
        <w:rPr>
          <w:rFonts w:ascii="Arial" w:hAnsi="Arial" w:cs="Arial"/>
        </w:rPr>
        <w:t>achieved. Recommendations are often implemented in partnership with CQC, with outcomes monitored through regular engagement and established accountability mechanisms. </w:t>
      </w:r>
    </w:p>
    <w:p w:rsidR="00271CCF" w:rsidRPr="00F716AC" w:rsidP="49E8453A">
      <w:pPr>
        <w:outlineLvl w:val="2"/>
        <w:rPr>
          <w:rFonts w:ascii="Arial" w:hAnsi="Arial" w:cs="Arial"/>
        </w:rPr>
      </w:pPr>
    </w:p>
    <w:p w:rsidR="00271CCF" w:rsidP="49E8453A">
      <w:pPr>
        <w:outlineLvl w:val="2"/>
        <w:rPr>
          <w:rFonts w:ascii="Arial" w:hAnsi="Arial" w:cs="Arial"/>
        </w:rPr>
      </w:pPr>
      <w:r w:rsidRPr="49E8453A">
        <w:rPr>
          <w:rFonts w:ascii="Arial" w:hAnsi="Arial" w:cs="Arial"/>
          <w:b/>
          <w:bCs/>
        </w:rPr>
        <w:t>Conclusion</w:t>
      </w:r>
      <w:r w:rsidRPr="49E8453A">
        <w:rPr>
          <w:rFonts w:ascii="Arial" w:hAnsi="Arial" w:cs="Arial"/>
        </w:rPr>
        <w:t> </w:t>
      </w:r>
    </w:p>
    <w:p w:rsidR="00271CCF" w:rsidRPr="00F716AC" w:rsidP="49E8453A">
      <w:pPr>
        <w:outlineLvl w:val="2"/>
        <w:rPr>
          <w:rFonts w:ascii="Arial" w:hAnsi="Arial" w:cs="Arial"/>
        </w:rPr>
      </w:pPr>
    </w:p>
    <w:p w:rsidR="00271CCF" w:rsidP="49E8453A">
      <w:pPr>
        <w:outlineLvl w:val="2"/>
        <w:rPr>
          <w:rFonts w:ascii="Arial" w:hAnsi="Arial" w:cs="Arial"/>
        </w:rPr>
      </w:pPr>
      <w:r w:rsidRPr="7E13C49D">
        <w:rPr>
          <w:rFonts w:ascii="Arial" w:hAnsi="Arial" w:cs="Arial"/>
        </w:rPr>
        <w:t>Through the 10 Year Health Plan for England, the government has made a number of commitments to improving mental health care. Alongside this we support a greater focus on children and young people’s services at both a national and local level.</w:t>
      </w:r>
      <w:r w:rsidRPr="7E13C49D">
        <w:rPr>
          <w:rFonts w:ascii="Arial" w:hAnsi="Arial" w:cs="Arial"/>
        </w:rPr>
        <w:t xml:space="preserve"> In our State of Care report 2023/24 we</w:t>
      </w:r>
      <w:r w:rsidRPr="7E13C49D">
        <w:rPr>
          <w:rFonts w:ascii="Arial" w:hAnsi="Arial" w:cs="Arial"/>
        </w:rPr>
        <w:t xml:space="preserve"> have s</w:t>
      </w:r>
      <w:r w:rsidRPr="7E13C49D">
        <w:rPr>
          <w:rFonts w:ascii="Arial" w:hAnsi="Arial" w:cs="Arial"/>
        </w:rPr>
        <w:t xml:space="preserve">tated </w:t>
      </w:r>
      <w:r w:rsidRPr="7E13C49D">
        <w:rPr>
          <w:rFonts w:ascii="Arial" w:hAnsi="Arial" w:cs="Arial"/>
        </w:rPr>
        <w:t>that efforts in this area should include:</w:t>
      </w:r>
      <w:r>
        <w:rPr>
          <w:rStyle w:val="FootnoteReference"/>
          <w:rFonts w:ascii="Arial" w:hAnsi="Arial" w:cs="Arial"/>
        </w:rPr>
        <w:footnoteReference w:id="11"/>
      </w:r>
      <w:r w:rsidRPr="7E13C49D">
        <w:rPr>
          <w:rFonts w:ascii="Arial" w:hAnsi="Arial" w:cs="Arial"/>
        </w:rPr>
        <w:t> </w:t>
      </w:r>
    </w:p>
    <w:p w:rsidR="00271CCF" w:rsidRPr="00F716AC" w:rsidP="49E8453A">
      <w:pPr>
        <w:outlineLvl w:val="2"/>
        <w:rPr>
          <w:rFonts w:ascii="Arial" w:hAnsi="Arial" w:cs="Arial"/>
        </w:rPr>
      </w:pPr>
    </w:p>
    <w:p w:rsidR="00271CCF" w:rsidP="49E8453A">
      <w:pPr>
        <w:numPr>
          <w:ilvl w:val="0"/>
          <w:numId w:val="5"/>
        </w:numPr>
        <w:outlineLvl w:val="2"/>
        <w:rPr>
          <w:rFonts w:ascii="Arial" w:hAnsi="Arial" w:cs="Arial"/>
        </w:rPr>
      </w:pPr>
      <w:r w:rsidRPr="49E8453A">
        <w:rPr>
          <w:rFonts w:ascii="Arial" w:hAnsi="Arial" w:cs="Arial"/>
        </w:rPr>
        <w:t>consistent funding targeted to areas of early intervention </w:t>
      </w:r>
    </w:p>
    <w:p w:rsidR="00271CCF" w:rsidRPr="00F716AC" w:rsidP="49E8453A">
      <w:pPr>
        <w:ind w:left="720"/>
        <w:outlineLvl w:val="2"/>
        <w:rPr>
          <w:rFonts w:ascii="Arial" w:hAnsi="Arial" w:cs="Arial"/>
        </w:rPr>
      </w:pPr>
    </w:p>
    <w:p w:rsidR="00271CCF" w:rsidP="49E8453A">
      <w:pPr>
        <w:numPr>
          <w:ilvl w:val="0"/>
          <w:numId w:val="6"/>
        </w:numPr>
        <w:outlineLvl w:val="2"/>
        <w:rPr>
          <w:rFonts w:ascii="Arial" w:hAnsi="Arial" w:cs="Arial"/>
        </w:rPr>
      </w:pPr>
      <w:r w:rsidRPr="49E8453A">
        <w:rPr>
          <w:rFonts w:ascii="Arial" w:hAnsi="Arial" w:cs="Arial"/>
        </w:rPr>
        <w:t>a better understanding by systems of the gaps in provision of care and treatment for their population to ensure that local areas can meet the needs of their children</w:t>
      </w:r>
    </w:p>
    <w:p w:rsidR="00271CCF" w:rsidRPr="00F716AC" w:rsidP="49E8453A">
      <w:pPr>
        <w:ind w:left="720"/>
        <w:outlineLvl w:val="2"/>
        <w:rPr>
          <w:rFonts w:ascii="Arial" w:hAnsi="Arial" w:cs="Arial"/>
        </w:rPr>
      </w:pPr>
    </w:p>
    <w:p w:rsidR="00271CCF" w:rsidP="49E8453A">
      <w:pPr>
        <w:numPr>
          <w:ilvl w:val="0"/>
          <w:numId w:val="7"/>
        </w:numPr>
        <w:outlineLvl w:val="2"/>
        <w:rPr>
          <w:rFonts w:ascii="Arial" w:hAnsi="Arial" w:cs="Arial"/>
        </w:rPr>
      </w:pPr>
      <w:r w:rsidRPr="49E8453A">
        <w:rPr>
          <w:rFonts w:ascii="Arial" w:hAnsi="Arial" w:cs="Arial"/>
        </w:rPr>
        <w:t>improved management of demand </w:t>
      </w:r>
    </w:p>
    <w:p w:rsidR="00271CCF" w:rsidRPr="00F716AC" w:rsidP="49E8453A">
      <w:pPr>
        <w:ind w:left="720"/>
        <w:outlineLvl w:val="2"/>
        <w:rPr>
          <w:rFonts w:ascii="Arial" w:hAnsi="Arial" w:cs="Arial"/>
        </w:rPr>
      </w:pPr>
    </w:p>
    <w:p w:rsidR="00271CCF" w:rsidP="49E8453A">
      <w:pPr>
        <w:numPr>
          <w:ilvl w:val="0"/>
          <w:numId w:val="8"/>
        </w:numPr>
        <w:outlineLvl w:val="2"/>
        <w:rPr>
          <w:rFonts w:ascii="Arial" w:hAnsi="Arial" w:cs="Arial"/>
        </w:rPr>
      </w:pPr>
      <w:r w:rsidRPr="3C1F729C">
        <w:rPr>
          <w:rFonts w:ascii="Arial" w:hAnsi="Arial" w:cs="Arial"/>
        </w:rPr>
        <w:t>better communication with children and their families</w:t>
      </w:r>
      <w:r>
        <w:rPr>
          <w:rStyle w:val="FootnoteReference"/>
          <w:rFonts w:ascii="Arial" w:hAnsi="Arial" w:cs="Arial"/>
        </w:rPr>
        <w:footnoteReference w:id="12"/>
      </w:r>
      <w:r w:rsidRPr="7E13C49D">
        <w:rPr>
          <w:rFonts w:ascii="Arial" w:hAnsi="Arial" w:cs="Arial"/>
        </w:rPr>
        <w:t> </w:t>
      </w:r>
    </w:p>
    <w:p w:rsidR="00271CCF" w:rsidRPr="00F716AC" w:rsidP="49E8453A">
      <w:pPr>
        <w:outlineLvl w:val="2"/>
        <w:rPr>
          <w:rFonts w:ascii="Arial" w:hAnsi="Arial" w:cs="Arial"/>
        </w:rPr>
      </w:pPr>
    </w:p>
    <w:p w:rsidR="00271CCF" w:rsidRPr="00F716AC" w:rsidP="49E8453A">
      <w:pPr>
        <w:outlineLvl w:val="2"/>
        <w:rPr>
          <w:rFonts w:ascii="Arial" w:hAnsi="Arial" w:cs="Arial"/>
        </w:rPr>
      </w:pPr>
      <w:r w:rsidRPr="49E8453A">
        <w:rPr>
          <w:rFonts w:ascii="Arial" w:hAnsi="Arial" w:cs="Arial"/>
        </w:rPr>
        <w:t>I hope this letter is helpful in assisting your inquiry. </w:t>
      </w:r>
    </w:p>
    <w:p w:rsidR="00271CCF" w:rsidP="49E8453A">
      <w:pPr>
        <w:outlineLvl w:val="2"/>
        <w:rPr>
          <w:rFonts w:ascii="Arial" w:hAnsi="Arial" w:cs="Arial"/>
        </w:rPr>
      </w:pPr>
    </w:p>
    <w:p w:rsidR="00271CCF" w:rsidRPr="00F716AC" w:rsidP="49E8453A">
      <w:pPr>
        <w:outlineLvl w:val="2"/>
        <w:rPr>
          <w:rFonts w:ascii="Arial" w:hAnsi="Arial" w:cs="Arial"/>
        </w:rPr>
      </w:pPr>
    </w:p>
    <w:p w:rsidR="00271CCF" w:rsidRPr="00F716AC" w:rsidP="49E8453A">
      <w:pPr>
        <w:outlineLvl w:val="2"/>
        <w:rPr>
          <w:rFonts w:ascii="Arial" w:hAnsi="Arial" w:cs="Arial"/>
        </w:rPr>
      </w:pPr>
      <w:r w:rsidRPr="49E8453A">
        <w:rPr>
          <w:rFonts w:ascii="Arial" w:hAnsi="Arial" w:cs="Arial"/>
        </w:rPr>
        <w:t>Chris Dzikiti </w:t>
      </w:r>
    </w:p>
    <w:p w:rsidR="00271CCF" w:rsidRPr="00F716AC" w:rsidP="49E8453A">
      <w:pPr>
        <w:outlineLvl w:val="2"/>
        <w:rPr>
          <w:rFonts w:ascii="Arial" w:hAnsi="Arial" w:cs="Arial"/>
        </w:rPr>
      </w:pPr>
      <w:r w:rsidRPr="49E8453A">
        <w:rPr>
          <w:rFonts w:ascii="Arial" w:hAnsi="Arial" w:cs="Arial"/>
        </w:rPr>
        <w:t>Interim Chief Inspector of Mental Health </w:t>
      </w:r>
    </w:p>
    <w:p w:rsidR="00271CCF" w:rsidP="00F716AC">
      <w:pPr>
        <w:outlineLvl w:val="2"/>
        <w:rPr>
          <w:rFonts w:ascii="Arial" w:hAnsi="Arial" w:cs="Arial"/>
          <w:bCs/>
        </w:rPr>
      </w:pPr>
    </w:p>
    <w:p w:rsidR="00271CCF" w:rsidRPr="00BF6BBD" w:rsidP="00F716AC">
      <w:pPr>
        <w:outlineLvl w:val="2"/>
        <w:rPr>
          <w:rFonts w:ascii="Arial" w:hAnsi="Arial" w:cs="Arial"/>
          <w:bCs/>
          <w:i/>
          <w:iCs/>
        </w:rPr>
      </w:pPr>
      <w:r w:rsidRPr="00BF6BBD">
        <w:rPr>
          <w:rFonts w:ascii="Arial" w:hAnsi="Arial" w:cs="Arial"/>
          <w:bCs/>
          <w:i/>
          <w:iCs/>
        </w:rPr>
        <w:t>April 2026</w:t>
      </w:r>
    </w:p>
    <w:p w:rsidR="00271CCF" w:rsidP="007B01FB">
      <w:pPr>
        <w:outlineLvl w:val="2"/>
        <w:rPr>
          <w:rFonts w:ascii="Arial" w:hAnsi="Arial" w:cs="Arial"/>
          <w:bCs/>
        </w:rPr>
      </w:pPr>
    </w:p>
    <w:p w:rsidR="00271CCF" w:rsidRPr="007B01FB" w:rsidP="007B01FB">
      <w:pPr>
        <w:outlineLvl w:val="2"/>
        <w:rPr>
          <w:rFonts w:ascii="Arial" w:hAnsi="Arial" w:cs="Arial"/>
          <w:b/>
        </w:rPr>
      </w:pPr>
    </w:p>
    <w:sectPr w:rsidSect="00462AAB">
      <w:headerReference w:type="default" r:id="rId5"/>
      <w:pgSz w:w="11900" w:h="16840" w:code="9"/>
      <w:pgMar w:top="1418" w:right="1531" w:bottom="1418" w:left="1361" w:header="709" w:footer="510"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tisSemiSerif">
    <w:altName w:val="Courier New"/>
    <w:charset w:val="00"/>
    <w:family w:val="auto"/>
    <w:pitch w:val="variable"/>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71CCF">
      <w:r>
        <w:separator/>
      </w:r>
    </w:p>
  </w:footnote>
  <w:footnote w:type="continuationSeparator" w:id="1">
    <w:p w:rsidR="00271CCF">
      <w:r>
        <w:continuationSeparator/>
      </w:r>
    </w:p>
  </w:footnote>
  <w:footnote w:id="2">
    <w:p w:rsidR="00271CCF" w:rsidRPr="00AE7B94">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"https://www.cqc.org.uk/press-release/people-waiting-too-long-mental-health-care-and-becoming-more-ill-while-they-wait-cqc" \t "_blank" </w:instrText>
      </w:r>
      <w:r>
        <w:fldChar w:fldCharType="separate"/>
      </w:r>
      <w:r w:rsidRPr="00AE7B94">
        <w:rPr>
          <w:rStyle w:val="Hyperlink"/>
          <w:rFonts w:ascii="Arial" w:hAnsi="Arial" w:cs="Arial"/>
        </w:rPr>
        <w:t>People waiting too long for mental health care and becoming more ill while they wait, CQC finds - Care Quality Commission</w:t>
      </w:r>
      <w:r>
        <w:fldChar w:fldCharType="end"/>
      </w:r>
      <w:r w:rsidRPr="00AE7B94">
        <w:rPr>
          <w:rFonts w:ascii="Arial" w:hAnsi="Arial" w:cs="Arial"/>
        </w:rPr>
        <w:t> </w:t>
      </w:r>
    </w:p>
  </w:footnote>
  <w:footnote w:id="3">
    <w:p w:rsidR="00271CCF">
      <w:pPr>
        <w:pStyle w:val="FootnoteText"/>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"https://www.cqc.org.uk/publications/major-report/state-care/2024-2025/focus/cyp" \t "_blank" </w:instrText>
      </w:r>
      <w:r>
        <w:fldChar w:fldCharType="separate"/>
      </w:r>
      <w:r w:rsidRPr="00AE7B94">
        <w:rPr>
          <w:rStyle w:val="Hyperlink"/>
          <w:rFonts w:ascii="Arial" w:hAnsi="Arial" w:cs="Arial"/>
        </w:rPr>
        <w:t>https://www.cqc.org.uk/publications/major-report/state-care/2024-2025/focus/cyp</w:t>
      </w:r>
      <w:r>
        <w:fldChar w:fldCharType="end"/>
      </w:r>
      <w:r w:rsidRPr="00F716AC">
        <w:t> </w:t>
      </w:r>
    </w:p>
  </w:footnote>
  <w:footnote w:id="4">
    <w:p w:rsidR="00271CCF" w:rsidRPr="00AE7B94" w:rsidP="61E3A511">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"https://www.cqc.org.uk/publications/surveys/community-mental-health-survey" </w:instrText>
      </w:r>
      <w:r>
        <w:fldChar w:fldCharType="separate"/>
      </w:r>
      <w:r w:rsidRPr="00AE7B94">
        <w:rPr>
          <w:rStyle w:val="Hyperlink"/>
          <w:rFonts w:ascii="Arial" w:hAnsi="Arial" w:cs="Arial"/>
        </w:rPr>
        <w:t>Community mental health survey 2025 - Care Quality Commission</w:t>
      </w:r>
      <w:r>
        <w:fldChar w:fldCharType="end"/>
      </w:r>
    </w:p>
  </w:footnote>
  <w:footnote w:id="5">
    <w:p w:rsidR="00271CCF" w:rsidRPr="00AE7B94">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"https://www.gov.uk/government/publications/multi-agency-responses-to-serious-youth-violence-working-together-to-support-and-protect-children/multi-agency-responses-to-serious-youth-violence-working-together-to-support-and-protect-children" \t "_blank" </w:instrText>
      </w:r>
      <w:r>
        <w:fldChar w:fldCharType="separate"/>
      </w:r>
      <w:r w:rsidRPr="00AE7B94">
        <w:rPr>
          <w:rStyle w:val="Hyperlink"/>
          <w:rFonts w:ascii="Arial" w:hAnsi="Arial" w:cs="Arial"/>
        </w:rPr>
        <w:t>Multi-agency responses to serious youth violence: working together to support and protect children - GOV.UK</w:t>
      </w:r>
      <w:r>
        <w:fldChar w:fldCharType="end"/>
      </w:r>
    </w:p>
  </w:footnote>
  <w:footnote w:id="6">
    <w:p w:rsidR="00271CCF" w:rsidRPr="00663D53">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"https://www.cqc.org.uk/publications/major-report/state-care/2023-2024/areas-of-concern/cyp" </w:instrText>
      </w:r>
      <w:r>
        <w:fldChar w:fldCharType="separate"/>
      </w:r>
      <w:r w:rsidRPr="00AE7B94">
        <w:rPr>
          <w:rStyle w:val="Hyperlink"/>
          <w:rFonts w:ascii="Arial" w:hAnsi="Arial" w:cs="Arial"/>
        </w:rPr>
        <w:t>https://www.cqc.org.uk/publications/major-report/state-care/2023-2024/areas-of-concern/cyp</w:t>
      </w:r>
      <w:r>
        <w:fldChar w:fldCharType="end"/>
      </w:r>
      <w:r w:rsidRPr="00663D53">
        <w:rPr>
          <w:rFonts w:ascii="Arial" w:hAnsi="Arial" w:cs="Arial"/>
        </w:rPr>
        <w:t xml:space="preserve">  </w:t>
      </w:r>
    </w:p>
  </w:footnote>
  <w:footnote w:id="7">
    <w:p w:rsidR="00271CCF" w:rsidRPr="00AE7B94" w:rsidP="61E3A511">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"https://www.cqc.org.uk/publications/surveys/cyp" </w:instrText>
      </w:r>
      <w:r>
        <w:fldChar w:fldCharType="separate"/>
      </w:r>
      <w:r w:rsidRPr="00AE7B94">
        <w:rPr>
          <w:rStyle w:val="Hyperlink"/>
          <w:rFonts w:ascii="Arial" w:hAnsi="Arial" w:cs="Arial"/>
        </w:rPr>
        <w:t>Children and young people's survey 2024 - Care Quality Commission</w:t>
      </w:r>
      <w:r>
        <w:fldChar w:fldCharType="end"/>
      </w:r>
    </w:p>
  </w:footnote>
  <w:footnote w:id="8">
    <w:p w:rsidR="00271CCF" w:rsidRPr="00AE7B94">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"https://www.cqc.org.uk/publications/monitoring-mental-health-act/2024-2025" \t "_blank" </w:instrText>
      </w:r>
      <w:r>
        <w:fldChar w:fldCharType="separate"/>
      </w:r>
      <w:r w:rsidRPr="00AE7B94">
        <w:rPr>
          <w:rStyle w:val="Hyperlink"/>
          <w:rFonts w:ascii="Arial" w:hAnsi="Arial" w:cs="Arial"/>
        </w:rPr>
        <w:t>Monitoring the Mental Health Act in 2024/25 - Care Quality Commission</w:t>
      </w:r>
      <w:r>
        <w:fldChar w:fldCharType="end"/>
      </w:r>
      <w:r w:rsidRPr="00AE7B94">
        <w:rPr>
          <w:rFonts w:ascii="Arial" w:hAnsi="Arial" w:cs="Arial"/>
        </w:rPr>
        <w:t> </w:t>
      </w:r>
    </w:p>
  </w:footnote>
  <w:footnote w:id="9">
    <w:p w:rsidR="00271CCF" w:rsidRPr="00AE7B94">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"https://www.gov.uk/government/publications/the-experiences-of-children-with-send-who-are-not-in-school-a-thematic-review/beyond-the-classroom-the-experiences-of-children-with-send-who-are-not-in-school" \l "recommendations" \t "_blank" </w:instrText>
      </w:r>
      <w:r>
        <w:fldChar w:fldCharType="separate"/>
      </w:r>
      <w:r w:rsidRPr="00AE7B94">
        <w:rPr>
          <w:rStyle w:val="Hyperlink"/>
          <w:rFonts w:ascii="Arial" w:hAnsi="Arial" w:cs="Arial"/>
        </w:rPr>
        <w:t>Beyond the classroom: the experiences of children with SEND who are not in school - GOV.UK</w:t>
      </w:r>
      <w:r>
        <w:fldChar w:fldCharType="end"/>
      </w:r>
    </w:p>
  </w:footnote>
  <w:footnote w:id="10">
    <w:p w:rsidR="00271CCF">
      <w:pPr>
        <w:pStyle w:val="FootnoteText"/>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"https://api.cqc.org.uk/public/v1/reports/f0497f1a-9356-4e56-8fb2-ac6c5558d571?20230123080047" \t "_blank" </w:instrText>
      </w:r>
      <w:r>
        <w:fldChar w:fldCharType="separate"/>
      </w:r>
      <w:r w:rsidRPr="00AE7B94">
        <w:rPr>
          <w:rStyle w:val="Hyperlink"/>
          <w:rFonts w:ascii="Arial" w:hAnsi="Arial" w:cs="Arial"/>
        </w:rPr>
        <w:t>Trust - RH5 Somerset NHS Foundation Trust (23/01/2023) INS2-13546460131</w:t>
      </w:r>
      <w:r>
        <w:fldChar w:fldCharType="end"/>
      </w:r>
    </w:p>
  </w:footnote>
  <w:footnote w:id="11">
    <w:p w:rsidR="00271CCF" w:rsidRPr="00AE7B94" w:rsidP="7E13C49D">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"https://www.cqc.org.uk/publications/major-report/state-care/2023-2024" </w:instrText>
      </w:r>
      <w:r>
        <w:fldChar w:fldCharType="separate"/>
      </w:r>
      <w:r w:rsidRPr="00AE7B94">
        <w:rPr>
          <w:rStyle w:val="Hyperlink"/>
          <w:rFonts w:ascii="Arial" w:hAnsi="Arial" w:cs="Arial"/>
        </w:rPr>
        <w:t>The state of health care and adult social care in England 2023/24 - Care Quality Commission</w:t>
      </w:r>
      <w:r>
        <w:fldChar w:fldCharType="end"/>
      </w:r>
    </w:p>
  </w:footnote>
  <w:footnote w:id="12">
    <w:p w:rsidR="00271CCF" w:rsidRPr="00663D53">
      <w:pPr>
        <w:pStyle w:val="FootnoteText"/>
        <w:rPr>
          <w:rFonts w:ascii="Arial" w:hAnsi="Arial" w:cs="Arial"/>
        </w:rPr>
      </w:pPr>
      <w:r w:rsidRPr="00AE7B94">
        <w:rPr>
          <w:rStyle w:val="FootnoteReference"/>
          <w:rFonts w:ascii="Arial" w:hAnsi="Arial" w:cs="Arial"/>
        </w:rPr>
        <w:footnoteRef/>
      </w:r>
      <w:r w:rsidRPr="00AE7B94">
        <w:rPr>
          <w:rFonts w:ascii="Arial" w:hAnsi="Arial" w:cs="Arial"/>
        </w:rPr>
        <w:t xml:space="preserve"> </w:t>
      </w:r>
      <w:r>
        <w:fldChar w:fldCharType="begin"/>
      </w:r>
      <w:r>
        <w:instrText xml:space="preserve"> HYPERLINK "https://www.cqc.org.uk/publications/major-report/state-care/2023-2024/foreword" \t "_blank" </w:instrText>
      </w:r>
      <w:r>
        <w:fldChar w:fldCharType="separate"/>
      </w:r>
      <w:r w:rsidRPr="00AE7B94">
        <w:rPr>
          <w:rStyle w:val="Hyperlink"/>
          <w:rFonts w:ascii="Arial" w:hAnsi="Arial" w:cs="Arial"/>
        </w:rPr>
        <w:t>https://www.cqc.org.uk/publications/major-report/state-care/2023-2024/foreword</w:t>
      </w:r>
      <w:r>
        <w:fldChar w:fldCharType="end"/>
      </w:r>
      <w:r w:rsidRPr="00663D53">
        <w:rPr>
          <w:rFonts w:ascii="Arial" w:hAnsi="Arial" w:cs="Arial"/>
        </w:rPr>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1CCF" w:rsidP="002A4BE2">
    <w:pPr>
      <w:pStyle w:val="Header"/>
      <w:ind w:left="-85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D7F94"/>
    <w:multiLevelType w:val="multilevel"/>
    <w:tmpl w:val="5C269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F4697B"/>
    <w:multiLevelType w:val="hybridMultilevel"/>
    <w:tmpl w:val="E384F3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5134172"/>
    <w:multiLevelType w:val="multilevel"/>
    <w:tmpl w:val="FCFC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512BFC"/>
    <w:multiLevelType w:val="multilevel"/>
    <w:tmpl w:val="468A7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21F6A0B"/>
    <w:multiLevelType w:val="hybridMultilevel"/>
    <w:tmpl w:val="D69EED6A"/>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4BA7008E"/>
    <w:multiLevelType w:val="hybridMultilevel"/>
    <w:tmpl w:val="DCA8D3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4BD27623"/>
    <w:multiLevelType w:val="multilevel"/>
    <w:tmpl w:val="BAF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E7D50E2"/>
    <w:multiLevelType w:val="multilevel"/>
    <w:tmpl w:val="DCA8D3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61137315"/>
    <w:multiLevelType w:val="multilevel"/>
    <w:tmpl w:val="6234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7"/>
  </w:num>
  <w:num w:numId="3">
    <w:abstractNumId w:val="4"/>
  </w:num>
  <w:num w:numId="4">
    <w:abstractNumId w:val="1"/>
  </w:num>
  <w:num w:numId="5">
    <w:abstractNumId w:val="3"/>
  </w:num>
  <w:num w:numId="6">
    <w:abstractNumId w:val="6"/>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7D84"/>
    <w:rPr>
      <w:rFonts w:ascii="RotisSemiSerif" w:hAnsi="RotisSemiSerif"/>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BasicParagraph">
    <w:name w:val="[Basic Paragraph]"/>
    <w:basedOn w:val="Normal"/>
    <w:pPr>
      <w:widowControl w:val="0"/>
      <w:autoSpaceDE w:val="0"/>
      <w:autoSpaceDN w:val="0"/>
      <w:adjustRightInd w:val="0"/>
      <w:spacing w:line="288" w:lineRule="auto"/>
      <w:textAlignment w:val="center"/>
    </w:pPr>
    <w:rPr>
      <w:rFonts w:ascii="Times-Roman" w:hAnsi="Times-Roman" w:cs="Times-Roman"/>
      <w:color w:val="000000"/>
      <w:lang w:val="en-US" w:bidi="en-US"/>
    </w:rPr>
  </w:style>
  <w:style w:type="character" w:styleId="Hyperlink">
    <w:name w:val="Hyperlink"/>
    <w:basedOn w:val="DefaultParagraphFont"/>
    <w:rPr>
      <w:color w:val="0000FF"/>
      <w:u w:val="single"/>
    </w:rPr>
  </w:style>
  <w:style w:type="paragraph" w:styleId="BalloonText">
    <w:name w:val="Balloon Text"/>
    <w:basedOn w:val="Normal"/>
    <w:link w:val="BalloonTextChar"/>
    <w:rsid w:val="009A21DD"/>
    <w:rPr>
      <w:rFonts w:ascii="Tahoma" w:hAnsi="Tahoma" w:cs="Tahoma"/>
      <w:sz w:val="16"/>
      <w:szCs w:val="16"/>
    </w:rPr>
  </w:style>
  <w:style w:type="character" w:customStyle="1" w:styleId="BalloonTextChar">
    <w:name w:val="Balloon Text Char"/>
    <w:basedOn w:val="DefaultParagraphFont"/>
    <w:link w:val="BalloonText"/>
    <w:rsid w:val="009A21DD"/>
    <w:rPr>
      <w:rFonts w:ascii="Tahoma" w:hAnsi="Tahoma" w:cs="Tahoma"/>
      <w:sz w:val="16"/>
      <w:szCs w:val="16"/>
      <w:lang w:eastAsia="en-US"/>
    </w:rPr>
  </w:style>
  <w:style w:type="character" w:customStyle="1" w:styleId="FooterChar">
    <w:name w:val="Footer Char"/>
    <w:basedOn w:val="DefaultParagraphFont"/>
    <w:link w:val="Footer"/>
    <w:uiPriority w:val="99"/>
    <w:rsid w:val="008A7EA5"/>
    <w:rPr>
      <w:rFonts w:ascii="RotisSemiSerif" w:hAnsi="RotisSemiSerif"/>
      <w:sz w:val="24"/>
      <w:szCs w:val="24"/>
      <w:lang w:eastAsia="en-US"/>
    </w:rPr>
  </w:style>
  <w:style w:type="paragraph" w:styleId="Revision">
    <w:name w:val="Revision"/>
    <w:hidden/>
    <w:uiPriority w:val="99"/>
    <w:semiHidden/>
    <w:rsid w:val="00A52795"/>
    <w:rPr>
      <w:rFonts w:ascii="RotisSemiSerif" w:hAnsi="RotisSemiSerif"/>
      <w:sz w:val="24"/>
      <w:szCs w:val="24"/>
      <w:lang w:eastAsia="en-US"/>
    </w:rPr>
  </w:style>
  <w:style w:type="character" w:styleId="CommentReference">
    <w:name w:val="annotation reference"/>
    <w:basedOn w:val="DefaultParagraphFont"/>
    <w:semiHidden/>
    <w:unhideWhenUsed/>
    <w:rsid w:val="00A34CF5"/>
    <w:rPr>
      <w:sz w:val="16"/>
      <w:szCs w:val="16"/>
    </w:rPr>
  </w:style>
  <w:style w:type="paragraph" w:styleId="CommentText">
    <w:name w:val="annotation text"/>
    <w:basedOn w:val="Normal"/>
    <w:link w:val="CommentTextChar"/>
    <w:unhideWhenUsed/>
    <w:rsid w:val="00A34CF5"/>
    <w:rPr>
      <w:sz w:val="20"/>
      <w:szCs w:val="20"/>
    </w:rPr>
  </w:style>
  <w:style w:type="character" w:customStyle="1" w:styleId="CommentTextChar">
    <w:name w:val="Comment Text Char"/>
    <w:basedOn w:val="DefaultParagraphFont"/>
    <w:link w:val="CommentText"/>
    <w:rsid w:val="00A34CF5"/>
    <w:rPr>
      <w:rFonts w:ascii="RotisSemiSerif" w:hAnsi="RotisSemiSerif"/>
      <w:lang w:eastAsia="en-US"/>
    </w:rPr>
  </w:style>
  <w:style w:type="paragraph" w:styleId="CommentSubject">
    <w:name w:val="annotation subject"/>
    <w:basedOn w:val="CommentText"/>
    <w:next w:val="CommentText"/>
    <w:link w:val="CommentSubjectChar"/>
    <w:semiHidden/>
    <w:unhideWhenUsed/>
    <w:rsid w:val="00A34CF5"/>
    <w:rPr>
      <w:b/>
      <w:bCs/>
    </w:rPr>
  </w:style>
  <w:style w:type="character" w:customStyle="1" w:styleId="CommentSubjectChar">
    <w:name w:val="Comment Subject Char"/>
    <w:basedOn w:val="CommentTextChar"/>
    <w:link w:val="CommentSubject"/>
    <w:semiHidden/>
    <w:rsid w:val="00A34CF5"/>
    <w:rPr>
      <w:rFonts w:ascii="RotisSemiSerif" w:hAnsi="RotisSemiSerif"/>
      <w:b/>
      <w:bCs/>
      <w:lang w:eastAsia="en-US"/>
    </w:rPr>
  </w:style>
  <w:style w:type="paragraph" w:styleId="ListParagraph">
    <w:name w:val="List Paragraph"/>
    <w:basedOn w:val="Normal"/>
    <w:uiPriority w:val="34"/>
    <w:qFormat/>
    <w:rsid w:val="00253F5F"/>
    <w:pPr>
      <w:ind w:left="720"/>
      <w:contextualSpacing/>
    </w:pPr>
  </w:style>
  <w:style w:type="character" w:customStyle="1" w:styleId="UnresolvedMention1">
    <w:name w:val="Unresolved Mention1"/>
    <w:basedOn w:val="DefaultParagraphFont"/>
    <w:uiPriority w:val="99"/>
    <w:semiHidden/>
    <w:unhideWhenUsed/>
    <w:rsid w:val="00FD55C7"/>
    <w:rPr>
      <w:color w:val="605E5C"/>
      <w:shd w:val="clear" w:color="auto" w:fill="E1DFDD"/>
    </w:rPr>
  </w:style>
  <w:style w:type="character" w:styleId="FollowedHyperlink">
    <w:name w:val="FollowedHyperlink"/>
    <w:basedOn w:val="DefaultParagraphFont"/>
    <w:semiHidden/>
    <w:unhideWhenUsed/>
    <w:rsid w:val="00333502"/>
    <w:rPr>
      <w:color w:val="800080" w:themeColor="followedHyperlink"/>
      <w:u w:val="single"/>
    </w:rPr>
  </w:style>
  <w:style w:type="paragraph" w:styleId="FootnoteText">
    <w:name w:val="footnote text"/>
    <w:basedOn w:val="Normal"/>
    <w:link w:val="FootnoteTextChar"/>
    <w:semiHidden/>
    <w:unhideWhenUsed/>
    <w:rsid w:val="00F716AC"/>
    <w:rPr>
      <w:sz w:val="20"/>
      <w:szCs w:val="20"/>
    </w:rPr>
  </w:style>
  <w:style w:type="character" w:customStyle="1" w:styleId="FootnoteTextChar">
    <w:name w:val="Footnote Text Char"/>
    <w:basedOn w:val="DefaultParagraphFont"/>
    <w:link w:val="FootnoteText"/>
    <w:semiHidden/>
    <w:rsid w:val="00F716AC"/>
    <w:rPr>
      <w:rFonts w:ascii="RotisSemiSerif" w:hAnsi="RotisSemiSerif"/>
      <w:lang w:eastAsia="en-US"/>
    </w:rPr>
  </w:style>
  <w:style w:type="character" w:styleId="FootnoteReference">
    <w:name w:val="footnote reference"/>
    <w:basedOn w:val="DefaultParagraphFont"/>
    <w:semiHidden/>
    <w:unhideWhenUsed/>
    <w:rsid w:val="00F716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CYM0249</dc:title>
  <cp:revision>0</cp:revision>
</cp:coreProperties>
</file>