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37B7" w:rsidRPr="00EF256E" w:rsidP="00F637B7">
      <w:pPr>
        <w:jc w:val="center"/>
        <w:rPr>
          <w:b/>
          <w:bCs/>
          <w:sz w:val="32"/>
          <w:szCs w:val="32"/>
        </w:rPr>
      </w:pPr>
      <w:r w:rsidRPr="00EF256E">
        <w:rPr>
          <w:b/>
          <w:bCs/>
          <w:sz w:val="32"/>
          <w:szCs w:val="32"/>
        </w:rPr>
        <w:t xml:space="preserve">Written Evidence Submitted by </w:t>
      </w:r>
      <w:r w:rsidRPr="00EF256E">
        <w:rPr>
          <w:b/>
          <w:bCs/>
          <w:sz w:val="32"/>
          <w:szCs w:val="32"/>
        </w:rPr>
        <w:br/>
      </w:r>
      <w:r w:rsidRPr="00F637B7">
        <w:rPr>
          <w:b/>
          <w:bCs/>
          <w:sz w:val="32"/>
          <w:szCs w:val="32"/>
        </w:rPr>
        <w:t>University of Bath NHR Mental Health Research Group</w:t>
      </w:r>
      <w:r w:rsidRPr="00EF256E">
        <w:rPr>
          <w:b/>
          <w:bCs/>
          <w:sz w:val="32"/>
          <w:szCs w:val="32"/>
        </w:rPr>
        <w:t xml:space="preserve"> (CYM024</w:t>
      </w:r>
      <w:r>
        <w:rPr>
          <w:b/>
          <w:bCs/>
          <w:sz w:val="32"/>
          <w:szCs w:val="32"/>
        </w:rPr>
        <w:t>4</w:t>
      </w:r>
      <w:r w:rsidRPr="00EF256E">
        <w:rPr>
          <w:b/>
          <w:bCs/>
          <w:sz w:val="32"/>
          <w:szCs w:val="32"/>
        </w:rPr>
        <w:t>)</w:t>
      </w:r>
    </w:p>
    <w:p w:rsidR="00895944" w:rsidRPr="00355DA0" w:rsidP="00355DA0">
      <w:pPr>
        <w:spacing w:line="276" w:lineRule="auto"/>
        <w:rPr>
          <w:rFonts w:ascii="Calibri" w:hAnsi="Calibri" w:cs="Calibri"/>
          <w:b/>
          <w:bCs/>
          <w:sz w:val="22"/>
          <w:szCs w:val="22"/>
          <w:lang w:val="en-GB"/>
        </w:rPr>
      </w:pPr>
    </w:p>
    <w:p w:rsidR="00895944" w:rsidRPr="00355DA0" w:rsidP="00992865">
      <w:pPr>
        <w:spacing w:line="276" w:lineRule="auto"/>
        <w:rPr>
          <w:rFonts w:ascii="Calibri" w:hAnsi="Calibri" w:cs="Calibri"/>
          <w:b/>
          <w:bCs/>
          <w:sz w:val="22"/>
          <w:szCs w:val="22"/>
          <w:lang w:val="en-GB"/>
        </w:rPr>
      </w:pPr>
      <w:r>
        <w:fldChar w:fldCharType="begin"/>
      </w:r>
      <w:r>
        <w:instrText xml:space="preserve"> HYPERLINK "https://admin.committees.parliament.uk/Committee/203/CommitteeBusiness/9627/CommitteeBusinessSubmissionPeriod/Edit/3854" </w:instrText>
      </w:r>
      <w:r>
        <w:fldChar w:fldCharType="separate"/>
      </w:r>
      <w:r w:rsidRPr="00355DA0">
        <w:rPr>
          <w:rStyle w:val="Hyperlink"/>
          <w:rFonts w:ascii="Calibri" w:hAnsi="Calibri" w:cs="Calibri"/>
          <w:b/>
          <w:bCs/>
          <w:color w:val="auto"/>
          <w:sz w:val="22"/>
          <w:szCs w:val="22"/>
          <w:u w:val="none"/>
          <w:lang w:val="en-GB"/>
        </w:rPr>
        <w:t>Children and Young People's Mental Health</w:t>
      </w:r>
      <w:r>
        <w:fldChar w:fldCharType="end"/>
      </w:r>
    </w:p>
    <w:p w:rsidR="00895944" w:rsidRPr="00355DA0" w:rsidP="00992865">
      <w:pPr>
        <w:spacing w:line="276" w:lineRule="auto"/>
        <w:rPr>
          <w:rFonts w:ascii="Calibri" w:hAnsi="Calibri" w:cs="Calibri"/>
          <w:b/>
          <w:bCs/>
          <w:sz w:val="22"/>
          <w:szCs w:val="22"/>
        </w:rPr>
      </w:pPr>
    </w:p>
    <w:p w:rsidR="00895944" w:rsidRPr="00355DA0" w:rsidP="00992865">
      <w:pPr>
        <w:spacing w:line="276" w:lineRule="auto"/>
        <w:rPr>
          <w:rFonts w:ascii="Calibri" w:hAnsi="Calibri" w:cs="Calibri"/>
          <w:b/>
          <w:bCs/>
          <w:sz w:val="22"/>
          <w:szCs w:val="22"/>
        </w:rPr>
      </w:pPr>
      <w:r w:rsidRPr="00355DA0">
        <w:rPr>
          <w:rFonts w:ascii="Calibri" w:hAnsi="Calibri" w:cs="Calibri"/>
          <w:b/>
          <w:bCs/>
          <w:sz w:val="22"/>
          <w:szCs w:val="22"/>
        </w:rPr>
        <w:t>Topic: The role of NHS and specialist mental health services in support and delivery</w:t>
      </w:r>
    </w:p>
    <w:p w:rsidR="00895944" w:rsidRPr="00355DA0" w:rsidP="00992865">
      <w:pPr>
        <w:spacing w:line="276" w:lineRule="auto"/>
        <w:rPr>
          <w:rFonts w:ascii="Calibri" w:hAnsi="Calibri" w:cs="Calibri"/>
          <w:b/>
          <w:bCs/>
          <w:sz w:val="22"/>
          <w:szCs w:val="22"/>
        </w:rPr>
      </w:pPr>
      <w:r w:rsidRPr="00355DA0">
        <w:rPr>
          <w:rFonts w:ascii="Calibri" w:hAnsi="Calibri" w:cs="Calibri"/>
          <w:b/>
          <w:bCs/>
          <w:sz w:val="22"/>
          <w:szCs w:val="22"/>
        </w:rPr>
        <w:t xml:space="preserve">What reforms to CAMHS would best support: </w:t>
      </w:r>
    </w:p>
    <w:p w:rsidR="00895944" w:rsidRPr="00355DA0" w:rsidP="00992865">
      <w:pPr>
        <w:pStyle w:val="ListParagraph"/>
        <w:numPr>
          <w:ilvl w:val="0"/>
          <w:numId w:val="6"/>
        </w:numPr>
        <w:spacing w:line="276" w:lineRule="auto"/>
        <w:rPr>
          <w:rFonts w:ascii="Calibri" w:hAnsi="Calibri" w:cs="Calibri"/>
          <w:b/>
          <w:bCs/>
          <w:sz w:val="22"/>
          <w:szCs w:val="22"/>
        </w:rPr>
      </w:pPr>
      <w:r w:rsidRPr="00355DA0">
        <w:rPr>
          <w:rFonts w:ascii="Calibri" w:hAnsi="Calibri" w:cs="Calibri"/>
          <w:b/>
          <w:bCs/>
          <w:sz w:val="22"/>
          <w:szCs w:val="22"/>
        </w:rPr>
        <w:t>Timely, equitable and continued access to specialist mental health care for children and young people?</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 xml:space="preserve">Young people and families can face lengthy waiting lists for assessment for specialist mental health care. These waits can be compounded for those whose needs include assessment for suspected neurodevelopmental conditions.   These waits can be driven by organisational issues </w:t>
      </w:r>
      <w:r w:rsidRPr="00355DA0">
        <w:rPr>
          <w:rFonts w:ascii="Calibri" w:hAnsi="Calibri" w:cs="Calibri"/>
          <w:sz w:val="22"/>
          <w:szCs w:val="22"/>
        </w:rPr>
        <w:t xml:space="preserve">in some regions where </w:t>
      </w:r>
      <w:r w:rsidRPr="00355DA0">
        <w:rPr>
          <w:rFonts w:ascii="Calibri" w:hAnsi="Calibri" w:cs="Calibri"/>
          <w:sz w:val="22"/>
          <w:szCs w:val="22"/>
        </w:rPr>
        <w:t>a mosaic of commissioned providers specialis</w:t>
      </w:r>
      <w:r w:rsidRPr="00355DA0">
        <w:rPr>
          <w:rFonts w:ascii="Calibri" w:hAnsi="Calibri" w:cs="Calibri"/>
          <w:sz w:val="22"/>
          <w:szCs w:val="22"/>
        </w:rPr>
        <w:t>e</w:t>
      </w:r>
      <w:r w:rsidRPr="00355DA0">
        <w:rPr>
          <w:rFonts w:ascii="Calibri" w:hAnsi="Calibri" w:cs="Calibri"/>
          <w:sz w:val="22"/>
          <w:szCs w:val="22"/>
        </w:rPr>
        <w:t xml:space="preserve"> in </w:t>
      </w:r>
      <w:r w:rsidRPr="00355DA0">
        <w:rPr>
          <w:rFonts w:ascii="Calibri" w:hAnsi="Calibri" w:cs="Calibri"/>
          <w:sz w:val="22"/>
          <w:szCs w:val="22"/>
        </w:rPr>
        <w:t>specific</w:t>
      </w:r>
      <w:r w:rsidRPr="00355DA0">
        <w:rPr>
          <w:rFonts w:ascii="Calibri" w:hAnsi="Calibri" w:cs="Calibri"/>
          <w:sz w:val="22"/>
          <w:szCs w:val="22"/>
        </w:rPr>
        <w:t xml:space="preserve"> clinical areas</w:t>
      </w:r>
      <w:r w:rsidRPr="00355DA0">
        <w:rPr>
          <w:rFonts w:ascii="Calibri" w:hAnsi="Calibri" w:cs="Calibri"/>
          <w:sz w:val="22"/>
          <w:szCs w:val="22"/>
        </w:rPr>
        <w:t xml:space="preserve"> and service provision becomes ‘siloed’</w:t>
      </w:r>
      <w:r w:rsidRPr="00355DA0">
        <w:rPr>
          <w:rFonts w:ascii="Calibri" w:hAnsi="Calibri" w:cs="Calibri"/>
          <w:sz w:val="22"/>
          <w:szCs w:val="22"/>
        </w:rPr>
        <w:t xml:space="preserve">.  Children and young people can experience </w:t>
      </w:r>
      <w:r w:rsidRPr="00355DA0">
        <w:rPr>
          <w:rFonts w:ascii="Calibri" w:hAnsi="Calibri" w:cs="Calibri"/>
          <w:sz w:val="22"/>
          <w:szCs w:val="22"/>
        </w:rPr>
        <w:t xml:space="preserve">multiple </w:t>
      </w:r>
      <w:r w:rsidRPr="00355DA0">
        <w:rPr>
          <w:rFonts w:ascii="Calibri" w:hAnsi="Calibri" w:cs="Calibri"/>
          <w:sz w:val="22"/>
          <w:szCs w:val="22"/>
        </w:rPr>
        <w:t>ongoing referrals, telling their story repeatedly</w:t>
      </w:r>
      <w:r w:rsidRPr="00355DA0">
        <w:rPr>
          <w:rFonts w:ascii="Calibri" w:hAnsi="Calibri" w:cs="Calibri"/>
          <w:sz w:val="22"/>
          <w:szCs w:val="22"/>
        </w:rPr>
        <w:t xml:space="preserve"> until needs are cumulatively understood</w:t>
      </w:r>
      <w:r w:rsidRPr="00355DA0">
        <w:rPr>
          <w:rFonts w:ascii="Calibri" w:hAnsi="Calibri" w:cs="Calibri"/>
          <w:sz w:val="22"/>
          <w:szCs w:val="22"/>
        </w:rPr>
        <w:t xml:space="preserve">.  Greater collaboration between different service providers, with schools and educators as the ‘front’ door can facilitate timely access to help, and support more comprehensively informed, multi-disciplinary initial assessment, signposting best practice early help and most appropriate ongoing referral if needed. </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 xml:space="preserve">We </w:t>
      </w:r>
      <w:r w:rsidRPr="00355DA0">
        <w:rPr>
          <w:rFonts w:ascii="Calibri" w:hAnsi="Calibri" w:cs="Calibri"/>
          <w:sz w:val="22"/>
          <w:szCs w:val="22"/>
        </w:rPr>
        <w:t xml:space="preserve">cite evidence from </w:t>
      </w:r>
      <w:r w:rsidRPr="00355DA0">
        <w:rPr>
          <w:rFonts w:ascii="Calibri" w:hAnsi="Calibri" w:cs="Calibri"/>
          <w:sz w:val="22"/>
          <w:szCs w:val="22"/>
        </w:rPr>
        <w:t xml:space="preserve">the evaluation of a small pilot scheme, funded by local authority. A ‘virtual’ multidisciplinary team representing several service providers (different organisations) was convened, meeting fortnightly. Schools could refer individual cases </w:t>
      </w:r>
      <w:r w:rsidRPr="00355DA0">
        <w:rPr>
          <w:rFonts w:ascii="Calibri" w:hAnsi="Calibri" w:cs="Calibri"/>
          <w:sz w:val="22"/>
          <w:szCs w:val="22"/>
        </w:rPr>
        <w:t xml:space="preserve">identified as having social, emotional or mental health needs (SEMH) </w:t>
      </w:r>
      <w:r w:rsidRPr="00355DA0">
        <w:rPr>
          <w:rFonts w:ascii="Calibri" w:hAnsi="Calibri" w:cs="Calibri"/>
          <w:sz w:val="22"/>
          <w:szCs w:val="22"/>
        </w:rPr>
        <w:t xml:space="preserve">for consultation. </w:t>
      </w:r>
      <w:r w:rsidRPr="00355DA0">
        <w:rPr>
          <w:rFonts w:ascii="Calibri" w:hAnsi="Calibri" w:cs="Calibri"/>
          <w:sz w:val="22"/>
          <w:szCs w:val="22"/>
        </w:rPr>
        <w:t xml:space="preserve"> Families were directly involved in consultations. </w:t>
      </w:r>
      <w:r w:rsidRPr="00355DA0">
        <w:rPr>
          <w:rFonts w:ascii="Calibri" w:hAnsi="Calibri" w:cs="Calibri"/>
          <w:sz w:val="22"/>
          <w:szCs w:val="22"/>
        </w:rPr>
        <w:t xml:space="preserve"> Team formulation and expert advice highlighted strategies and support for schools and facilitated timely ongoing referral for specialist mental health support if indicated. </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Although a small pilot, promising findings included the increased knowledge, expertise and involvement of educational professionals in understanding and supporting individual children’s needs.</w:t>
      </w:r>
      <w:r w:rsidRPr="00355DA0">
        <w:rPr>
          <w:rFonts w:ascii="Calibri" w:hAnsi="Calibri" w:cs="Calibri"/>
          <w:sz w:val="22"/>
          <w:szCs w:val="22"/>
        </w:rPr>
        <w:t xml:space="preserve"> </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The study began p</w:t>
      </w:r>
      <w:r w:rsidRPr="00355DA0">
        <w:rPr>
          <w:rFonts w:ascii="Calibri" w:hAnsi="Calibri" w:cs="Calibri"/>
          <w:sz w:val="22"/>
          <w:szCs w:val="22"/>
        </w:rPr>
        <w:t xml:space="preserve">re-COVID-19 pandemic, considerable IT challenges were experienced including healthcare professionals’ inexperience with video conferencing, and complex agreements to share IT communications and data across different healthcare providing organisations.  If implemented in 2026, these barriers would have undoubtedly reduced. </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Jones, L. S., Russell, A., Collis, E., &amp; Brosnan, M. (2022). To what extent can digitally-mediated</w:t>
      </w:r>
      <w:r w:rsidRPr="00355DA0">
        <w:rPr>
          <w:rFonts w:ascii="Calibri" w:hAnsi="Calibri" w:cs="Calibri"/>
          <w:sz w:val="22"/>
          <w:szCs w:val="22"/>
        </w:rPr>
        <w:t xml:space="preserve"> team communication in children’s physical health and mental health services bring about improved outcomes? A systematic review. </w:t>
      </w:r>
      <w:r w:rsidRPr="00355DA0">
        <w:rPr>
          <w:rFonts w:ascii="Calibri" w:hAnsi="Calibri" w:cs="Calibri"/>
          <w:i/>
          <w:iCs/>
          <w:sz w:val="22"/>
          <w:szCs w:val="22"/>
        </w:rPr>
        <w:t>Child Psychiatry &amp; Human Development</w:t>
      </w:r>
      <w:r w:rsidRPr="00355DA0">
        <w:rPr>
          <w:rFonts w:ascii="Calibri" w:hAnsi="Calibri" w:cs="Calibri"/>
          <w:sz w:val="22"/>
          <w:szCs w:val="22"/>
        </w:rPr>
        <w:t>, </w:t>
      </w:r>
      <w:r w:rsidRPr="00355DA0">
        <w:rPr>
          <w:rFonts w:ascii="Calibri" w:hAnsi="Calibri" w:cs="Calibri"/>
          <w:i/>
          <w:iCs/>
          <w:sz w:val="22"/>
          <w:szCs w:val="22"/>
        </w:rPr>
        <w:t>53</w:t>
      </w:r>
      <w:r w:rsidRPr="00355DA0">
        <w:rPr>
          <w:rFonts w:ascii="Calibri" w:hAnsi="Calibri" w:cs="Calibri"/>
          <w:sz w:val="22"/>
          <w:szCs w:val="22"/>
        </w:rPr>
        <w:t>(5), 1018-1035.</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Jones, L. S., Russell, A., &amp; Brosnan, M. (2024). A pilot study exploring the feasibility and acceptability of digitally mediated team communication in primary schools. </w:t>
      </w:r>
      <w:r w:rsidRPr="00355DA0">
        <w:rPr>
          <w:rFonts w:ascii="Calibri" w:hAnsi="Calibri" w:cs="Calibri"/>
          <w:i/>
          <w:iCs/>
          <w:sz w:val="22"/>
          <w:szCs w:val="22"/>
        </w:rPr>
        <w:t>School Mental Health</w:t>
      </w:r>
      <w:r w:rsidRPr="00355DA0">
        <w:rPr>
          <w:rFonts w:ascii="Calibri" w:hAnsi="Calibri" w:cs="Calibri"/>
          <w:sz w:val="22"/>
          <w:szCs w:val="22"/>
        </w:rPr>
        <w:t>, </w:t>
      </w:r>
      <w:r w:rsidRPr="00355DA0">
        <w:rPr>
          <w:rFonts w:ascii="Calibri" w:hAnsi="Calibri" w:cs="Calibri"/>
          <w:i/>
          <w:iCs/>
          <w:sz w:val="22"/>
          <w:szCs w:val="22"/>
        </w:rPr>
        <w:t>16</w:t>
      </w:r>
      <w:r w:rsidRPr="00355DA0">
        <w:rPr>
          <w:rFonts w:ascii="Calibri" w:hAnsi="Calibri" w:cs="Calibri"/>
          <w:sz w:val="22"/>
          <w:szCs w:val="22"/>
        </w:rPr>
        <w:t>(1), 81-94.</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 xml:space="preserve">Jones, L. S., Russell, A., &amp; Brosnan, M. (2024). ‘Putting expertise at the front door’: A systems change evaluation of </w:t>
      </w:r>
      <w:r w:rsidRPr="00355DA0">
        <w:rPr>
          <w:rFonts w:ascii="Calibri" w:hAnsi="Calibri" w:cs="Calibri"/>
          <w:sz w:val="22"/>
          <w:szCs w:val="22"/>
        </w:rPr>
        <w:t>digitally‐mediated team communication for responding to social, emotional, and mental health support needs in primary school settings. </w:t>
      </w:r>
      <w:r w:rsidRPr="00355DA0">
        <w:rPr>
          <w:rFonts w:ascii="Calibri" w:hAnsi="Calibri" w:cs="Calibri"/>
          <w:i/>
          <w:iCs/>
          <w:sz w:val="22"/>
          <w:szCs w:val="22"/>
        </w:rPr>
        <w:t>Psychology in the Schools</w:t>
      </w:r>
      <w:r w:rsidRPr="00355DA0">
        <w:rPr>
          <w:rFonts w:ascii="Calibri" w:hAnsi="Calibri" w:cs="Calibri"/>
          <w:sz w:val="22"/>
          <w:szCs w:val="22"/>
        </w:rPr>
        <w:t>, </w:t>
      </w:r>
      <w:r w:rsidRPr="00355DA0">
        <w:rPr>
          <w:rFonts w:ascii="Calibri" w:hAnsi="Calibri" w:cs="Calibri"/>
          <w:i/>
          <w:iCs/>
          <w:sz w:val="22"/>
          <w:szCs w:val="22"/>
        </w:rPr>
        <w:t>61</w:t>
      </w:r>
      <w:r w:rsidRPr="00355DA0">
        <w:rPr>
          <w:rFonts w:ascii="Calibri" w:hAnsi="Calibri" w:cs="Calibri"/>
          <w:sz w:val="22"/>
          <w:szCs w:val="22"/>
        </w:rPr>
        <w:t>(12), 4497-4516.</w:t>
      </w:r>
    </w:p>
    <w:p w:rsidR="00895944" w:rsidRPr="00355DA0" w:rsidP="00992865">
      <w:pPr>
        <w:spacing w:line="276" w:lineRule="auto"/>
        <w:rPr>
          <w:rFonts w:ascii="Calibri" w:hAnsi="Calibri" w:cs="Calibri"/>
          <w:b/>
          <w:bCs/>
          <w:sz w:val="22"/>
          <w:szCs w:val="22"/>
        </w:rPr>
      </w:pPr>
      <w:r w:rsidRPr="00355DA0">
        <w:rPr>
          <w:rFonts w:ascii="Calibri" w:hAnsi="Calibri" w:cs="Calibri"/>
          <w:b/>
          <w:bCs/>
          <w:sz w:val="22"/>
          <w:szCs w:val="22"/>
        </w:rPr>
        <w:t>Topic: What does good practice look like in general practice with regard to children and young people’s mental health?</w:t>
      </w:r>
    </w:p>
    <w:p w:rsidR="00895944" w:rsidRPr="00355DA0" w:rsidP="00992865">
      <w:pPr>
        <w:pStyle w:val="ListParagraph"/>
        <w:numPr>
          <w:ilvl w:val="0"/>
          <w:numId w:val="9"/>
        </w:numPr>
        <w:spacing w:line="276" w:lineRule="auto"/>
        <w:rPr>
          <w:rFonts w:ascii="Calibri" w:hAnsi="Calibri" w:cs="Calibri"/>
          <w:b/>
          <w:bCs/>
          <w:sz w:val="22"/>
          <w:szCs w:val="22"/>
        </w:rPr>
      </w:pPr>
      <w:r w:rsidRPr="00355DA0">
        <w:rPr>
          <w:rFonts w:ascii="Calibri" w:hAnsi="Calibri" w:cs="Calibri"/>
          <w:b/>
          <w:bCs/>
          <w:sz w:val="22"/>
          <w:szCs w:val="22"/>
        </w:rPr>
        <w:t>How should training for primary care staff be improved to support earlier identification and management of mental health needs?</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Our research findings suggests that good practice in primary care includes routinely incorporating digital resources into early identification and management pathways, with frontline staff playing a key role in signposting to evidence-based tools. To support this, training for primary care staff should include building knowledge, confidence, and practical skills in selecting, recommending, and integrating digital mental health interventions, particularly for early help, while also addressing limitations, eq</w:t>
      </w:r>
      <w:r w:rsidRPr="00355DA0">
        <w:rPr>
          <w:rFonts w:ascii="Calibri" w:hAnsi="Calibri" w:cs="Calibri"/>
          <w:sz w:val="22"/>
          <w:szCs w:val="22"/>
        </w:rPr>
        <w:t>uity, and appropriate use for different levels of need.</w:t>
      </w:r>
    </w:p>
    <w:p w:rsidR="00895944" w:rsidRPr="00355DA0" w:rsidP="00992865">
      <w:pPr>
        <w:spacing w:line="276" w:lineRule="auto"/>
        <w:rPr>
          <w:rFonts w:ascii="Calibri" w:hAnsi="Calibri" w:cs="Calibri"/>
          <w:b/>
          <w:bCs/>
          <w:sz w:val="22"/>
          <w:szCs w:val="22"/>
        </w:rPr>
      </w:pPr>
      <w:r w:rsidRPr="00355DA0">
        <w:rPr>
          <w:rFonts w:ascii="Calibri" w:hAnsi="Calibri" w:cs="Calibri"/>
          <w:b/>
          <w:bCs/>
          <w:sz w:val="22"/>
          <w:szCs w:val="22"/>
        </w:rPr>
        <w:t>Evidence:</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We conducted a mixed-methods survey of 115 UK frontline professionals (including GPs, school staff, and low-intensity practitioners) to examine their use of and attitudes towards digital technologies for supporting adolescents with depression. We found that professionals reported good technological competence and generally positive attitudes, commonly using and recommending online resources, particularly for young people with mild-to-moderate symptoms. Technology was seen as a valuable way to bridge gaps in</w:t>
      </w:r>
      <w:r w:rsidRPr="00355DA0">
        <w:rPr>
          <w:rFonts w:ascii="Calibri" w:hAnsi="Calibri" w:cs="Calibri"/>
          <w:sz w:val="22"/>
          <w:szCs w:val="22"/>
        </w:rPr>
        <w:t xml:space="preserve"> access to care, and there was strong interest in learning about and using brief digital interventions such as single-session interventions (SSIs), although concerns remained about suitability for more severe cases and for some under-served groups.</w:t>
      </w:r>
    </w:p>
    <w:p w:rsidR="00895944" w:rsidRPr="00355DA0" w:rsidP="00992865">
      <w:pPr>
        <w:spacing w:line="276" w:lineRule="auto"/>
        <w:rPr>
          <w:rFonts w:ascii="Calibri" w:hAnsi="Calibri" w:cs="Calibri"/>
          <w:sz w:val="22"/>
          <w:szCs w:val="22"/>
        </w:rPr>
      </w:pPr>
      <w:r w:rsidRPr="00355DA0">
        <w:rPr>
          <w:rFonts w:ascii="Calibri" w:hAnsi="Calibri" w:cs="Calibri"/>
          <w:b/>
          <w:bCs/>
          <w:sz w:val="22"/>
          <w:szCs w:val="22"/>
        </w:rPr>
        <w:t xml:space="preserve">Loades, M.E., </w:t>
      </w:r>
      <w:r w:rsidRPr="00355DA0">
        <w:rPr>
          <w:rFonts w:ascii="Calibri" w:hAnsi="Calibri" w:cs="Calibri"/>
          <w:sz w:val="22"/>
          <w:szCs w:val="22"/>
        </w:rPr>
        <w:t xml:space="preserve">Cliffe, B., &amp; Perry, G. (2023). Frontline professionals’ use of and attitudes towards technology to support interventions for adolescents with depression symptoms: A Mixed Methods survey. </w:t>
      </w:r>
      <w:r w:rsidRPr="00355DA0">
        <w:rPr>
          <w:rFonts w:ascii="Calibri" w:hAnsi="Calibri" w:cs="Calibri"/>
          <w:i/>
          <w:iCs/>
          <w:sz w:val="22"/>
          <w:szCs w:val="22"/>
        </w:rPr>
        <w:t>Clinical Child Psychology and Psychiatry</w:t>
      </w:r>
      <w:r w:rsidRPr="00355DA0">
        <w:rPr>
          <w:rFonts w:ascii="Calibri" w:hAnsi="Calibri" w:cs="Calibri"/>
          <w:sz w:val="22"/>
          <w:szCs w:val="22"/>
        </w:rPr>
        <w:t xml:space="preserve">, </w:t>
      </w:r>
      <w:r w:rsidRPr="00355DA0">
        <w:rPr>
          <w:rFonts w:ascii="Calibri" w:hAnsi="Calibri" w:cs="Calibri"/>
          <w:i/>
          <w:iCs/>
          <w:sz w:val="22"/>
          <w:szCs w:val="22"/>
        </w:rPr>
        <w:t>29(3)</w:t>
      </w:r>
      <w:r w:rsidRPr="00355DA0">
        <w:rPr>
          <w:rFonts w:ascii="Calibri" w:hAnsi="Calibri" w:cs="Calibri"/>
          <w:sz w:val="22"/>
          <w:szCs w:val="22"/>
        </w:rPr>
        <w:t>, 1087-1099. 10.1177/135910452312125</w:t>
      </w:r>
    </w:p>
    <w:p w:rsidR="00895944" w:rsidRPr="00355DA0" w:rsidP="00992865">
      <w:pPr>
        <w:spacing w:line="276" w:lineRule="auto"/>
        <w:rPr>
          <w:rFonts w:ascii="Calibri" w:hAnsi="Calibri" w:cs="Calibri"/>
          <w:sz w:val="22"/>
          <w:szCs w:val="22"/>
        </w:rPr>
      </w:pPr>
    </w:p>
    <w:p w:rsidR="00895944" w:rsidRPr="00355DA0" w:rsidP="00992865">
      <w:pPr>
        <w:spacing w:line="276" w:lineRule="auto"/>
        <w:rPr>
          <w:rFonts w:ascii="Calibri" w:hAnsi="Calibri" w:cs="Calibri"/>
          <w:b/>
          <w:bCs/>
          <w:sz w:val="22"/>
          <w:szCs w:val="22"/>
        </w:rPr>
      </w:pPr>
      <w:r w:rsidRPr="00355DA0">
        <w:rPr>
          <w:rFonts w:ascii="Calibri" w:hAnsi="Calibri" w:cs="Calibri"/>
          <w:b/>
          <w:bCs/>
          <w:sz w:val="22"/>
          <w:szCs w:val="22"/>
        </w:rPr>
        <w:t>Topic: How should the needs of children and young people who do not meet CAMHS thresholds be identified and addressed?</w:t>
      </w:r>
    </w:p>
    <w:p w:rsidR="00895944" w:rsidRPr="00355DA0" w:rsidP="00294C92">
      <w:pPr>
        <w:pStyle w:val="ListParagraph"/>
        <w:numPr>
          <w:ilvl w:val="0"/>
          <w:numId w:val="10"/>
        </w:numPr>
        <w:spacing w:line="276" w:lineRule="auto"/>
        <w:rPr>
          <w:rFonts w:ascii="Calibri" w:hAnsi="Calibri" w:cs="Calibri"/>
          <w:b/>
          <w:bCs/>
          <w:sz w:val="22"/>
          <w:szCs w:val="22"/>
        </w:rPr>
      </w:pPr>
      <w:r w:rsidRPr="00355DA0">
        <w:rPr>
          <w:rFonts w:ascii="Calibri" w:hAnsi="Calibri" w:cs="Calibri"/>
          <w:b/>
          <w:bCs/>
          <w:sz w:val="22"/>
          <w:szCs w:val="22"/>
        </w:rPr>
        <w:t>A case for children in care (i.e. those in local authority care/cared for by the state)</w:t>
      </w:r>
    </w:p>
    <w:p w:rsidR="00895944" w:rsidRPr="00355DA0" w:rsidP="00992865">
      <w:pPr>
        <w:spacing w:line="276" w:lineRule="auto"/>
        <w:rPr>
          <w:rFonts w:ascii="Calibri" w:hAnsi="Calibri" w:cs="Calibri"/>
          <w:sz w:val="22"/>
          <w:szCs w:val="22"/>
        </w:rPr>
      </w:pPr>
      <w:r w:rsidRPr="00355DA0">
        <w:rPr>
          <w:rFonts w:ascii="Calibri" w:hAnsi="Calibri" w:cs="Calibri"/>
          <w:sz w:val="22"/>
          <w:szCs w:val="22"/>
        </w:rPr>
        <w:t xml:space="preserve">Summary: </w:t>
      </w:r>
      <w:r w:rsidRPr="00355DA0">
        <w:rPr>
          <w:rFonts w:ascii="Calibri" w:hAnsi="Calibri" w:cs="Calibri"/>
          <w:sz w:val="22"/>
          <w:szCs w:val="22"/>
        </w:rPr>
        <w:t xml:space="preserve">Children in local authority care are disadvantaged </w:t>
      </w:r>
      <w:r w:rsidRPr="00355DA0">
        <w:rPr>
          <w:rFonts w:ascii="Calibri" w:hAnsi="Calibri" w:cs="Calibri"/>
          <w:sz w:val="22"/>
          <w:szCs w:val="22"/>
        </w:rPr>
        <w:t>when it comes to identification and treatment of mental health difficulties</w:t>
      </w:r>
      <w:r w:rsidRPr="00355DA0">
        <w:rPr>
          <w:rFonts w:ascii="Calibri" w:hAnsi="Calibri" w:cs="Calibri"/>
          <w:sz w:val="22"/>
          <w:szCs w:val="22"/>
        </w:rPr>
        <w:t>.</w:t>
      </w:r>
      <w:r w:rsidRPr="00355DA0">
        <w:rPr>
          <w:rFonts w:ascii="Calibri" w:hAnsi="Calibri" w:cs="Calibri"/>
          <w:sz w:val="22"/>
          <w:szCs w:val="22"/>
        </w:rPr>
        <w:t xml:space="preserve">  </w:t>
      </w:r>
      <w:r w:rsidRPr="00355DA0">
        <w:rPr>
          <w:rFonts w:ascii="Calibri" w:hAnsi="Calibri" w:cs="Calibri"/>
          <w:sz w:val="22"/>
          <w:szCs w:val="22"/>
        </w:rPr>
        <w:t>Care-experienced young people (i.e., those who have been removed from their biological homes and placed in local auth</w:t>
      </w:r>
      <w:r w:rsidRPr="00355DA0">
        <w:rPr>
          <w:rFonts w:ascii="Calibri" w:hAnsi="Calibri" w:cs="Calibri"/>
          <w:sz w:val="22"/>
          <w:szCs w:val="22"/>
        </w:rPr>
        <w:t>ority care)</w:t>
      </w:r>
      <w:r w:rsidRPr="00355DA0">
        <w:rPr>
          <w:rFonts w:ascii="Calibri" w:hAnsi="Calibri" w:cs="Calibri"/>
          <w:sz w:val="22"/>
          <w:szCs w:val="22"/>
        </w:rPr>
        <w:t xml:space="preserve"> have well-established high rates of mental health difficulties, including post</w:t>
      </w:r>
      <w:r w:rsidRPr="00355DA0">
        <w:rPr>
          <w:rFonts w:ascii="Calibri" w:hAnsi="Calibri" w:cs="Calibri"/>
          <w:sz w:val="22"/>
          <w:szCs w:val="22"/>
        </w:rPr>
        <w:t>-</w:t>
      </w:r>
      <w:r w:rsidRPr="00355DA0">
        <w:rPr>
          <w:rFonts w:ascii="Calibri" w:hAnsi="Calibri" w:cs="Calibri"/>
          <w:sz w:val="22"/>
          <w:szCs w:val="22"/>
        </w:rPr>
        <w:t>traumatic stress disorder (PTSD), a trauma specific mental health outcome with rates 12x higher in this group compared to peers. Despite well-established need, these young people often struggle to access mental health services, and evidence-based support. For PTSD, tf-CBT</w:t>
      </w:r>
      <w:r w:rsidRPr="00355DA0">
        <w:rPr>
          <w:rFonts w:ascii="Calibri" w:hAnsi="Calibri" w:cs="Calibri"/>
          <w:sz w:val="22"/>
          <w:szCs w:val="22"/>
        </w:rPr>
        <w:t>s</w:t>
      </w:r>
      <w:r w:rsidRPr="00355DA0">
        <w:rPr>
          <w:rFonts w:ascii="Calibri" w:hAnsi="Calibri" w:cs="Calibri"/>
          <w:sz w:val="22"/>
          <w:szCs w:val="22"/>
        </w:rPr>
        <w:t xml:space="preserve"> (trauma-focused cognitive behavioural therapies) are the best-evidenced treatment, including for children who have experienced complex childhood trauma or abuse. However, in practice, PTSD symptoms are rarely recognised amongst care-experienced young </w:t>
      </w:r>
      <w:r w:rsidRPr="00355DA0">
        <w:rPr>
          <w:rFonts w:ascii="Calibri" w:hAnsi="Calibri" w:cs="Calibri"/>
          <w:sz w:val="22"/>
          <w:szCs w:val="22"/>
        </w:rPr>
        <w:t>people, therefore these evidence-based PTSD treatments</w:t>
      </w:r>
      <w:r w:rsidRPr="00355DA0">
        <w:rPr>
          <w:rFonts w:ascii="Calibri" w:hAnsi="Calibri" w:cs="Calibri"/>
          <w:sz w:val="22"/>
          <w:szCs w:val="22"/>
        </w:rPr>
        <w:t xml:space="preserve"> are rarely recommended for them (McGuire et al., 2022)</w:t>
      </w:r>
      <w:r w:rsidRPr="00355DA0">
        <w:rPr>
          <w:rFonts w:ascii="Calibri" w:hAnsi="Calibri" w:cs="Calibri"/>
          <w:sz w:val="22"/>
          <w:szCs w:val="22"/>
        </w:rPr>
        <w:t>.</w:t>
      </w:r>
    </w:p>
    <w:p w:rsidR="00895944" w:rsidRPr="00355DA0" w:rsidP="00992865">
      <w:pPr>
        <w:spacing w:before="75" w:after="240" w:line="276" w:lineRule="auto"/>
        <w:rPr>
          <w:rFonts w:ascii="Calibri" w:hAnsi="Calibri" w:eastAsiaTheme="minorEastAsia" w:cs="Calibri"/>
          <w:color w:val="000000" w:themeColor="text1"/>
          <w:sz w:val="22"/>
          <w:szCs w:val="22"/>
        </w:rPr>
      </w:pPr>
      <w:r w:rsidRPr="00355DA0">
        <w:rPr>
          <w:rFonts w:ascii="Calibri" w:hAnsi="Calibri" w:eastAsiaTheme="minorEastAsia" w:cs="Calibri"/>
          <w:sz w:val="22"/>
          <w:szCs w:val="22"/>
        </w:rPr>
        <w:t xml:space="preserve">Evidence: </w:t>
      </w:r>
      <w:r w:rsidRPr="00355DA0">
        <w:rPr>
          <w:rFonts w:ascii="Calibri" w:hAnsi="Calibri" w:eastAsiaTheme="minorEastAsia" w:cs="Calibri"/>
          <w:color w:val="000000" w:themeColor="text1"/>
          <w:sz w:val="22"/>
          <w:szCs w:val="22"/>
        </w:rPr>
        <w:t xml:space="preserve">We surveyed 270 UK mental health professionals - participants were randomized to receive one of two clinical vignettes, which were identical in their description of a teenage boy experiencing PTSD symptoms, except in one he was in foster care and in the other he lived with his mother. Participants were asked to select a primary diagnosis, treatment approach, and potential secondary diagnosis. We found that </w:t>
      </w:r>
      <w:r w:rsidRPr="00355DA0">
        <w:rPr>
          <w:rFonts w:ascii="Calibri" w:hAnsi="Calibri" w:eastAsiaTheme="minorEastAsia" w:cs="Calibri"/>
          <w:color w:val="000000" w:themeColor="text1"/>
          <w:sz w:val="22"/>
          <w:szCs w:val="22"/>
        </w:rPr>
        <w:t>p</w:t>
      </w:r>
      <w:r w:rsidRPr="00355DA0">
        <w:rPr>
          <w:rFonts w:ascii="Calibri" w:hAnsi="Calibri" w:eastAsiaTheme="minorEastAsia" w:cs="Calibri"/>
          <w:color w:val="000000" w:themeColor="text1"/>
          <w:sz w:val="22"/>
          <w:szCs w:val="22"/>
        </w:rPr>
        <w:t>rofessionals were twice as likely to choose a primary diagnosis of PTSD and a National Institute for Clinical Excellence (NICE)-recommended PTSD treatment when randomized to the mother vignette versus the foster care vignette. Selecting PTSD as the primary diagnosis made clinicians three times more likely to select a NICE-recommended treatment for PTSD.</w:t>
      </w:r>
      <w:r w:rsidRPr="00355DA0">
        <w:rPr>
          <w:rFonts w:ascii="Calibri" w:hAnsi="Calibri" w:eastAsiaTheme="minorEastAsia" w:cs="Calibri"/>
          <w:color w:val="000000" w:themeColor="text1"/>
          <w:sz w:val="22"/>
          <w:szCs w:val="22"/>
        </w:rPr>
        <w:t xml:space="preserve"> Thus, i</w:t>
      </w:r>
      <w:r w:rsidRPr="00355DA0">
        <w:rPr>
          <w:rFonts w:ascii="Calibri" w:hAnsi="Calibri" w:eastAsiaTheme="minorEastAsia" w:cs="Calibri"/>
          <w:color w:val="000000" w:themeColor="text1"/>
          <w:sz w:val="22"/>
          <w:szCs w:val="22"/>
        </w:rPr>
        <w:t>n the context of PTSD, we found children in care face diagnosis and treatment decision-making biases.</w:t>
      </w:r>
    </w:p>
    <w:p w:rsidR="00895944" w:rsidRPr="00355DA0" w:rsidP="00992865">
      <w:pPr>
        <w:spacing w:before="75" w:after="240" w:line="276" w:lineRule="auto"/>
        <w:rPr>
          <w:rFonts w:ascii="Calibri" w:hAnsi="Calibri" w:cs="Calibri"/>
          <w:sz w:val="22"/>
          <w:szCs w:val="22"/>
        </w:rPr>
      </w:pPr>
      <w:r w:rsidRPr="00355DA0">
        <w:rPr>
          <w:rFonts w:ascii="Calibri" w:hAnsi="Calibri" w:eastAsiaTheme="minorEastAsia" w:cs="Calibri"/>
          <w:color w:val="000000" w:themeColor="text1"/>
          <w:sz w:val="22"/>
          <w:szCs w:val="22"/>
        </w:rPr>
        <w:t xml:space="preserve">To reduce these biases, we recommend that all young people in care received an initial mental health and well-being assessment </w:t>
      </w:r>
      <w:r w:rsidRPr="00355DA0">
        <w:rPr>
          <w:rFonts w:ascii="Calibri" w:hAnsi="Calibri" w:cs="Calibri"/>
          <w:sz w:val="22"/>
          <w:szCs w:val="22"/>
        </w:rPr>
        <w:t xml:space="preserve">4-6 months after entry to care to support decision-making on mental health care pathways, not simply for data gathering: </w:t>
      </w:r>
      <w:r>
        <w:fldChar w:fldCharType="begin"/>
      </w:r>
      <w:r>
        <w:instrText xml:space="preserve"> HYPERLINK "https://uktraumacouncil.link/documents/Hiller%20et%20al.%20National%20Recommendations%20MH%20Provision%20for%20CiC.pdf" </w:instrText>
      </w:r>
      <w:r>
        <w:fldChar w:fldCharType="separate"/>
      </w:r>
      <w:r w:rsidRPr="00355DA0">
        <w:rPr>
          <w:rStyle w:val="Hyperlink"/>
          <w:rFonts w:ascii="Calibri" w:hAnsi="Calibri" w:cs="Calibri"/>
          <w:sz w:val="22"/>
          <w:szCs w:val="22"/>
        </w:rPr>
        <w:t>250503_UKTC_NationalRecommendations.indd</w:t>
      </w:r>
      <w:r>
        <w:fldChar w:fldCharType="end"/>
      </w:r>
    </w:p>
    <w:p w:rsidR="00895944" w:rsidRPr="00355DA0" w:rsidP="00992865">
      <w:pPr>
        <w:spacing w:line="276" w:lineRule="auto"/>
        <w:rPr>
          <w:rFonts w:ascii="Calibri" w:hAnsi="Calibri" w:cs="Calibri"/>
          <w:sz w:val="22"/>
          <w:szCs w:val="22"/>
        </w:rPr>
      </w:pPr>
      <w:r w:rsidRPr="00355DA0">
        <w:rPr>
          <w:rFonts w:ascii="Calibri" w:eastAsia="Arial" w:hAnsi="Calibri" w:cs="Calibri"/>
          <w:color w:val="222222"/>
          <w:sz w:val="22"/>
          <w:szCs w:val="22"/>
        </w:rPr>
        <w:t xml:space="preserve">McGuire, R., Halligan, S. L., Meiser‐Stedman, R., Durbin, L., &amp; Hiller, R. M. (2022). Differences in the diagnosis and treatment decisions for children in care compared to their peers: An experimental study on post‐traumatic stress disorder. </w:t>
      </w:r>
      <w:r w:rsidRPr="00355DA0">
        <w:rPr>
          <w:rFonts w:ascii="Calibri" w:eastAsia="Arial" w:hAnsi="Calibri" w:cs="Calibri"/>
          <w:i/>
          <w:iCs/>
          <w:color w:val="222222"/>
          <w:sz w:val="22"/>
          <w:szCs w:val="22"/>
        </w:rPr>
        <w:t>British Journal of Clinical Psychology</w:t>
      </w:r>
      <w:r w:rsidRPr="00355DA0">
        <w:rPr>
          <w:rFonts w:ascii="Calibri" w:eastAsia="Arial" w:hAnsi="Calibri" w:cs="Calibri"/>
          <w:color w:val="222222"/>
          <w:sz w:val="22"/>
          <w:szCs w:val="22"/>
        </w:rPr>
        <w:t xml:space="preserve">, </w:t>
      </w:r>
      <w:r w:rsidRPr="00355DA0">
        <w:rPr>
          <w:rFonts w:ascii="Calibri" w:eastAsia="Arial" w:hAnsi="Calibri" w:cs="Calibri"/>
          <w:i/>
          <w:iCs/>
          <w:color w:val="222222"/>
          <w:sz w:val="22"/>
          <w:szCs w:val="22"/>
        </w:rPr>
        <w:t>61</w:t>
      </w:r>
      <w:r w:rsidRPr="00355DA0">
        <w:rPr>
          <w:rFonts w:ascii="Calibri" w:eastAsia="Arial" w:hAnsi="Calibri" w:cs="Calibri"/>
          <w:color w:val="222222"/>
          <w:sz w:val="22"/>
          <w:szCs w:val="22"/>
        </w:rPr>
        <w:t>(4), 1075-1088.</w:t>
      </w:r>
    </w:p>
    <w:p w:rsidR="00895944" w:rsidRPr="00355DA0" w:rsidP="00992865">
      <w:pPr>
        <w:spacing w:line="276" w:lineRule="auto"/>
        <w:ind w:right="-20"/>
        <w:rPr>
          <w:rFonts w:ascii="Calibri" w:hAnsi="Calibri" w:cs="Calibri"/>
          <w:b/>
          <w:bCs/>
          <w:sz w:val="22"/>
          <w:szCs w:val="22"/>
        </w:rPr>
      </w:pPr>
    </w:p>
    <w:p w:rsidR="00895944" w:rsidRPr="00355DA0" w:rsidP="00992865">
      <w:pPr>
        <w:spacing w:line="276" w:lineRule="auto"/>
        <w:ind w:right="-20"/>
        <w:rPr>
          <w:rFonts w:ascii="Calibri" w:hAnsi="Calibri" w:cs="Calibri"/>
          <w:b/>
          <w:bCs/>
          <w:sz w:val="22"/>
          <w:szCs w:val="22"/>
        </w:rPr>
      </w:pPr>
      <w:r w:rsidRPr="00355DA0">
        <w:rPr>
          <w:rFonts w:ascii="Calibri" w:hAnsi="Calibri" w:cs="Calibri"/>
          <w:b/>
          <w:bCs/>
          <w:sz w:val="22"/>
          <w:szCs w:val="22"/>
        </w:rPr>
        <w:t>Topic: The role of education and community settings in responding to children and young people’s mental health needs:</w:t>
      </w:r>
    </w:p>
    <w:p w:rsidR="00895944" w:rsidRPr="00355DA0" w:rsidP="00294C92">
      <w:pPr>
        <w:pStyle w:val="ListParagraph"/>
        <w:numPr>
          <w:ilvl w:val="0"/>
          <w:numId w:val="11"/>
        </w:numPr>
        <w:spacing w:line="276" w:lineRule="auto"/>
        <w:ind w:right="-20"/>
        <w:rPr>
          <w:rFonts w:ascii="Calibri" w:hAnsi="Calibri" w:cs="Calibri"/>
          <w:b/>
          <w:bCs/>
          <w:sz w:val="22"/>
          <w:szCs w:val="22"/>
        </w:rPr>
      </w:pPr>
      <w:r w:rsidRPr="00355DA0">
        <w:rPr>
          <w:rFonts w:ascii="Calibri" w:hAnsi="Calibri" w:cs="Calibri"/>
          <w:b/>
          <w:bCs/>
          <w:sz w:val="22"/>
          <w:szCs w:val="22"/>
        </w:rPr>
        <w:t>How effectively are education and community providers identifying and responding to children and young people’s mental health needs?</w:t>
      </w:r>
    </w:p>
    <w:p w:rsidR="00895944" w:rsidRPr="00355DA0" w:rsidP="00294C92">
      <w:pPr>
        <w:pStyle w:val="ListParagraph"/>
        <w:numPr>
          <w:ilvl w:val="0"/>
          <w:numId w:val="11"/>
        </w:numPr>
        <w:spacing w:line="276" w:lineRule="auto"/>
        <w:ind w:right="-20"/>
        <w:rPr>
          <w:rFonts w:ascii="Calibri" w:hAnsi="Calibri" w:cs="Calibri"/>
          <w:b/>
          <w:bCs/>
          <w:sz w:val="22"/>
          <w:szCs w:val="22"/>
        </w:rPr>
      </w:pPr>
      <w:r w:rsidRPr="00355DA0">
        <w:rPr>
          <w:rFonts w:ascii="Calibri" w:hAnsi="Calibri" w:cs="Calibri"/>
          <w:b/>
          <w:bCs/>
          <w:sz w:val="22"/>
          <w:szCs w:val="22"/>
        </w:rPr>
        <w:t>What role should staff in early years settings, schools, colleges and universities play in supporting the mental health of children and young people, what support and training do they need to enable them to take on this role?</w:t>
      </w:r>
    </w:p>
    <w:p w:rsidR="00895944" w:rsidRPr="00355DA0" w:rsidP="00294C92">
      <w:pPr>
        <w:pStyle w:val="ListParagraph"/>
        <w:spacing w:line="276" w:lineRule="auto"/>
        <w:ind w:right="-20"/>
        <w:rPr>
          <w:rFonts w:ascii="Calibri" w:hAnsi="Calibri" w:cs="Calibri"/>
          <w:b/>
          <w:bCs/>
          <w:sz w:val="22"/>
          <w:szCs w:val="22"/>
        </w:rPr>
      </w:pPr>
    </w:p>
    <w:p w:rsidR="00895944" w:rsidRPr="00355DA0" w:rsidP="00992865">
      <w:pPr>
        <w:pStyle w:val="ListParagraph"/>
        <w:numPr>
          <w:ilvl w:val="0"/>
          <w:numId w:val="8"/>
        </w:numPr>
        <w:spacing w:line="276" w:lineRule="auto"/>
        <w:ind w:right="-20"/>
        <w:rPr>
          <w:rFonts w:ascii="Calibri" w:hAnsi="Calibri" w:cs="Calibri"/>
          <w:b/>
          <w:bCs/>
          <w:sz w:val="22"/>
          <w:szCs w:val="22"/>
        </w:rPr>
      </w:pPr>
      <w:r w:rsidRPr="00355DA0">
        <w:rPr>
          <w:rFonts w:ascii="Calibri" w:hAnsi="Calibri" w:cs="Calibri"/>
          <w:b/>
          <w:bCs/>
          <w:sz w:val="22"/>
          <w:szCs w:val="22"/>
        </w:rPr>
        <w:t>Early identification and responding to mental health needs</w:t>
      </w:r>
    </w:p>
    <w:p w:rsidR="00895944" w:rsidRPr="00355DA0" w:rsidP="00992865">
      <w:pPr>
        <w:spacing w:line="276" w:lineRule="auto"/>
        <w:ind w:right="-20"/>
        <w:rPr>
          <w:rFonts w:ascii="Calibri" w:hAnsi="Calibri" w:cs="Calibri"/>
          <w:sz w:val="22"/>
          <w:szCs w:val="22"/>
        </w:rPr>
      </w:pPr>
      <w:r w:rsidRPr="00355DA0">
        <w:rPr>
          <w:rFonts w:ascii="Calibri" w:hAnsi="Calibri" w:cs="Calibri"/>
          <w:sz w:val="22"/>
          <w:szCs w:val="22"/>
        </w:rPr>
        <w:t>Our research findings suggest that education and community providers are playing an important and active</w:t>
      </w:r>
      <w:r w:rsidRPr="00355DA0">
        <w:rPr>
          <w:rFonts w:ascii="Calibri" w:hAnsi="Calibri" w:cs="Calibri"/>
          <w:sz w:val="22"/>
          <w:szCs w:val="22"/>
        </w:rPr>
        <w:t xml:space="preserve"> role in</w:t>
      </w:r>
      <w:r w:rsidRPr="00355DA0">
        <w:rPr>
          <w:rFonts w:ascii="Calibri" w:hAnsi="Calibri" w:cs="Calibri"/>
          <w:sz w:val="22"/>
          <w:szCs w:val="22"/>
        </w:rPr>
        <w:t xml:space="preserve"> early identification and respon</w:t>
      </w:r>
      <w:r w:rsidRPr="00355DA0">
        <w:rPr>
          <w:rFonts w:ascii="Calibri" w:hAnsi="Calibri" w:cs="Calibri"/>
          <w:sz w:val="22"/>
          <w:szCs w:val="22"/>
        </w:rPr>
        <w:t xml:space="preserve">ding. However, </w:t>
      </w:r>
      <w:r w:rsidRPr="00355DA0">
        <w:rPr>
          <w:rFonts w:ascii="Calibri" w:hAnsi="Calibri" w:cs="Calibri"/>
          <w:sz w:val="22"/>
          <w:szCs w:val="22"/>
        </w:rPr>
        <w:t>their effectiveness is constrained by wider system pressures and variability in access. For policymakers, this indicates that staff in schools, colleges, and community settings should be supported as key early help providers, through training that builds confidence in identifying need, using and recommending evidence-based digital resources, and making appropriate decisions about escalation, alongside investment in systems that reduce waiting times and address inequities in access.</w:t>
      </w:r>
    </w:p>
    <w:p w:rsidR="00895944" w:rsidRPr="00355DA0" w:rsidP="00992865">
      <w:pPr>
        <w:spacing w:after="0" w:line="276" w:lineRule="auto"/>
        <w:rPr>
          <w:rFonts w:ascii="Calibri" w:hAnsi="Calibri" w:cs="Calibri"/>
          <w:b/>
          <w:bCs/>
          <w:sz w:val="22"/>
          <w:szCs w:val="22"/>
        </w:rPr>
      </w:pPr>
      <w:r w:rsidRPr="00355DA0">
        <w:rPr>
          <w:rFonts w:ascii="Calibri" w:hAnsi="Calibri" w:cs="Calibri"/>
          <w:b/>
          <w:bCs/>
          <w:sz w:val="22"/>
          <w:szCs w:val="22"/>
        </w:rPr>
        <w:t>Evidence:</w:t>
      </w:r>
    </w:p>
    <w:p w:rsidR="00895944" w:rsidRPr="00355DA0" w:rsidP="00992865">
      <w:pPr>
        <w:spacing w:after="0" w:line="276" w:lineRule="auto"/>
        <w:rPr>
          <w:rFonts w:ascii="Calibri" w:hAnsi="Calibri" w:cs="Calibri"/>
          <w:b/>
          <w:bCs/>
          <w:sz w:val="22"/>
          <w:szCs w:val="22"/>
        </w:rPr>
      </w:pPr>
    </w:p>
    <w:p w:rsidR="00895944" w:rsidRPr="00355DA0" w:rsidP="00992865">
      <w:pPr>
        <w:spacing w:after="0" w:line="276" w:lineRule="auto"/>
        <w:rPr>
          <w:rFonts w:ascii="Calibri" w:hAnsi="Calibri" w:cs="Calibri"/>
          <w:i/>
          <w:iCs/>
          <w:sz w:val="22"/>
          <w:szCs w:val="22"/>
        </w:rPr>
      </w:pPr>
      <w:r w:rsidRPr="00355DA0">
        <w:rPr>
          <w:rFonts w:ascii="Calibri" w:hAnsi="Calibri" w:cs="Calibri"/>
          <w:b/>
          <w:bCs/>
          <w:sz w:val="22"/>
          <w:szCs w:val="22"/>
        </w:rPr>
        <w:t xml:space="preserve">Reference: </w:t>
      </w:r>
      <w:r w:rsidRPr="00355DA0">
        <w:rPr>
          <w:rFonts w:ascii="Calibri" w:hAnsi="Calibri" w:cs="Calibri"/>
          <w:sz w:val="22"/>
          <w:szCs w:val="22"/>
        </w:rPr>
        <w:t xml:space="preserve">Loades, M.E., Higson-Sweeney, N., Teague, B., Leas, J., Payne-Cook, C., Slastikova, A.V., Peel, H., Chamberlain, G., Ferguson, L., Janes, K., Rhodes, T., Roupa, E.C., &amp; Biddle, L. (2024). What </w:t>
      </w:r>
      <w:r w:rsidRPr="00355DA0">
        <w:rPr>
          <w:rFonts w:ascii="Calibri" w:hAnsi="Calibri" w:cs="Calibri"/>
          <w:sz w:val="22"/>
          <w:szCs w:val="22"/>
        </w:rPr>
        <w:t xml:space="preserve">do they look for and what do they find? A coproduced qualitative study on young people’s experiences of searching for mental health information online. </w:t>
      </w:r>
      <w:r w:rsidRPr="00355DA0">
        <w:rPr>
          <w:rFonts w:ascii="Calibri" w:hAnsi="Calibri" w:cs="Calibri"/>
          <w:i/>
          <w:iCs/>
          <w:sz w:val="22"/>
          <w:szCs w:val="22"/>
        </w:rPr>
        <w:t xml:space="preserve">Psychology and Psychotherapy: Theory, Research and Practice, </w:t>
      </w:r>
      <w:r w:rsidRPr="00355DA0">
        <w:rPr>
          <w:rFonts w:ascii="Calibri" w:hAnsi="Calibri" w:cs="Calibri"/>
          <w:sz w:val="22"/>
          <w:szCs w:val="22"/>
        </w:rPr>
        <w:t>https://doi.org/10.1111/papt.12550</w:t>
      </w:r>
      <w:r w:rsidRPr="00355DA0">
        <w:rPr>
          <w:rFonts w:ascii="Calibri" w:hAnsi="Calibri" w:cs="Calibri"/>
          <w:i/>
          <w:iCs/>
          <w:sz w:val="22"/>
          <w:szCs w:val="22"/>
        </w:rPr>
        <w:t xml:space="preserve"> </w:t>
      </w:r>
    </w:p>
    <w:p w:rsidR="00895944" w:rsidRPr="00355DA0" w:rsidP="00992865">
      <w:pPr>
        <w:spacing w:line="276" w:lineRule="auto"/>
        <w:ind w:right="-20"/>
        <w:rPr>
          <w:rFonts w:ascii="Calibri" w:hAnsi="Calibri" w:cs="Calibri"/>
          <w:bCs/>
          <w:sz w:val="22"/>
          <w:szCs w:val="22"/>
        </w:rPr>
      </w:pPr>
    </w:p>
    <w:p w:rsidR="00895944" w:rsidRPr="00355DA0" w:rsidP="00992865">
      <w:pPr>
        <w:spacing w:line="276" w:lineRule="auto"/>
        <w:ind w:right="-20"/>
        <w:rPr>
          <w:rFonts w:ascii="Calibri" w:hAnsi="Calibri" w:cs="Calibri"/>
          <w:bCs/>
          <w:sz w:val="22"/>
          <w:szCs w:val="22"/>
        </w:rPr>
      </w:pPr>
      <w:r w:rsidRPr="00355DA0">
        <w:rPr>
          <w:rFonts w:ascii="Calibri" w:hAnsi="Calibri" w:cs="Calibri"/>
          <w:bCs/>
          <w:sz w:val="22"/>
          <w:szCs w:val="22"/>
        </w:rPr>
        <w:t>In this qualitative study, we interviewed 24 young people, aged 13-18, in the UK, about where they look for early help, including online, and what they think of what they find. They told us that resources they find that have been talked about or shared by their school are seen as more trustworthy and credible. This indicates that schools play a pivotal role in sharing early help resources, with a responsibility to promote credible, evidence-based content in ways that strengthen young people’s trust and enga</w:t>
      </w:r>
      <w:r w:rsidRPr="00355DA0">
        <w:rPr>
          <w:rFonts w:ascii="Calibri" w:hAnsi="Calibri" w:cs="Calibri"/>
          <w:bCs/>
          <w:sz w:val="22"/>
          <w:szCs w:val="22"/>
        </w:rPr>
        <w:t>gement.</w:t>
      </w:r>
    </w:p>
    <w:p w:rsidR="00895944" w:rsidRPr="00355DA0" w:rsidP="00992865">
      <w:pPr>
        <w:spacing w:line="276" w:lineRule="auto"/>
        <w:rPr>
          <w:rFonts w:ascii="Calibri" w:hAnsi="Calibri" w:cs="Calibri"/>
          <w:sz w:val="22"/>
          <w:szCs w:val="22"/>
        </w:rPr>
      </w:pPr>
      <w:r w:rsidRPr="00355DA0">
        <w:rPr>
          <w:rFonts w:ascii="Calibri" w:hAnsi="Calibri" w:cs="Calibri"/>
          <w:b/>
          <w:bCs/>
          <w:sz w:val="22"/>
          <w:szCs w:val="22"/>
        </w:rPr>
        <w:t>Reference:</w:t>
      </w:r>
      <w:r w:rsidRPr="00355DA0">
        <w:rPr>
          <w:rFonts w:ascii="Calibri" w:hAnsi="Calibri" w:cs="Calibri"/>
          <w:sz w:val="22"/>
          <w:szCs w:val="22"/>
        </w:rPr>
        <w:t xml:space="preserve"> Loades, M.E.,</w:t>
      </w:r>
      <w:r w:rsidRPr="00355DA0">
        <w:rPr>
          <w:rFonts w:ascii="Calibri" w:hAnsi="Calibri" w:cs="Calibri"/>
          <w:b/>
          <w:bCs/>
          <w:sz w:val="22"/>
          <w:szCs w:val="22"/>
        </w:rPr>
        <w:t xml:space="preserve"> </w:t>
      </w:r>
      <w:r w:rsidRPr="00355DA0">
        <w:rPr>
          <w:rFonts w:ascii="Calibri" w:hAnsi="Calibri" w:cs="Calibri"/>
          <w:sz w:val="22"/>
          <w:szCs w:val="22"/>
        </w:rPr>
        <w:t xml:space="preserve">Cliffe, B., &amp; Perry, G. (2023). Frontline professionals’ use of and attitudes towards technology to support interventions for adolescents with depression symptoms: A Mixed Methods survey. </w:t>
      </w:r>
      <w:r w:rsidRPr="00355DA0">
        <w:rPr>
          <w:rFonts w:ascii="Calibri" w:hAnsi="Calibri" w:cs="Calibri"/>
          <w:i/>
          <w:iCs/>
          <w:sz w:val="22"/>
          <w:szCs w:val="22"/>
        </w:rPr>
        <w:t>Clinical Child Psychology and Psychiatry</w:t>
      </w:r>
      <w:r w:rsidRPr="00355DA0">
        <w:rPr>
          <w:rFonts w:ascii="Calibri" w:hAnsi="Calibri" w:cs="Calibri"/>
          <w:sz w:val="22"/>
          <w:szCs w:val="22"/>
        </w:rPr>
        <w:t xml:space="preserve">, </w:t>
      </w:r>
      <w:r w:rsidRPr="00355DA0">
        <w:rPr>
          <w:rFonts w:ascii="Calibri" w:hAnsi="Calibri" w:cs="Calibri"/>
          <w:i/>
          <w:iCs/>
          <w:sz w:val="22"/>
          <w:szCs w:val="22"/>
        </w:rPr>
        <w:t>29(3)</w:t>
      </w:r>
      <w:r w:rsidRPr="00355DA0">
        <w:rPr>
          <w:rFonts w:ascii="Calibri" w:hAnsi="Calibri" w:cs="Calibri"/>
          <w:sz w:val="22"/>
          <w:szCs w:val="22"/>
        </w:rPr>
        <w:t>, 1087-1099. 10.1177/13591045231212523</w:t>
      </w:r>
    </w:p>
    <w:p w:rsidR="00895944" w:rsidRPr="00355DA0" w:rsidP="00992865">
      <w:pPr>
        <w:spacing w:line="276" w:lineRule="auto"/>
        <w:ind w:right="-20"/>
        <w:rPr>
          <w:rFonts w:ascii="Calibri" w:hAnsi="Calibri" w:cs="Calibri"/>
          <w:sz w:val="22"/>
          <w:szCs w:val="22"/>
        </w:rPr>
      </w:pPr>
      <w:r w:rsidRPr="00355DA0">
        <w:rPr>
          <w:rFonts w:ascii="Calibri" w:hAnsi="Calibri" w:cs="Calibri"/>
          <w:sz w:val="22"/>
          <w:szCs w:val="22"/>
        </w:rPr>
        <w:t>We surveyed 115 UK frontline professionals across education, healthcare, and community settings to examine how they identify and respond to adolescents’ mental health needs, particularly with digital resources. We found that these staff are often the first point of contact, routinely identify concerns and respond by signposting to online resources and offering follow-up support. They reported positive attitudes towards digital tools, seeing them as a practical way to bridge gaps in access to care</w:t>
      </w:r>
      <w:r w:rsidRPr="00355DA0">
        <w:rPr>
          <w:rFonts w:ascii="Calibri" w:hAnsi="Calibri" w:cs="Calibri"/>
          <w:sz w:val="22"/>
          <w:szCs w:val="22"/>
        </w:rPr>
        <w:t xml:space="preserve">, </w:t>
      </w:r>
      <w:r w:rsidRPr="00355DA0">
        <w:rPr>
          <w:rFonts w:ascii="Calibri" w:hAnsi="Calibri" w:cs="Calibri"/>
          <w:sz w:val="22"/>
          <w:szCs w:val="22"/>
        </w:rPr>
        <w:t>especially for mild-to-moderate difficulties, although they highlighted barriers such as long waiting lists, stigma, and limitations in reaching some groups.</w:t>
      </w:r>
    </w:p>
    <w:p w:rsidR="00895944" w:rsidRPr="00355DA0" w:rsidP="00992865">
      <w:pPr>
        <w:spacing w:line="276" w:lineRule="auto"/>
        <w:ind w:right="-23"/>
        <w:rPr>
          <w:rFonts w:ascii="Calibri" w:hAnsi="Calibri" w:cs="Calibri"/>
          <w:sz w:val="22"/>
          <w:szCs w:val="22"/>
        </w:rPr>
      </w:pPr>
      <w:r w:rsidRPr="00355DA0">
        <w:rPr>
          <w:rFonts w:ascii="Calibri" w:hAnsi="Calibri" w:cs="Calibri"/>
          <w:b/>
          <w:bCs/>
          <w:sz w:val="22"/>
          <w:szCs w:val="22"/>
        </w:rPr>
        <w:t>Ref</w:t>
      </w:r>
      <w:r w:rsidRPr="00355DA0">
        <w:rPr>
          <w:rFonts w:ascii="Calibri" w:hAnsi="Calibri" w:cs="Calibri"/>
          <w:b/>
          <w:bCs/>
          <w:sz w:val="22"/>
          <w:szCs w:val="22"/>
        </w:rPr>
        <w:t>erence</w:t>
      </w:r>
      <w:r w:rsidRPr="00355DA0">
        <w:rPr>
          <w:rFonts w:ascii="Calibri" w:hAnsi="Calibri" w:cs="Calibri"/>
          <w:b/>
          <w:bCs/>
          <w:sz w:val="22"/>
          <w:szCs w:val="22"/>
        </w:rPr>
        <w:t>:</w:t>
      </w:r>
      <w:r w:rsidRPr="00355DA0">
        <w:rPr>
          <w:rFonts w:ascii="Calibri" w:hAnsi="Calibri" w:cs="Calibri"/>
          <w:sz w:val="22"/>
          <w:szCs w:val="22"/>
        </w:rPr>
        <w:t xml:space="preserve"> Jenkins, T., Nisar, A.,….Loades, M.E. (submitted Jan 2026). Can we connect with young adults? A qualitative exploration into young adults' mental health help-seeking, and perceptions of digital Single Session Interventions. </w:t>
      </w:r>
      <w:r w:rsidRPr="00355DA0">
        <w:rPr>
          <w:rFonts w:ascii="Calibri" w:hAnsi="Calibri" w:cs="Calibri"/>
          <w:i/>
          <w:iCs/>
          <w:sz w:val="22"/>
          <w:szCs w:val="22"/>
        </w:rPr>
        <w:t>Psychology and Psychotherapy: Theory, Research &amp; Practice</w:t>
      </w:r>
    </w:p>
    <w:p w:rsidR="00895944" w:rsidRPr="00355DA0" w:rsidP="00992865">
      <w:pPr>
        <w:spacing w:line="276" w:lineRule="auto"/>
        <w:rPr>
          <w:rFonts w:ascii="Calibri" w:eastAsia="Times New Roman" w:hAnsi="Calibri" w:cs="Calibri"/>
          <w:color w:val="000000"/>
          <w:sz w:val="22"/>
          <w:szCs w:val="22"/>
          <w:lang w:val="en-GB"/>
        </w:rPr>
      </w:pPr>
      <w:r w:rsidRPr="00355DA0">
        <w:rPr>
          <w:rFonts w:ascii="Calibri" w:hAnsi="Calibri" w:cs="Calibri"/>
          <w:sz w:val="22"/>
          <w:szCs w:val="22"/>
        </w:rPr>
        <w:t xml:space="preserve">We also interviewed young adults in the UK, aged 19-25, about sources of early help and support for depression symptoms. </w:t>
      </w:r>
      <w:r w:rsidRPr="00355DA0">
        <w:rPr>
          <w:rFonts w:ascii="Calibri" w:eastAsia="Times New Roman" w:hAnsi="Calibri" w:cs="Calibri"/>
          <w:color w:val="000000"/>
          <w:sz w:val="22"/>
          <w:szCs w:val="22"/>
          <w:lang w:val="en-GB"/>
        </w:rPr>
        <w:t>Young adults spoke about seeking support from recognised institutions, with the GP, NHS, university/college, and charities being seen as the most trustworthy and credible</w:t>
      </w:r>
      <w:r w:rsidRPr="00355DA0">
        <w:rPr>
          <w:rFonts w:ascii="Calibri" w:eastAsia="Times New Roman" w:hAnsi="Calibri" w:cs="Calibri"/>
          <w:color w:val="000000"/>
          <w:sz w:val="22"/>
          <w:szCs w:val="22"/>
          <w:lang w:val="en-GB"/>
        </w:rPr>
        <w:t xml:space="preserve">. Mental health resources </w:t>
      </w:r>
      <w:r w:rsidRPr="00355DA0">
        <w:rPr>
          <w:rFonts w:ascii="Calibri" w:eastAsia="Times New Roman" w:hAnsi="Calibri" w:cs="Calibri"/>
          <w:color w:val="000000"/>
          <w:sz w:val="22"/>
          <w:szCs w:val="22"/>
          <w:lang w:val="en-GB"/>
        </w:rPr>
        <w:t>were generally seen to be more trustworthy if they were supported by</w:t>
      </w:r>
      <w:r w:rsidRPr="00355DA0">
        <w:rPr>
          <w:rFonts w:ascii="Calibri" w:eastAsia="Times New Roman" w:hAnsi="Calibri" w:cs="Calibri"/>
          <w:color w:val="000000"/>
          <w:sz w:val="22"/>
          <w:szCs w:val="22"/>
          <w:lang w:val="en-GB"/>
        </w:rPr>
        <w:t xml:space="preserve"> research, and </w:t>
      </w:r>
      <w:r w:rsidRPr="00355DA0">
        <w:rPr>
          <w:rFonts w:ascii="Calibri" w:eastAsia="Times New Roman" w:hAnsi="Calibri" w:cs="Calibri"/>
          <w:color w:val="000000"/>
          <w:sz w:val="22"/>
          <w:szCs w:val="22"/>
          <w:lang w:val="en-GB"/>
        </w:rPr>
        <w:t xml:space="preserve">university </w:t>
      </w:r>
      <w:r w:rsidRPr="00355DA0">
        <w:rPr>
          <w:rFonts w:ascii="Calibri" w:eastAsia="Times New Roman" w:hAnsi="Calibri" w:cs="Calibri"/>
          <w:color w:val="000000"/>
          <w:sz w:val="22"/>
          <w:szCs w:val="22"/>
          <w:lang w:val="en-GB"/>
        </w:rPr>
        <w:t>researchers’</w:t>
      </w:r>
      <w:r w:rsidRPr="00355DA0">
        <w:rPr>
          <w:rFonts w:ascii="Calibri" w:eastAsia="Times New Roman" w:hAnsi="Calibri" w:cs="Calibri"/>
          <w:color w:val="000000"/>
          <w:sz w:val="22"/>
          <w:szCs w:val="22"/>
          <w:lang w:val="en-GB"/>
        </w:rPr>
        <w:t xml:space="preserve"> involvement in developing and evaluating resources </w:t>
      </w:r>
      <w:r w:rsidRPr="00355DA0">
        <w:rPr>
          <w:rFonts w:ascii="Calibri" w:eastAsia="Times New Roman" w:hAnsi="Calibri" w:cs="Calibri"/>
          <w:color w:val="000000"/>
          <w:sz w:val="22"/>
          <w:szCs w:val="22"/>
          <w:lang w:val="en-GB"/>
        </w:rPr>
        <w:t xml:space="preserve">made </w:t>
      </w:r>
      <w:r w:rsidRPr="00355DA0">
        <w:rPr>
          <w:rFonts w:ascii="Calibri" w:eastAsia="Times New Roman" w:hAnsi="Calibri" w:cs="Calibri"/>
          <w:color w:val="000000"/>
          <w:sz w:val="22"/>
          <w:szCs w:val="22"/>
          <w:lang w:val="en-GB"/>
        </w:rPr>
        <w:t>them</w:t>
      </w:r>
      <w:r w:rsidRPr="00355DA0">
        <w:rPr>
          <w:rFonts w:ascii="Calibri" w:eastAsia="Times New Roman" w:hAnsi="Calibri" w:cs="Calibri"/>
          <w:color w:val="000000"/>
          <w:sz w:val="22"/>
          <w:szCs w:val="22"/>
          <w:lang w:val="en-GB"/>
        </w:rPr>
        <w:t xml:space="preserve"> more credible</w:t>
      </w:r>
      <w:r w:rsidRPr="00355DA0">
        <w:rPr>
          <w:rFonts w:ascii="Calibri" w:eastAsia="Times New Roman" w:hAnsi="Calibri" w:cs="Calibri"/>
          <w:color w:val="000000"/>
          <w:sz w:val="22"/>
          <w:szCs w:val="22"/>
          <w:lang w:val="en-GB"/>
        </w:rPr>
        <w:t>.</w:t>
      </w:r>
    </w:p>
    <w:p w:rsidR="00895944" w:rsidRPr="00355DA0" w:rsidP="00992865">
      <w:pPr>
        <w:spacing w:line="276" w:lineRule="auto"/>
        <w:ind w:right="-20"/>
        <w:rPr>
          <w:rFonts w:ascii="Calibri" w:hAnsi="Calibri" w:cs="Calibri"/>
          <w:bCs/>
          <w:sz w:val="22"/>
          <w:szCs w:val="22"/>
        </w:rPr>
      </w:pPr>
      <w:r w:rsidRPr="00355DA0">
        <w:rPr>
          <w:rFonts w:ascii="Calibri" w:hAnsi="Calibri" w:cs="Calibri"/>
          <w:sz w:val="22"/>
          <w:szCs w:val="22"/>
        </w:rPr>
        <w:t xml:space="preserve">Thus, </w:t>
      </w:r>
      <w:r w:rsidRPr="00355DA0">
        <w:rPr>
          <w:rFonts w:ascii="Calibri" w:eastAsia="Times New Roman" w:hAnsi="Calibri" w:cs="Calibri"/>
          <w:color w:val="000000"/>
          <w:sz w:val="22"/>
          <w:szCs w:val="22"/>
        </w:rPr>
        <w:t>young adults view universities as a trusted and credible source of mental health support, and university involvement in the development of mental health resources legitimises them as evidence-based.</w:t>
      </w:r>
    </w:p>
    <w:p w:rsidR="00895944" w:rsidRPr="00355DA0" w:rsidP="00992865">
      <w:pPr>
        <w:pStyle w:val="ListParagraph"/>
        <w:numPr>
          <w:ilvl w:val="0"/>
          <w:numId w:val="8"/>
        </w:numPr>
        <w:spacing w:line="276" w:lineRule="auto"/>
        <w:rPr>
          <w:rFonts w:ascii="Calibri" w:eastAsia="Times New Roman" w:hAnsi="Calibri" w:cs="Calibri"/>
          <w:b/>
          <w:bCs/>
          <w:sz w:val="22"/>
          <w:szCs w:val="22"/>
          <w:lang w:val="en-GB"/>
        </w:rPr>
      </w:pPr>
      <w:r w:rsidRPr="00355DA0">
        <w:rPr>
          <w:rFonts w:ascii="Calibri" w:eastAsia="Times New Roman" w:hAnsi="Calibri" w:cs="Calibri"/>
          <w:b/>
          <w:bCs/>
          <w:sz w:val="22"/>
          <w:szCs w:val="22"/>
          <w:lang w:val="en-GB"/>
        </w:rPr>
        <w:t>Young people with neurodevelopmental difference.</w:t>
      </w:r>
    </w:p>
    <w:p w:rsidR="00895944" w:rsidRPr="00355DA0" w:rsidP="00992865">
      <w:pPr>
        <w:spacing w:line="276" w:lineRule="auto"/>
        <w:rPr>
          <w:rFonts w:ascii="Calibri" w:eastAsia="Times New Roman" w:hAnsi="Calibri" w:cs="Calibri"/>
          <w:b/>
          <w:bCs/>
          <w:sz w:val="22"/>
          <w:szCs w:val="22"/>
          <w:lang w:val="en-GB"/>
        </w:rPr>
      </w:pPr>
      <w:r w:rsidRPr="00355DA0">
        <w:rPr>
          <w:rFonts w:ascii="Calibri" w:eastAsia="Times New Roman" w:hAnsi="Calibri" w:cs="Calibri"/>
          <w:b/>
          <w:bCs/>
          <w:sz w:val="22"/>
          <w:szCs w:val="22"/>
          <w:lang w:val="en-GB"/>
        </w:rPr>
        <w:t xml:space="preserve"> </w:t>
      </w:r>
      <w:r w:rsidRPr="00355DA0">
        <w:rPr>
          <w:rFonts w:ascii="Calibri" w:eastAsia="Times New Roman" w:hAnsi="Calibri" w:cs="Calibri"/>
          <w:b/>
          <w:bCs/>
          <w:sz w:val="22"/>
          <w:szCs w:val="22"/>
          <w:lang w:val="en-GB"/>
        </w:rPr>
        <w:t xml:space="preserve">Developing autism specific support in community and </w:t>
      </w:r>
      <w:r w:rsidRPr="00355DA0">
        <w:rPr>
          <w:rFonts w:ascii="Calibri" w:eastAsia="Times New Roman" w:hAnsi="Calibri" w:cs="Calibri"/>
          <w:b/>
          <w:bCs/>
          <w:sz w:val="22"/>
          <w:szCs w:val="22"/>
          <w:lang w:val="en-GB"/>
        </w:rPr>
        <w:t>post-secondary education settings</w:t>
      </w:r>
    </w:p>
    <w:p w:rsidR="00895944" w:rsidRPr="00355DA0" w:rsidP="00992865">
      <w:pPr>
        <w:spacing w:line="276" w:lineRule="auto"/>
        <w:rPr>
          <w:rFonts w:ascii="Calibri" w:eastAsia="Times New Roman" w:hAnsi="Calibri" w:cs="Calibri"/>
          <w:sz w:val="22"/>
          <w:szCs w:val="22"/>
          <w:lang w:val="en-GB"/>
        </w:rPr>
      </w:pPr>
      <w:r w:rsidRPr="00355DA0">
        <w:rPr>
          <w:rFonts w:ascii="Calibri" w:eastAsia="Times New Roman" w:hAnsi="Calibri" w:cs="Calibri"/>
          <w:sz w:val="22"/>
          <w:szCs w:val="22"/>
          <w:lang w:val="en-GB"/>
        </w:rPr>
        <w:t xml:space="preserve">Autistic young people experience higher rates of mental health difficulties, including anxiety and depression, compared with other groups of young people. Transition to adulthood is a complex time for all young people, and particularly young people with neurodevelopmental difference who can face additional challenges with stigmatised identity, social isolation, bullying and under-employment.   The all-age autism assessment framework (NHS England) specifies post-diagnostic </w:t>
      </w:r>
      <w:r w:rsidRPr="00355DA0">
        <w:rPr>
          <w:rFonts w:ascii="Calibri" w:eastAsia="Times New Roman" w:hAnsi="Calibri" w:cs="Calibri"/>
          <w:sz w:val="22"/>
          <w:szCs w:val="22"/>
          <w:lang w:val="en-GB"/>
        </w:rPr>
        <w:t xml:space="preserve">support should be provided but there is little evidence about which interventions support the wellbeing of young autistic people making the transition to adulthood.  We completed a feasibility trial of a co-produced peer-led intervention to support wellbeing and foster positive autism identity. </w:t>
      </w:r>
      <w:r w:rsidRPr="00355DA0">
        <w:rPr>
          <w:rFonts w:ascii="Calibri" w:eastAsia="Times New Roman" w:hAnsi="Calibri" w:cs="Calibri"/>
          <w:sz w:val="22"/>
          <w:szCs w:val="22"/>
          <w:lang w:val="en-GB"/>
        </w:rPr>
        <w:t xml:space="preserve">The intervention was feasible and acceptable, and a full-scale randomised controlled trial of the intervention, to establish effectiveness and cost-effectiveness is indicated. </w:t>
      </w:r>
    </w:p>
    <w:p w:rsidR="00895944" w:rsidRPr="00355DA0" w:rsidP="00992865">
      <w:pPr>
        <w:spacing w:line="276" w:lineRule="auto"/>
        <w:rPr>
          <w:rFonts w:ascii="Calibri" w:eastAsia="Times New Roman" w:hAnsi="Calibri" w:cs="Calibri"/>
          <w:b/>
          <w:bCs/>
          <w:sz w:val="22"/>
          <w:szCs w:val="22"/>
          <w:lang w:val="en-GB"/>
        </w:rPr>
      </w:pPr>
      <w:r w:rsidRPr="00355DA0">
        <w:rPr>
          <w:rFonts w:ascii="Calibri" w:eastAsia="Times New Roman" w:hAnsi="Calibri" w:cs="Calibri"/>
          <w:b/>
          <w:bCs/>
          <w:sz w:val="22"/>
          <w:szCs w:val="22"/>
          <w:lang w:val="en-GB"/>
        </w:rPr>
        <w:t>Evidence</w:t>
      </w:r>
    </w:p>
    <w:p w:rsidR="00895944" w:rsidRPr="00355DA0" w:rsidP="00992865">
      <w:pPr>
        <w:spacing w:line="276" w:lineRule="auto"/>
        <w:rPr>
          <w:rFonts w:ascii="Calibri" w:eastAsia="Times New Roman" w:hAnsi="Calibri" w:cs="Calibri"/>
          <w:sz w:val="22"/>
          <w:szCs w:val="22"/>
          <w:lang w:val="en-GB"/>
        </w:rPr>
      </w:pPr>
      <w:r w:rsidRPr="00355DA0">
        <w:rPr>
          <w:rFonts w:ascii="Calibri" w:eastAsia="Times New Roman" w:hAnsi="Calibri" w:cs="Calibri"/>
          <w:sz w:val="22"/>
          <w:szCs w:val="22"/>
        </w:rPr>
        <w:t>Cooper, K., VanDaalen, R., Burnley, A., Allain, L., Beresford, B., Crane, L., ... &amp; Mandy, W. (2026). Assessing the feasibility of a co-produced peer-group intervention for supporting wellbeing during the transition to adulthood among autistic 16–25-year-olds (ATAG): a randomised controlled feasibility trial. </w:t>
      </w:r>
      <w:r w:rsidRPr="00355DA0">
        <w:rPr>
          <w:rFonts w:ascii="Calibri" w:eastAsia="Times New Roman" w:hAnsi="Calibri" w:cs="Calibri"/>
          <w:i/>
          <w:iCs/>
          <w:sz w:val="22"/>
          <w:szCs w:val="22"/>
        </w:rPr>
        <w:t>EClinicalMedicine</w:t>
      </w:r>
      <w:r w:rsidRPr="00355DA0">
        <w:rPr>
          <w:rFonts w:ascii="Calibri" w:eastAsia="Times New Roman" w:hAnsi="Calibri" w:cs="Calibri"/>
          <w:sz w:val="22"/>
          <w:szCs w:val="22"/>
        </w:rPr>
        <w:t>.</w:t>
      </w:r>
    </w:p>
    <w:p w:rsidR="00895944" w:rsidRPr="00355DA0" w:rsidP="00992865">
      <w:pPr>
        <w:spacing w:line="276" w:lineRule="auto"/>
        <w:ind w:right="-23"/>
        <w:rPr>
          <w:rFonts w:ascii="Calibri" w:hAnsi="Calibri" w:cs="Calibri"/>
          <w:b/>
          <w:sz w:val="22"/>
          <w:szCs w:val="22"/>
        </w:rPr>
      </w:pPr>
      <w:r w:rsidRPr="00355DA0">
        <w:rPr>
          <w:rFonts w:ascii="Calibri" w:hAnsi="Calibri" w:cs="Calibri"/>
          <w:b/>
          <w:sz w:val="22"/>
          <w:szCs w:val="22"/>
        </w:rPr>
        <w:t xml:space="preserve">Topic: What is required to achieve the </w:t>
      </w:r>
      <w:r w:rsidRPr="00355DA0">
        <w:rPr>
          <w:rFonts w:ascii="Calibri" w:hAnsi="Calibri" w:cs="Calibri"/>
          <w:b/>
          <w:sz w:val="22"/>
          <w:szCs w:val="22"/>
        </w:rPr>
        <w:t xml:space="preserve">Government’s manifesto commitments on provision of mental health support in schools and colleges? </w:t>
      </w:r>
    </w:p>
    <w:p w:rsidR="00895944" w:rsidRPr="00355DA0" w:rsidP="00992865">
      <w:pPr>
        <w:spacing w:line="276" w:lineRule="auto"/>
        <w:ind w:right="-23"/>
        <w:rPr>
          <w:rFonts w:ascii="Calibri" w:hAnsi="Calibri" w:cs="Calibri"/>
          <w:b/>
          <w:sz w:val="22"/>
          <w:szCs w:val="22"/>
        </w:rPr>
      </w:pPr>
      <w:r w:rsidRPr="00355DA0">
        <w:rPr>
          <w:rFonts w:ascii="Calibri" w:hAnsi="Calibri" w:cs="Calibri"/>
          <w:b/>
          <w:sz w:val="22"/>
          <w:szCs w:val="22"/>
        </w:rPr>
        <w:t>To what extend does the rollout of Education Mental Health Practitioners and Mental Health Support Teams support in delivering on this commitment?</w:t>
      </w:r>
    </w:p>
    <w:p w:rsidR="00895944" w:rsidRPr="00355DA0" w:rsidP="00992865">
      <w:pPr>
        <w:spacing w:line="276" w:lineRule="auto"/>
        <w:ind w:right="-23"/>
        <w:rPr>
          <w:rFonts w:ascii="Calibri" w:hAnsi="Calibri" w:cs="Calibri"/>
          <w:sz w:val="22"/>
          <w:szCs w:val="22"/>
        </w:rPr>
      </w:pPr>
      <w:r w:rsidRPr="00355DA0">
        <w:rPr>
          <w:rFonts w:ascii="Calibri" w:hAnsi="Calibri" w:cs="Calibri"/>
          <w:sz w:val="22"/>
          <w:szCs w:val="22"/>
        </w:rPr>
        <w:t>We analysed routinely collected data from over 1,000 adolescents receiving low-intensity interventions in school and community settings across one region in England, finding that these services achieved good uptake and were associated with meaningful improvements in depression, anxiety, and personal goals. However, limitations in data quality, lack of longer-term follow-up, and unequal reach across demographic groups highlight important gaps. For policymakers, this indicates that while Mental Health Support</w:t>
      </w:r>
      <w:r w:rsidRPr="00355DA0">
        <w:rPr>
          <w:rFonts w:ascii="Calibri" w:hAnsi="Calibri" w:cs="Calibri"/>
          <w:sz w:val="22"/>
          <w:szCs w:val="22"/>
        </w:rPr>
        <w:t xml:space="preserve"> Teams and Education Mental Health Practitioners are a promising and scalable component of early intervention, further investment is needed to improve data systems, ensure equitable access, and evaluate longer-term outcomes to fully realise their potential.</w:t>
      </w:r>
    </w:p>
    <w:p w:rsidR="00895944" w:rsidRPr="00355DA0" w:rsidP="00DE2BE0">
      <w:pPr>
        <w:spacing w:line="240" w:lineRule="auto"/>
        <w:ind w:right="-23"/>
        <w:rPr>
          <w:rFonts w:ascii="Calibri" w:hAnsi="Calibri" w:cs="Calibri"/>
          <w:bCs/>
          <w:i/>
          <w:iCs/>
          <w:sz w:val="22"/>
          <w:szCs w:val="22"/>
        </w:rPr>
      </w:pPr>
      <w:r w:rsidRPr="00355DA0">
        <w:rPr>
          <w:rFonts w:ascii="Calibri" w:hAnsi="Calibri" w:cs="Calibri"/>
          <w:b/>
          <w:sz w:val="22"/>
          <w:szCs w:val="22"/>
        </w:rPr>
        <w:t xml:space="preserve">Reference: </w:t>
      </w:r>
      <w:r w:rsidRPr="00355DA0">
        <w:rPr>
          <w:rFonts w:ascii="Calibri" w:hAnsi="Calibri" w:cs="Calibri"/>
          <w:bCs/>
          <w:sz w:val="22"/>
          <w:szCs w:val="22"/>
        </w:rPr>
        <w:t xml:space="preserve">Wood, M.A.N., Marshall, N.J., Shaw, M., Hooper, R., Turnbull, M.J., &amp; Loades, M.E. (accepted). Low-intensity psychological interventions for adolescent mental health in community and education settings: what can we learn from routinely collected data? </w:t>
      </w:r>
      <w:r w:rsidRPr="00355DA0">
        <w:rPr>
          <w:rFonts w:ascii="Calibri" w:hAnsi="Calibri" w:cs="Calibri"/>
          <w:bCs/>
          <w:i/>
          <w:iCs/>
          <w:sz w:val="22"/>
          <w:szCs w:val="22"/>
        </w:rPr>
        <w:t>Clinical Psychology: Science and Practice</w:t>
      </w:r>
    </w:p>
    <w:p w:rsidR="00895944" w:rsidRPr="00355DA0" w:rsidP="00A705D5">
      <w:pPr>
        <w:spacing w:after="0" w:line="240" w:lineRule="auto"/>
        <w:rPr>
          <w:rFonts w:ascii="Calibri" w:eastAsia="Times New Roman" w:hAnsi="Calibri" w:cs="Calibri"/>
          <w:b/>
          <w:bCs/>
          <w:sz w:val="22"/>
          <w:szCs w:val="22"/>
          <w:lang w:val="en-GB"/>
        </w:rPr>
      </w:pPr>
    </w:p>
    <w:p w:rsidR="00895944" w:rsidRPr="00355DA0" w:rsidP="00A705D5">
      <w:pPr>
        <w:spacing w:after="0" w:line="240" w:lineRule="auto"/>
        <w:rPr>
          <w:rFonts w:ascii="Calibri" w:eastAsia="Times New Roman" w:hAnsi="Calibri" w:cs="Calibri"/>
          <w:b/>
          <w:bCs/>
          <w:sz w:val="22"/>
          <w:szCs w:val="22"/>
          <w:lang w:val="en-GB"/>
        </w:rPr>
      </w:pPr>
      <w:r w:rsidRPr="00355DA0">
        <w:rPr>
          <w:rFonts w:ascii="Calibri" w:eastAsia="Times New Roman" w:hAnsi="Calibri" w:cs="Calibri"/>
          <w:b/>
          <w:bCs/>
          <w:sz w:val="22"/>
          <w:szCs w:val="22"/>
          <w:lang w:val="en-GB"/>
        </w:rPr>
        <w:t>Topic:  Integration between education, NHS and community provision.</w:t>
      </w:r>
    </w:p>
    <w:p w:rsidR="00895944" w:rsidRPr="00355DA0" w:rsidP="00A705D5">
      <w:pPr>
        <w:spacing w:after="0" w:line="240" w:lineRule="auto"/>
        <w:rPr>
          <w:rFonts w:ascii="Calibri" w:eastAsia="Times New Roman" w:hAnsi="Calibri" w:cs="Calibri"/>
          <w:b/>
          <w:bCs/>
          <w:sz w:val="22"/>
          <w:szCs w:val="22"/>
          <w:lang w:val="en-GB"/>
        </w:rPr>
      </w:pPr>
    </w:p>
    <w:p w:rsidR="00895944" w:rsidRPr="00355DA0" w:rsidP="00A705D5">
      <w:pPr>
        <w:spacing w:after="0" w:line="240" w:lineRule="auto"/>
        <w:rPr>
          <w:rFonts w:ascii="Calibri" w:eastAsia="Times New Roman" w:hAnsi="Calibri" w:cs="Calibri"/>
          <w:b/>
          <w:bCs/>
          <w:sz w:val="22"/>
          <w:szCs w:val="22"/>
          <w:lang w:val="en-GB"/>
        </w:rPr>
      </w:pPr>
      <w:r w:rsidRPr="00355DA0">
        <w:rPr>
          <w:rFonts w:ascii="Calibri" w:eastAsia="Times New Roman" w:hAnsi="Calibri" w:cs="Calibri"/>
          <w:b/>
          <w:bCs/>
          <w:sz w:val="22"/>
          <w:szCs w:val="22"/>
          <w:lang w:val="en-GB"/>
        </w:rPr>
        <w:t>How are online services and digital interventions being used to support young people’s mental health? Is there strong enough evidence base for the use of these services, and how should they be regulated and deployed?</w:t>
      </w:r>
    </w:p>
    <w:p w:rsidR="00895944" w:rsidRPr="00355DA0" w:rsidP="00A705D5">
      <w:pPr>
        <w:spacing w:after="0" w:line="240" w:lineRule="auto"/>
        <w:rPr>
          <w:rFonts w:ascii="Calibri" w:eastAsia="Times New Roman" w:hAnsi="Calibri" w:cs="Calibri"/>
          <w:sz w:val="22"/>
          <w:szCs w:val="22"/>
          <w:lang w:val="en-GB"/>
        </w:rPr>
      </w:pPr>
    </w:p>
    <w:p w:rsidR="00895944" w:rsidRPr="00355DA0" w:rsidP="000C7022">
      <w:pPr>
        <w:spacing w:line="276" w:lineRule="auto"/>
        <w:rPr>
          <w:rFonts w:ascii="Calibri" w:eastAsia="Times New Roman" w:hAnsi="Calibri" w:cs="Calibri"/>
          <w:sz w:val="22"/>
          <w:szCs w:val="22"/>
          <w:lang w:val="en-GB"/>
        </w:rPr>
      </w:pPr>
      <w:r w:rsidRPr="00355DA0">
        <w:rPr>
          <w:rFonts w:ascii="Calibri" w:hAnsi="Calibri" w:cs="Calibri"/>
          <w:sz w:val="22"/>
          <w:szCs w:val="22"/>
        </w:rPr>
        <w:t xml:space="preserve">There are gaps between need for help and access to it in a timely way (Loades &amp;Schleider, 2023) and some young people never access traditional, clinic-based provision. Digital, single session interventions can be offered at scale as self-help resources, and in the USA, have been shown to be safe and effective at reducing depression symptoms in young people in multiple large studies. To date, our work in the UK (Lambert, Loades et al, 2024; Higson-Sweeney et al, 2025; Loades, Perry &amp; Marshall, 2025; Ball et </w:t>
      </w:r>
      <w:r w:rsidRPr="00355DA0">
        <w:rPr>
          <w:rFonts w:ascii="Calibri" w:hAnsi="Calibri" w:cs="Calibri"/>
          <w:sz w:val="22"/>
          <w:szCs w:val="22"/>
        </w:rPr>
        <w:t xml:space="preserve">al, 2025) has shown that these interventions can be offered as a public health resource through community and early help settings. Offered in this way, we have found that they are taken up, used and rated favourably, and seem to have similar benefits. Policymakers should invest in scaling up digital single-session interventions as part of a public health approach to youth </w:t>
      </w:r>
      <w:r w:rsidRPr="00355DA0">
        <w:rPr>
          <w:rFonts w:ascii="Calibri" w:hAnsi="Calibri" w:cs="Calibri"/>
          <w:sz w:val="22"/>
          <w:szCs w:val="22"/>
        </w:rPr>
        <w:t>mental health, embedding them within community and early help settings to improve timely access and reach underserved young people.</w:t>
      </w:r>
    </w:p>
    <w:p w:rsidR="00895944" w:rsidRPr="00355DA0" w:rsidP="000C7022">
      <w:pPr>
        <w:spacing w:after="0" w:line="276" w:lineRule="auto"/>
        <w:rPr>
          <w:rFonts w:ascii="Calibri" w:eastAsia="Times New Roman" w:hAnsi="Calibri" w:cs="Calibri"/>
          <w:b/>
          <w:bCs/>
          <w:sz w:val="22"/>
          <w:szCs w:val="22"/>
          <w:lang w:val="en-GB"/>
        </w:rPr>
      </w:pPr>
      <w:r w:rsidRPr="00355DA0">
        <w:rPr>
          <w:rFonts w:ascii="Calibri" w:eastAsia="Times New Roman" w:hAnsi="Calibri" w:cs="Calibri"/>
          <w:b/>
          <w:bCs/>
          <w:sz w:val="22"/>
          <w:szCs w:val="22"/>
          <w:lang w:val="en-GB"/>
        </w:rPr>
        <w:t>References:</w:t>
      </w:r>
    </w:p>
    <w:p w:rsidR="00895944" w:rsidRPr="00355DA0" w:rsidP="000C7022">
      <w:pPr>
        <w:numPr>
          <w:ilvl w:val="0"/>
          <w:numId w:val="4"/>
        </w:numPr>
        <w:spacing w:after="0" w:line="276" w:lineRule="auto"/>
        <w:rPr>
          <w:rFonts w:ascii="Calibri" w:eastAsia="Times New Roman" w:hAnsi="Calibri" w:cs="Calibri"/>
          <w:sz w:val="22"/>
          <w:szCs w:val="22"/>
          <w:lang w:val="en-GB"/>
        </w:rPr>
      </w:pPr>
      <w:r w:rsidRPr="00355DA0">
        <w:rPr>
          <w:rFonts w:ascii="Calibri" w:eastAsia="Times New Roman" w:hAnsi="Calibri" w:cs="Calibri"/>
          <w:sz w:val="22"/>
          <w:szCs w:val="22"/>
          <w:lang w:val="en-GB"/>
        </w:rPr>
        <w:t xml:space="preserve">Loades, M.E. &amp; Ching, B. C.F. (2022). Closing the needs-access gap for young people with depression: Digital single session interventions as a promising innovation to extend existing provision, </w:t>
      </w:r>
      <w:r w:rsidRPr="00355DA0">
        <w:rPr>
          <w:rFonts w:ascii="Calibri" w:eastAsia="Times New Roman" w:hAnsi="Calibri" w:cs="Calibri"/>
          <w:i/>
          <w:iCs/>
          <w:sz w:val="22"/>
          <w:szCs w:val="22"/>
          <w:lang w:val="en-GB"/>
        </w:rPr>
        <w:t>Clinical Psychology Forum</w:t>
      </w:r>
    </w:p>
    <w:p w:rsidR="00895944" w:rsidRPr="00355DA0" w:rsidP="000C7022">
      <w:pPr>
        <w:numPr>
          <w:ilvl w:val="0"/>
          <w:numId w:val="4"/>
        </w:numPr>
        <w:spacing w:after="0" w:line="276" w:lineRule="auto"/>
        <w:rPr>
          <w:rFonts w:ascii="Calibri" w:eastAsia="Times New Roman" w:hAnsi="Calibri" w:cs="Calibri"/>
          <w:sz w:val="22"/>
          <w:szCs w:val="22"/>
          <w:lang w:val="en-GB"/>
        </w:rPr>
      </w:pPr>
      <w:r w:rsidRPr="00355DA0">
        <w:rPr>
          <w:rFonts w:ascii="Calibri" w:eastAsia="Times New Roman" w:hAnsi="Calibri" w:cs="Calibri"/>
          <w:sz w:val="22"/>
          <w:szCs w:val="22"/>
          <w:lang w:val="en-GB"/>
        </w:rPr>
        <w:t>Loades, M.E. &amp; Schleider, J. (2023). Tech Matters: Online, self-help Single Sessions Interventions could expand current provision, improving early access to help for adolescents with depression symptoms, including minority groups</w:t>
      </w:r>
      <w:r w:rsidRPr="00355DA0">
        <w:rPr>
          <w:rFonts w:ascii="Calibri" w:eastAsia="Times New Roman" w:hAnsi="Calibri" w:cs="Calibri"/>
          <w:i/>
          <w:iCs/>
          <w:sz w:val="22"/>
          <w:szCs w:val="22"/>
          <w:lang w:val="en-GB"/>
        </w:rPr>
        <w:t>. Child and Adolescent Mental Health.</w:t>
      </w:r>
    </w:p>
    <w:p w:rsidR="00895944" w:rsidRPr="00355DA0" w:rsidP="000C7022">
      <w:pPr>
        <w:numPr>
          <w:ilvl w:val="0"/>
          <w:numId w:val="4"/>
        </w:numPr>
        <w:spacing w:after="0" w:line="276" w:lineRule="auto"/>
        <w:rPr>
          <w:rFonts w:ascii="Calibri" w:eastAsia="Times New Roman" w:hAnsi="Calibri" w:cs="Calibri"/>
          <w:i/>
          <w:iCs/>
          <w:sz w:val="22"/>
          <w:szCs w:val="22"/>
          <w:lang w:val="en-GB"/>
        </w:rPr>
      </w:pPr>
      <w:r w:rsidRPr="00355DA0">
        <w:rPr>
          <w:rFonts w:ascii="Calibri" w:eastAsia="Times New Roman" w:hAnsi="Calibri" w:cs="Calibri"/>
          <w:sz w:val="22"/>
          <w:szCs w:val="22"/>
          <w:lang w:val="en-GB"/>
        </w:rPr>
        <w:t xml:space="preserve">Higson-Sweeney, N., Dallison, S., Craddock, E., Teague, B., Payne-Cook, C., Leas, J., Slastikova, A.V., Peel, H., Biddle, L. &amp; Loades, M. E. (accepted). Young people’s attitudes towards online self-help single-session interventions: Findings from a co-produced qualitative study. </w:t>
      </w:r>
      <w:r w:rsidRPr="00355DA0">
        <w:rPr>
          <w:rFonts w:ascii="Calibri" w:eastAsia="Times New Roman" w:hAnsi="Calibri" w:cs="Calibri"/>
          <w:i/>
          <w:iCs/>
          <w:sz w:val="22"/>
          <w:szCs w:val="22"/>
          <w:lang w:val="en-GB"/>
        </w:rPr>
        <w:t>BMC Psychology.</w:t>
      </w:r>
    </w:p>
    <w:p w:rsidR="00895944" w:rsidRPr="00355DA0" w:rsidP="000C7022">
      <w:pPr>
        <w:numPr>
          <w:ilvl w:val="0"/>
          <w:numId w:val="4"/>
        </w:numPr>
        <w:spacing w:after="0" w:line="276" w:lineRule="auto"/>
        <w:rPr>
          <w:rFonts w:ascii="Calibri" w:eastAsia="Times New Roman" w:hAnsi="Calibri" w:cs="Calibri"/>
          <w:sz w:val="22"/>
          <w:szCs w:val="22"/>
          <w:lang w:val="en-GB"/>
        </w:rPr>
      </w:pPr>
      <w:r w:rsidRPr="00355DA0">
        <w:rPr>
          <w:rFonts w:ascii="Calibri" w:eastAsia="Times New Roman" w:hAnsi="Calibri" w:cs="Calibri"/>
          <w:sz w:val="22"/>
          <w:szCs w:val="22"/>
          <w:lang w:val="en-GB"/>
        </w:rPr>
        <w:t>Loades, M.E., Lambert, J. D., Marshall, N., Higson-Sweeney, N., Chan, S. W. Y., Mahmud, A., Pile, V., Maity, A., Adam, H., Sung, B., Luximon, M., MacLennan, K., Berry, C., &amp; Chadwick, P. (2025). Investigating the efficacy of the web-based Common Elements Toolbox (COMET) single session intervention in improving UK university student wellbeing: Randomized controlled trial</w:t>
      </w:r>
      <w:r w:rsidRPr="00355DA0">
        <w:rPr>
          <w:rFonts w:ascii="Calibri" w:eastAsia="Times New Roman" w:hAnsi="Calibri" w:cs="Calibri"/>
          <w:i/>
          <w:iCs/>
          <w:sz w:val="22"/>
          <w:szCs w:val="22"/>
          <w:lang w:val="en-GB"/>
        </w:rPr>
        <w:t>. Journal of Medical Internet Research (JMIR)</w:t>
      </w:r>
      <w:r w:rsidRPr="00355DA0">
        <w:rPr>
          <w:rFonts w:ascii="Calibri" w:eastAsia="Times New Roman" w:hAnsi="Calibri" w:cs="Calibri"/>
          <w:sz w:val="22"/>
          <w:szCs w:val="22"/>
          <w:lang w:val="en-GB"/>
        </w:rPr>
        <w:t>, 27:e58164; doi: 10.2196/58164.</w:t>
      </w:r>
    </w:p>
    <w:p w:rsidR="00895944" w:rsidRPr="00355DA0" w:rsidP="000C7022">
      <w:pPr>
        <w:numPr>
          <w:ilvl w:val="0"/>
          <w:numId w:val="4"/>
        </w:numPr>
        <w:spacing w:after="0" w:line="276" w:lineRule="auto"/>
        <w:rPr>
          <w:rFonts w:ascii="Calibri" w:eastAsia="Times New Roman" w:hAnsi="Calibri" w:cs="Calibri"/>
          <w:sz w:val="22"/>
          <w:szCs w:val="22"/>
          <w:lang w:val="en-GB"/>
        </w:rPr>
      </w:pPr>
      <w:r w:rsidRPr="00355DA0">
        <w:rPr>
          <w:rFonts w:ascii="Calibri" w:eastAsia="Times New Roman" w:hAnsi="Calibri" w:cs="Calibri"/>
          <w:sz w:val="22"/>
          <w:szCs w:val="22"/>
          <w:lang w:val="en-GB"/>
        </w:rPr>
        <w:t xml:space="preserve">Ball, J., Meiser-Stedman, R., Loades, M., Perkins, A., Bowers, G., Pass, L., Cassidy, J., &amp; Chiu, K. (2025). The Efficacy of an Online Self-Administered Single Session Intervention to Promote Growth Mindset in Adolescents: A Randomised Controlled Trial. </w:t>
      </w:r>
      <w:r w:rsidRPr="00355DA0">
        <w:rPr>
          <w:rFonts w:ascii="Calibri" w:eastAsia="Times New Roman" w:hAnsi="Calibri" w:cs="Calibri"/>
          <w:i/>
          <w:iCs/>
          <w:sz w:val="22"/>
          <w:szCs w:val="22"/>
          <w:lang w:val="en-GB"/>
        </w:rPr>
        <w:t>JCPP Advances</w:t>
      </w:r>
      <w:r w:rsidRPr="00355DA0">
        <w:rPr>
          <w:rFonts w:ascii="Calibri" w:eastAsia="Times New Roman" w:hAnsi="Calibri" w:cs="Calibri"/>
          <w:sz w:val="22"/>
          <w:szCs w:val="22"/>
          <w:lang w:val="en-GB"/>
        </w:rPr>
        <w:t>.</w:t>
      </w:r>
    </w:p>
    <w:p w:rsidR="00895944" w:rsidRPr="00355DA0" w:rsidP="000C7022">
      <w:pPr>
        <w:numPr>
          <w:ilvl w:val="0"/>
          <w:numId w:val="4"/>
        </w:numPr>
        <w:spacing w:after="0" w:line="276" w:lineRule="auto"/>
        <w:rPr>
          <w:rFonts w:ascii="Calibri" w:eastAsia="Times New Roman" w:hAnsi="Calibri" w:cs="Calibri"/>
          <w:sz w:val="22"/>
          <w:szCs w:val="22"/>
          <w:lang w:val="en-GB"/>
        </w:rPr>
      </w:pPr>
      <w:r w:rsidRPr="00355DA0">
        <w:rPr>
          <w:rFonts w:ascii="Calibri" w:hAnsi="Calibri" w:cs="Calibri"/>
          <w:sz w:val="22"/>
          <w:szCs w:val="22"/>
        </w:rPr>
        <w:t xml:space="preserve">Loades, M. E., Perry, G.*, &amp; Marshall, N.* (2025). Investigating Project Care UK, a web-based self-help single-session intervention for youth mental health: Programme evaluation. </w:t>
      </w:r>
      <w:r w:rsidRPr="00355DA0">
        <w:rPr>
          <w:rFonts w:ascii="Calibri" w:hAnsi="Calibri" w:cs="Calibri"/>
          <w:i/>
          <w:iCs/>
          <w:sz w:val="22"/>
          <w:szCs w:val="22"/>
        </w:rPr>
        <w:t>JMIR Mental Health.</w:t>
      </w:r>
    </w:p>
    <w:p w:rsidR="00895944" w:rsidRPr="00355DA0" w:rsidP="000C7022">
      <w:pPr>
        <w:spacing w:line="276" w:lineRule="auto"/>
        <w:rPr>
          <w:rFonts w:ascii="Calibri" w:hAnsi="Calibri" w:cs="Calibri"/>
          <w:i/>
          <w:iCs/>
          <w:sz w:val="22"/>
          <w:szCs w:val="22"/>
        </w:rPr>
      </w:pPr>
    </w:p>
    <w:p w:rsidR="00895944" w:rsidRPr="00355DA0" w:rsidP="000C7022">
      <w:pPr>
        <w:spacing w:line="276" w:lineRule="auto"/>
        <w:rPr>
          <w:rFonts w:ascii="Calibri" w:hAnsi="Calibri" w:eastAsiaTheme="minorEastAsia" w:cs="Calibri"/>
          <w:b/>
          <w:bCs/>
          <w:sz w:val="22"/>
          <w:szCs w:val="22"/>
          <w:lang w:val="en-GB"/>
        </w:rPr>
      </w:pPr>
      <w:r w:rsidRPr="00355DA0">
        <w:rPr>
          <w:rFonts w:ascii="Calibri" w:hAnsi="Calibri" w:eastAsiaTheme="minorEastAsia" w:cs="Calibri"/>
          <w:b/>
          <w:bCs/>
          <w:sz w:val="22"/>
          <w:szCs w:val="22"/>
          <w:lang w:val="en-GB"/>
        </w:rPr>
        <w:t>How could pathways be improved to increase the continuity of support available to children and young people underserved by current provision?</w:t>
      </w:r>
    </w:p>
    <w:p w:rsidR="00895944" w:rsidRPr="00355DA0" w:rsidP="000C7022">
      <w:pPr>
        <w:spacing w:line="276" w:lineRule="auto"/>
        <w:rPr>
          <w:rFonts w:ascii="Calibri" w:hAnsi="Calibri" w:eastAsiaTheme="minorEastAsia" w:cs="Calibri"/>
          <w:b/>
          <w:bCs/>
          <w:sz w:val="22"/>
          <w:szCs w:val="22"/>
          <w:lang w:val="en-GB"/>
        </w:rPr>
      </w:pPr>
      <w:r w:rsidRPr="00355DA0">
        <w:rPr>
          <w:rFonts w:ascii="Calibri" w:hAnsi="Calibri" w:eastAsiaTheme="minorEastAsia" w:cs="Calibri"/>
          <w:b/>
          <w:bCs/>
          <w:sz w:val="22"/>
          <w:szCs w:val="22"/>
          <w:lang w:val="en-GB"/>
        </w:rPr>
        <w:t>A case for children in care (i.e. those in local authority care/cared for by the state)</w:t>
      </w:r>
    </w:p>
    <w:p w:rsidR="00895944" w:rsidRPr="00355DA0" w:rsidP="000C7022">
      <w:pPr>
        <w:spacing w:line="276" w:lineRule="auto"/>
        <w:rPr>
          <w:rFonts w:ascii="Calibri" w:hAnsi="Calibri" w:eastAsiaTheme="minorEastAsia" w:cs="Calibri"/>
          <w:sz w:val="22"/>
          <w:szCs w:val="22"/>
          <w:lang w:val="en-GB"/>
        </w:rPr>
      </w:pPr>
      <w:r w:rsidRPr="00355DA0">
        <w:rPr>
          <w:rFonts w:ascii="Calibri" w:hAnsi="Calibri" w:eastAsiaTheme="minorEastAsia" w:cs="Calibri"/>
          <w:sz w:val="22"/>
          <w:szCs w:val="22"/>
          <w:lang w:val="en-GB"/>
        </w:rPr>
        <w:t>Summary: Children in care are often underserved by current mental health provision because they fall through the gaps</w:t>
      </w:r>
      <w:r w:rsidRPr="00355DA0">
        <w:rPr>
          <w:rFonts w:ascii="Calibri" w:hAnsi="Calibri" w:eastAsiaTheme="minorEastAsia" w:cs="Calibri"/>
          <w:sz w:val="22"/>
          <w:szCs w:val="22"/>
          <w:lang w:val="en-GB"/>
        </w:rPr>
        <w:t xml:space="preserve">. </w:t>
      </w:r>
      <w:r w:rsidRPr="00355DA0">
        <w:rPr>
          <w:rFonts w:ascii="Calibri" w:hAnsi="Calibri" w:eastAsiaTheme="minorEastAsia" w:cs="Calibri"/>
          <w:sz w:val="22"/>
          <w:szCs w:val="22"/>
          <w:lang w:val="en-GB"/>
        </w:rPr>
        <w:t>In addition, t</w:t>
      </w:r>
      <w:r w:rsidRPr="00355DA0">
        <w:rPr>
          <w:rFonts w:ascii="Calibri" w:hAnsi="Calibri" w:eastAsiaTheme="minorEastAsia" w:cs="Calibri"/>
          <w:sz w:val="22"/>
          <w:szCs w:val="22"/>
          <w:lang w:val="en-GB"/>
        </w:rPr>
        <w:t xml:space="preserve">he care available to these young people is vastly different between regions, creating a postcode lottery </w:t>
      </w:r>
      <w:r w:rsidRPr="00355DA0">
        <w:rPr>
          <w:rFonts w:ascii="Calibri" w:hAnsi="Calibri" w:eastAsiaTheme="minorEastAsia" w:cs="Calibri"/>
          <w:sz w:val="22"/>
          <w:szCs w:val="22"/>
          <w:lang w:val="en-GB"/>
        </w:rPr>
        <w:t xml:space="preserve">and </w:t>
      </w:r>
      <w:r w:rsidRPr="00355DA0">
        <w:rPr>
          <w:rFonts w:ascii="Calibri" w:hAnsi="Calibri" w:eastAsiaTheme="minorEastAsia" w:cs="Calibri"/>
          <w:sz w:val="22"/>
          <w:szCs w:val="22"/>
          <w:lang w:val="en-GB"/>
        </w:rPr>
        <w:t>a difficulty for services</w:t>
      </w:r>
      <w:r w:rsidRPr="00355DA0">
        <w:rPr>
          <w:rFonts w:ascii="Calibri" w:hAnsi="Calibri" w:eastAsiaTheme="minorEastAsia" w:cs="Calibri"/>
          <w:sz w:val="22"/>
          <w:szCs w:val="22"/>
          <w:lang w:val="en-GB"/>
        </w:rPr>
        <w:t xml:space="preserve"> and individual professionals/carers supporting the young person</w:t>
      </w:r>
      <w:r w:rsidRPr="00355DA0">
        <w:rPr>
          <w:rFonts w:ascii="Calibri" w:hAnsi="Calibri" w:eastAsiaTheme="minorEastAsia" w:cs="Calibri"/>
          <w:sz w:val="22"/>
          <w:szCs w:val="22"/>
          <w:lang w:val="en-GB"/>
        </w:rPr>
        <w:t xml:space="preserve"> to keep track of what support may be available. This is further perpetuated by a</w:t>
      </w:r>
      <w:r w:rsidRPr="00355DA0">
        <w:rPr>
          <w:rFonts w:ascii="Calibri" w:hAnsi="Calibri" w:eastAsiaTheme="minorEastAsia" w:cs="Calibri"/>
          <w:sz w:val="22"/>
          <w:szCs w:val="22"/>
          <w:lang w:val="en-GB"/>
        </w:rPr>
        <w:t xml:space="preserve"> lack of communication between NHS and social care-based mental health teams</w:t>
      </w:r>
      <w:r w:rsidRPr="00355DA0">
        <w:rPr>
          <w:rFonts w:ascii="Calibri" w:hAnsi="Calibri" w:eastAsiaTheme="minorEastAsia" w:cs="Calibri"/>
          <w:sz w:val="22"/>
          <w:szCs w:val="22"/>
          <w:lang w:val="en-GB"/>
        </w:rPr>
        <w:t>.</w:t>
      </w:r>
    </w:p>
    <w:p w:rsidR="00895944" w:rsidRPr="00355DA0" w:rsidP="000C7022">
      <w:pPr>
        <w:spacing w:line="276" w:lineRule="auto"/>
        <w:rPr>
          <w:rFonts w:ascii="Calibri" w:hAnsi="Calibri" w:eastAsiaTheme="minorEastAsia" w:cs="Calibri"/>
          <w:color w:val="000000" w:themeColor="text1"/>
          <w:sz w:val="22"/>
          <w:szCs w:val="22"/>
          <w:lang w:val="en-GB"/>
        </w:rPr>
      </w:pPr>
      <w:r w:rsidRPr="00355DA0">
        <w:rPr>
          <w:rFonts w:ascii="Calibri" w:hAnsi="Calibri" w:eastAsiaTheme="minorEastAsia" w:cs="Calibri"/>
          <w:sz w:val="22"/>
          <w:szCs w:val="22"/>
          <w:lang w:val="en-GB"/>
        </w:rPr>
        <w:t>Evidence: We</w:t>
      </w:r>
      <w:r w:rsidRPr="00355DA0">
        <w:rPr>
          <w:rFonts w:ascii="Calibri" w:hAnsi="Calibri" w:eastAsiaTheme="minorEastAsia" w:cs="Calibri"/>
          <w:color w:val="000000" w:themeColor="text1"/>
          <w:sz w:val="22"/>
          <w:szCs w:val="22"/>
          <w:lang w:val="en-GB"/>
        </w:rPr>
        <w:t xml:space="preserve"> recruited 28 mental health teams across England, including general CAMHS, targeted CAMHS for CEYP and social care-based teams. From these teams, participants were 243 mental health professionals, from a wide variety of professional backgrounds. Following recruitment</w:t>
      </w:r>
      <w:r w:rsidRPr="00355DA0">
        <w:rPr>
          <w:rFonts w:ascii="Calibri" w:hAnsi="Calibri" w:eastAsiaTheme="minorEastAsia" w:cs="Calibri"/>
          <w:color w:val="000000" w:themeColor="text1"/>
          <w:sz w:val="22"/>
          <w:szCs w:val="22"/>
          <w:lang w:val="en-GB"/>
        </w:rPr>
        <w:t xml:space="preserve"> and </w:t>
      </w:r>
      <w:r w:rsidRPr="00355DA0">
        <w:rPr>
          <w:rFonts w:ascii="Calibri" w:hAnsi="Calibri" w:eastAsiaTheme="minorEastAsia" w:cs="Calibri"/>
          <w:color w:val="000000" w:themeColor="text1"/>
          <w:sz w:val="22"/>
          <w:szCs w:val="22"/>
          <w:lang w:val="en-GB"/>
        </w:rPr>
        <w:t>training</w:t>
      </w:r>
      <w:r w:rsidRPr="00355DA0">
        <w:rPr>
          <w:rFonts w:ascii="Calibri" w:hAnsi="Calibri" w:eastAsiaTheme="minorEastAsia" w:cs="Calibri"/>
          <w:color w:val="000000" w:themeColor="text1"/>
          <w:sz w:val="22"/>
          <w:szCs w:val="22"/>
          <w:lang w:val="en-GB"/>
        </w:rPr>
        <w:t xml:space="preserve"> in cognitive therapy for PTSD</w:t>
      </w:r>
      <w:r w:rsidRPr="00355DA0">
        <w:rPr>
          <w:rFonts w:ascii="Calibri" w:hAnsi="Calibri" w:eastAsiaTheme="minorEastAsia" w:cs="Calibri"/>
          <w:color w:val="000000" w:themeColor="text1"/>
          <w:sz w:val="22"/>
          <w:szCs w:val="22"/>
          <w:lang w:val="en-GB"/>
        </w:rPr>
        <w:t xml:space="preserve">, teams participated in rolling three monthly focus groups and individual interviews, to understand </w:t>
      </w:r>
      <w:r w:rsidRPr="00355DA0">
        <w:rPr>
          <w:rFonts w:ascii="Calibri" w:hAnsi="Calibri" w:eastAsiaTheme="minorEastAsia" w:cs="Calibri"/>
          <w:color w:val="000000" w:themeColor="text1"/>
          <w:sz w:val="22"/>
          <w:szCs w:val="22"/>
          <w:lang w:val="en-GB"/>
        </w:rPr>
        <w:t xml:space="preserve">whether and how they were able to provide this </w:t>
      </w:r>
      <w:r w:rsidRPr="00355DA0">
        <w:rPr>
          <w:rFonts w:ascii="Calibri" w:hAnsi="Calibri" w:eastAsiaTheme="minorEastAsia" w:cs="Calibri"/>
          <w:color w:val="000000" w:themeColor="text1"/>
          <w:sz w:val="22"/>
          <w:szCs w:val="22"/>
          <w:lang w:val="en-GB"/>
        </w:rPr>
        <w:t xml:space="preserve">psychological </w:t>
      </w:r>
      <w:r w:rsidRPr="00355DA0">
        <w:rPr>
          <w:rFonts w:ascii="Calibri" w:hAnsi="Calibri" w:eastAsiaTheme="minorEastAsia" w:cs="Calibri"/>
          <w:color w:val="000000" w:themeColor="text1"/>
          <w:sz w:val="22"/>
          <w:szCs w:val="22"/>
          <w:lang w:val="en-GB"/>
        </w:rPr>
        <w:t>support</w:t>
      </w:r>
      <w:r w:rsidRPr="00355DA0">
        <w:rPr>
          <w:rFonts w:ascii="Calibri" w:hAnsi="Calibri" w:eastAsiaTheme="minorEastAsia" w:cs="Calibri"/>
          <w:color w:val="000000" w:themeColor="text1"/>
          <w:sz w:val="22"/>
          <w:szCs w:val="22"/>
          <w:lang w:val="en-GB"/>
        </w:rPr>
        <w:t xml:space="preserve"> to care-experienced young people. We found that many of the general CAMHS services did not accept referrals from care-experienced youn</w:t>
      </w:r>
      <w:r w:rsidRPr="00355DA0">
        <w:rPr>
          <w:rFonts w:ascii="Calibri" w:hAnsi="Calibri" w:eastAsiaTheme="minorEastAsia" w:cs="Calibri"/>
          <w:color w:val="000000" w:themeColor="text1"/>
          <w:sz w:val="22"/>
          <w:szCs w:val="22"/>
          <w:lang w:val="en-GB"/>
        </w:rPr>
        <w:t xml:space="preserve">g people because they were aware of specialist provision within the </w:t>
      </w:r>
      <w:r w:rsidRPr="00355DA0">
        <w:rPr>
          <w:rFonts w:ascii="Calibri" w:hAnsi="Calibri" w:eastAsiaTheme="minorEastAsia" w:cs="Calibri"/>
          <w:color w:val="000000" w:themeColor="text1"/>
          <w:sz w:val="22"/>
          <w:szCs w:val="22"/>
          <w:lang w:val="en-GB"/>
        </w:rPr>
        <w:t>region and sent referrals onwards to these services</w:t>
      </w:r>
      <w:r w:rsidRPr="00355DA0">
        <w:rPr>
          <w:rFonts w:ascii="Calibri" w:hAnsi="Calibri" w:eastAsiaTheme="minorEastAsia" w:cs="Calibri"/>
          <w:color w:val="000000" w:themeColor="text1"/>
          <w:sz w:val="22"/>
          <w:szCs w:val="22"/>
          <w:lang w:val="en-GB"/>
        </w:rPr>
        <w:t xml:space="preserve">. However, many of the </w:t>
      </w:r>
      <w:r w:rsidRPr="00355DA0">
        <w:rPr>
          <w:rFonts w:ascii="Calibri" w:hAnsi="Calibri" w:eastAsiaTheme="minorEastAsia" w:cs="Calibri"/>
          <w:color w:val="000000" w:themeColor="text1"/>
          <w:sz w:val="22"/>
          <w:szCs w:val="22"/>
          <w:lang w:val="en-GB"/>
        </w:rPr>
        <w:t>targeted</w:t>
      </w:r>
      <w:r w:rsidRPr="00355DA0">
        <w:rPr>
          <w:rFonts w:ascii="Calibri" w:hAnsi="Calibri" w:eastAsiaTheme="minorEastAsia" w:cs="Calibri"/>
          <w:color w:val="000000" w:themeColor="text1"/>
          <w:sz w:val="22"/>
          <w:szCs w:val="22"/>
          <w:lang w:val="en-GB"/>
        </w:rPr>
        <w:t xml:space="preserve"> CAMHS and social-care based mental health teams </w:t>
      </w:r>
      <w:r w:rsidRPr="00355DA0">
        <w:rPr>
          <w:rFonts w:ascii="Calibri" w:hAnsi="Calibri" w:eastAsiaTheme="minorEastAsia" w:cs="Calibri"/>
          <w:color w:val="000000" w:themeColor="text1"/>
          <w:sz w:val="22"/>
          <w:szCs w:val="22"/>
          <w:lang w:val="en-GB"/>
        </w:rPr>
        <w:t>were not commissioned to</w:t>
      </w:r>
      <w:r w:rsidRPr="00355DA0">
        <w:rPr>
          <w:rFonts w:ascii="Calibri" w:hAnsi="Calibri" w:eastAsiaTheme="minorEastAsia" w:cs="Calibri"/>
          <w:color w:val="000000" w:themeColor="text1"/>
          <w:sz w:val="22"/>
          <w:szCs w:val="22"/>
          <w:lang w:val="en-GB"/>
        </w:rPr>
        <w:t xml:space="preserve"> provide direct </w:t>
      </w:r>
      <w:r w:rsidRPr="00355DA0">
        <w:rPr>
          <w:rFonts w:ascii="Calibri" w:hAnsi="Calibri" w:eastAsiaTheme="minorEastAsia" w:cs="Calibri"/>
          <w:color w:val="000000" w:themeColor="text1"/>
          <w:sz w:val="22"/>
          <w:szCs w:val="22"/>
          <w:lang w:val="en-GB"/>
        </w:rPr>
        <w:t>psychological support to young people</w:t>
      </w:r>
      <w:r w:rsidRPr="00355DA0">
        <w:rPr>
          <w:rFonts w:ascii="Calibri" w:hAnsi="Calibri" w:eastAsiaTheme="minorEastAsia" w:cs="Calibri"/>
          <w:color w:val="000000" w:themeColor="text1"/>
          <w:sz w:val="22"/>
          <w:szCs w:val="22"/>
          <w:lang w:val="en-GB"/>
        </w:rPr>
        <w:t>.</w:t>
      </w:r>
      <w:r w:rsidRPr="00355DA0">
        <w:rPr>
          <w:rFonts w:ascii="Calibri" w:hAnsi="Calibri" w:eastAsiaTheme="minorEastAsia" w:cs="Calibri"/>
          <w:color w:val="000000" w:themeColor="text1"/>
          <w:sz w:val="22"/>
          <w:szCs w:val="22"/>
          <w:lang w:val="en-GB"/>
        </w:rPr>
        <w:t xml:space="preserve"> </w:t>
      </w:r>
      <w:r w:rsidRPr="00355DA0">
        <w:rPr>
          <w:rFonts w:ascii="Calibri" w:hAnsi="Calibri" w:eastAsiaTheme="minorEastAsia" w:cs="Calibri"/>
          <w:color w:val="000000" w:themeColor="text1"/>
          <w:sz w:val="22"/>
          <w:szCs w:val="22"/>
          <w:lang w:val="en-GB"/>
        </w:rPr>
        <w:t>I</w:t>
      </w:r>
      <w:r w:rsidRPr="00355DA0">
        <w:rPr>
          <w:rFonts w:ascii="Calibri" w:hAnsi="Calibri" w:eastAsiaTheme="minorEastAsia" w:cs="Calibri"/>
          <w:color w:val="000000" w:themeColor="text1"/>
          <w:sz w:val="22"/>
          <w:szCs w:val="22"/>
          <w:lang w:val="en-GB"/>
        </w:rPr>
        <w:t>nstead</w:t>
      </w:r>
      <w:r w:rsidRPr="00355DA0">
        <w:rPr>
          <w:rFonts w:ascii="Calibri" w:hAnsi="Calibri" w:eastAsiaTheme="minorEastAsia" w:cs="Calibri"/>
          <w:color w:val="000000" w:themeColor="text1"/>
          <w:sz w:val="22"/>
          <w:szCs w:val="22"/>
          <w:lang w:val="en-GB"/>
        </w:rPr>
        <w:t>, they</w:t>
      </w:r>
      <w:r w:rsidRPr="00355DA0">
        <w:rPr>
          <w:rFonts w:ascii="Calibri" w:hAnsi="Calibri" w:eastAsiaTheme="minorEastAsia" w:cs="Calibri"/>
          <w:color w:val="000000" w:themeColor="text1"/>
          <w:sz w:val="22"/>
          <w:szCs w:val="22"/>
          <w:lang w:val="en-GB"/>
        </w:rPr>
        <w:t xml:space="preserve"> provided support to the network (i.e., social workers, foster carers, teachers)</w:t>
      </w:r>
      <w:r w:rsidRPr="00355DA0">
        <w:rPr>
          <w:rFonts w:ascii="Calibri" w:hAnsi="Calibri" w:eastAsiaTheme="minorEastAsia" w:cs="Calibri"/>
          <w:color w:val="000000" w:themeColor="text1"/>
          <w:sz w:val="22"/>
          <w:szCs w:val="22"/>
          <w:lang w:val="en-GB"/>
        </w:rPr>
        <w:t xml:space="preserve"> through a consultation model</w:t>
      </w:r>
      <w:r w:rsidRPr="00355DA0">
        <w:rPr>
          <w:rFonts w:ascii="Calibri" w:hAnsi="Calibri" w:eastAsiaTheme="minorEastAsia" w:cs="Calibri"/>
          <w:color w:val="000000" w:themeColor="text1"/>
          <w:sz w:val="22"/>
          <w:szCs w:val="22"/>
          <w:lang w:val="en-GB"/>
        </w:rPr>
        <w:t xml:space="preserve">. This meant that young people in care were often not able to access </w:t>
      </w:r>
      <w:r w:rsidRPr="00355DA0">
        <w:rPr>
          <w:rFonts w:ascii="Calibri" w:hAnsi="Calibri" w:eastAsiaTheme="minorEastAsia" w:cs="Calibri"/>
          <w:color w:val="000000" w:themeColor="text1"/>
          <w:sz w:val="22"/>
          <w:szCs w:val="22"/>
          <w:lang w:val="en-GB"/>
        </w:rPr>
        <w:t xml:space="preserve">any direct psychological </w:t>
      </w:r>
      <w:r w:rsidRPr="00355DA0">
        <w:rPr>
          <w:rFonts w:ascii="Calibri" w:hAnsi="Calibri" w:eastAsiaTheme="minorEastAsia" w:cs="Calibri"/>
          <w:color w:val="000000" w:themeColor="text1"/>
          <w:sz w:val="22"/>
          <w:szCs w:val="22"/>
          <w:lang w:val="en-GB"/>
        </w:rPr>
        <w:t>therapy to support their mental health.</w:t>
      </w:r>
    </w:p>
    <w:p w:rsidR="00895944" w:rsidRPr="00355DA0" w:rsidP="000C7022">
      <w:pPr>
        <w:spacing w:before="75" w:after="240" w:line="276" w:lineRule="auto"/>
        <w:rPr>
          <w:rFonts w:ascii="Calibri" w:hAnsi="Calibri" w:cs="Calibri"/>
          <w:sz w:val="22"/>
          <w:szCs w:val="22"/>
        </w:rPr>
      </w:pPr>
      <w:r w:rsidRPr="00355DA0">
        <w:rPr>
          <w:rFonts w:ascii="Calibri" w:hAnsi="Calibri" w:cs="Calibri"/>
          <w:sz w:val="22"/>
          <w:szCs w:val="22"/>
        </w:rPr>
        <w:t>We recommend that all local authority areas to have a co-located mental health service, between children’s social care and CAMHS, commissioned to provide direct and indirect evidence-based support. In addition, local authority areas should develop a joint service-delivery plan, between CAMHS and children’s social care, along with new KPIs, to increase knowledge and accountability:</w:t>
      </w:r>
      <w:r w:rsidRPr="00355DA0">
        <w:rPr>
          <w:rFonts w:ascii="Calibri" w:hAnsi="Calibri" w:cs="Calibri"/>
          <w:sz w:val="22"/>
          <w:szCs w:val="22"/>
        </w:rPr>
        <w:t xml:space="preserve"> </w:t>
      </w:r>
      <w:r>
        <w:fldChar w:fldCharType="begin"/>
      </w:r>
      <w:r>
        <w:instrText xml:space="preserve"> HYPERLINK "https://uktraumacouncil.link/documents/Hiller%20et%20al.%20National%20Recommendations%20MH%20Provision%20for%20CiC.pdf" </w:instrText>
      </w:r>
      <w:r>
        <w:fldChar w:fldCharType="separate"/>
      </w:r>
      <w:r w:rsidRPr="00355DA0">
        <w:rPr>
          <w:rStyle w:val="Hyperlink"/>
          <w:rFonts w:ascii="Calibri" w:hAnsi="Calibri" w:cs="Calibri"/>
          <w:sz w:val="22"/>
          <w:szCs w:val="22"/>
        </w:rPr>
        <w:t>250503_UKTC_NationalRecommendations.indd</w:t>
      </w:r>
      <w:r>
        <w:fldChar w:fldCharType="end"/>
      </w:r>
    </w:p>
    <w:p w:rsidR="00895944" w:rsidRPr="00355DA0" w:rsidP="000C7022">
      <w:pPr>
        <w:spacing w:line="276" w:lineRule="auto"/>
        <w:rPr>
          <w:rFonts w:ascii="Calibri" w:hAnsi="Calibri" w:cs="Calibri"/>
          <w:b/>
          <w:bCs/>
          <w:sz w:val="22"/>
          <w:szCs w:val="22"/>
        </w:rPr>
      </w:pPr>
      <w:r w:rsidRPr="00355DA0">
        <w:rPr>
          <w:rFonts w:ascii="Calibri" w:hAnsi="Calibri" w:cs="Calibri"/>
          <w:b/>
          <w:bCs/>
          <w:sz w:val="22"/>
          <w:szCs w:val="22"/>
        </w:rPr>
        <w:t xml:space="preserve">Reference: </w:t>
      </w:r>
    </w:p>
    <w:p w:rsidR="00895944" w:rsidRPr="00355DA0" w:rsidP="000C7022">
      <w:pPr>
        <w:spacing w:line="276" w:lineRule="auto"/>
        <w:rPr>
          <w:rFonts w:ascii="Calibri" w:hAnsi="Calibri" w:cs="Calibri"/>
          <w:sz w:val="22"/>
          <w:szCs w:val="22"/>
        </w:rPr>
      </w:pPr>
      <w:r w:rsidRPr="00355DA0">
        <w:rPr>
          <w:rFonts w:ascii="Calibri" w:hAnsi="Calibri" w:cs="Calibri"/>
          <w:sz w:val="22"/>
          <w:szCs w:val="22"/>
        </w:rPr>
        <w:t>McGuire, R., Meiser-Stedman, R., Smith, P., Schmidt, D., Bjornstad, G., Bosworth, R., Clarke, T., Coombes, J., Geijer Simpson, E., Hudson, K., Oliveira, P., Macleod, J., McGovern, R., Stallard, P., Wood, K., &amp; Hiller, R. M. (2025). Access to best-evidenced mental health support for care-experienced young people: Learnings from the implementation of cognitive therapy for PTSD. British Journal of Clinical Psychology, 64, 63–85. https://doi.org/10.1111/bjc.12471</w:t>
      </w:r>
    </w:p>
    <w:p w:rsidR="00F637B7" w:rsidP="62F7587F">
      <w:pPr>
        <w:rPr>
          <w:rFonts w:ascii="Calibri" w:eastAsia="Times New Roman" w:hAnsi="Calibri" w:cs="Calibri"/>
          <w:i/>
          <w:iCs/>
          <w:sz w:val="22"/>
          <w:szCs w:val="22"/>
          <w:lang w:val="en-GB"/>
        </w:rPr>
      </w:pPr>
    </w:p>
    <w:p w:rsidR="00895944" w:rsidRPr="00355DA0" w:rsidP="62F7587F">
      <w:pPr>
        <w:rPr>
          <w:rFonts w:ascii="Calibri" w:eastAsia="Times New Roman" w:hAnsi="Calibri" w:cs="Calibri"/>
          <w:i/>
          <w:iCs/>
          <w:sz w:val="22"/>
          <w:szCs w:val="22"/>
          <w:lang w:val="en-GB"/>
        </w:rPr>
      </w:pPr>
      <w:r w:rsidRPr="00355DA0">
        <w:rPr>
          <w:rFonts w:ascii="Calibri" w:eastAsia="Times New Roman" w:hAnsi="Calibri" w:cs="Calibri"/>
          <w:i/>
          <w:iCs/>
          <w:sz w:val="22"/>
          <w:szCs w:val="22"/>
          <w:lang w:val="en-GB"/>
        </w:rPr>
        <w:t xml:space="preserve">April 2026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70712"/>
    <w:multiLevelType w:val="multilevel"/>
    <w:tmpl w:val="C83AF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3506D7"/>
    <w:multiLevelType w:val="multilevel"/>
    <w:tmpl w:val="2F86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8C0D23"/>
    <w:multiLevelType w:val="hybridMultilevel"/>
    <w:tmpl w:val="8CCE4F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33730E7"/>
    <w:multiLevelType w:val="hybridMultilevel"/>
    <w:tmpl w:val="C7B61D5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85F07FE"/>
    <w:multiLevelType w:val="hybridMultilevel"/>
    <w:tmpl w:val="050C086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7B12510"/>
    <w:multiLevelType w:val="multilevel"/>
    <w:tmpl w:val="06B25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122334"/>
    <w:multiLevelType w:val="hybridMultilevel"/>
    <w:tmpl w:val="050C086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3287CE8"/>
    <w:multiLevelType w:val="hybridMultilevel"/>
    <w:tmpl w:val="F58A326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E796B44"/>
    <w:multiLevelType w:val="multilevel"/>
    <w:tmpl w:val="535EA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D6124B"/>
    <w:multiLevelType w:val="hybridMultilevel"/>
    <w:tmpl w:val="0CAC675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1FE646A"/>
    <w:multiLevelType w:val="hybridMultilevel"/>
    <w:tmpl w:val="1254A7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2921E95"/>
    <w:multiLevelType w:val="multilevel"/>
    <w:tmpl w:val="14D8E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B95A09"/>
    <w:multiLevelType w:val="hybridMultilevel"/>
    <w:tmpl w:val="C714BFF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5"/>
  </w:num>
  <w:num w:numId="3">
    <w:abstractNumId w:val="11"/>
  </w:num>
  <w:num w:numId="4">
    <w:abstractNumId w:val="10"/>
  </w:num>
  <w:num w:numId="5">
    <w:abstractNumId w:val="2"/>
  </w:num>
  <w:num w:numId="6">
    <w:abstractNumId w:val="4"/>
  </w:num>
  <w:num w:numId="7">
    <w:abstractNumId w:val="6"/>
  </w:num>
  <w:num w:numId="8">
    <w:abstractNumId w:val="12"/>
  </w:num>
  <w:num w:numId="9">
    <w:abstractNumId w:val="3"/>
  </w:num>
  <w:num w:numId="10">
    <w:abstractNumId w:val="7"/>
  </w:num>
  <w:num w:numId="11">
    <w:abstractNumId w:val="9"/>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4E37"/>
    <w:rPr>
      <w:rFonts w:ascii="Aptos" w:eastAsia="Aptos" w:hAnsi="Aptos" w:cs="Aptos"/>
      <w:kern w:val="0"/>
      <w:lang w:val="en-CA" w:eastAsia="en-GB"/>
    </w:rPr>
  </w:style>
  <w:style w:type="paragraph" w:styleId="Heading1">
    <w:name w:val="heading 1"/>
    <w:basedOn w:val="Normal"/>
    <w:next w:val="Normal"/>
    <w:link w:val="Heading1Char"/>
    <w:uiPriority w:val="9"/>
    <w:qFormat/>
    <w:rsid w:val="00C40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0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0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0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0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0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0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0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0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0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0A3"/>
    <w:rPr>
      <w:rFonts w:eastAsiaTheme="majorEastAsia" w:cstheme="majorBidi"/>
      <w:color w:val="272727" w:themeColor="text1" w:themeTint="D8"/>
    </w:rPr>
  </w:style>
  <w:style w:type="paragraph" w:styleId="Title">
    <w:name w:val="Title"/>
    <w:basedOn w:val="Normal"/>
    <w:next w:val="Normal"/>
    <w:link w:val="TitleChar"/>
    <w:uiPriority w:val="10"/>
    <w:qFormat/>
    <w:rsid w:val="00C40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0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0A3"/>
    <w:pPr>
      <w:spacing w:before="160"/>
      <w:jc w:val="center"/>
    </w:pPr>
    <w:rPr>
      <w:i/>
      <w:iCs/>
      <w:color w:val="404040" w:themeColor="text1" w:themeTint="BF"/>
    </w:rPr>
  </w:style>
  <w:style w:type="character" w:customStyle="1" w:styleId="QuoteChar">
    <w:name w:val="Quote Char"/>
    <w:basedOn w:val="DefaultParagraphFont"/>
    <w:link w:val="Quote"/>
    <w:uiPriority w:val="29"/>
    <w:rsid w:val="00C400A3"/>
    <w:rPr>
      <w:i/>
      <w:iCs/>
      <w:color w:val="404040" w:themeColor="text1" w:themeTint="BF"/>
    </w:rPr>
  </w:style>
  <w:style w:type="paragraph" w:styleId="ListParagraph">
    <w:name w:val="List Paragraph"/>
    <w:basedOn w:val="Normal"/>
    <w:uiPriority w:val="34"/>
    <w:qFormat/>
    <w:rsid w:val="00C400A3"/>
    <w:pPr>
      <w:ind w:left="720"/>
      <w:contextualSpacing/>
    </w:pPr>
  </w:style>
  <w:style w:type="character" w:styleId="IntenseEmphasis">
    <w:name w:val="Intense Emphasis"/>
    <w:basedOn w:val="DefaultParagraphFont"/>
    <w:uiPriority w:val="21"/>
    <w:qFormat/>
    <w:rsid w:val="00C400A3"/>
    <w:rPr>
      <w:i/>
      <w:iCs/>
      <w:color w:val="0F4761" w:themeColor="accent1" w:themeShade="BF"/>
    </w:rPr>
  </w:style>
  <w:style w:type="paragraph" w:styleId="IntenseQuote">
    <w:name w:val="Intense Quote"/>
    <w:basedOn w:val="Normal"/>
    <w:next w:val="Normal"/>
    <w:link w:val="IntenseQuoteChar"/>
    <w:uiPriority w:val="30"/>
    <w:qFormat/>
    <w:rsid w:val="00C40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0A3"/>
    <w:rPr>
      <w:i/>
      <w:iCs/>
      <w:color w:val="0F4761" w:themeColor="accent1" w:themeShade="BF"/>
    </w:rPr>
  </w:style>
  <w:style w:type="character" w:styleId="IntenseReference">
    <w:name w:val="Intense Reference"/>
    <w:basedOn w:val="DefaultParagraphFont"/>
    <w:uiPriority w:val="32"/>
    <w:qFormat/>
    <w:rsid w:val="00C400A3"/>
    <w:rPr>
      <w:b/>
      <w:bCs/>
      <w:smallCaps/>
      <w:color w:val="0F4761" w:themeColor="accent1" w:themeShade="BF"/>
      <w:spacing w:val="5"/>
    </w:rPr>
  </w:style>
  <w:style w:type="character" w:styleId="CommentReference">
    <w:name w:val="annotation reference"/>
    <w:basedOn w:val="DefaultParagraphFont"/>
    <w:uiPriority w:val="99"/>
    <w:semiHidden/>
    <w:unhideWhenUsed/>
    <w:rsid w:val="000169D4"/>
    <w:rPr>
      <w:sz w:val="16"/>
      <w:szCs w:val="16"/>
    </w:rPr>
  </w:style>
  <w:style w:type="paragraph" w:styleId="CommentText">
    <w:name w:val="annotation text"/>
    <w:basedOn w:val="Normal"/>
    <w:link w:val="CommentTextChar"/>
    <w:uiPriority w:val="99"/>
    <w:unhideWhenUsed/>
    <w:rsid w:val="000169D4"/>
    <w:pPr>
      <w:spacing w:line="240" w:lineRule="auto"/>
    </w:pPr>
    <w:rPr>
      <w:sz w:val="20"/>
      <w:szCs w:val="20"/>
    </w:rPr>
  </w:style>
  <w:style w:type="character" w:customStyle="1" w:styleId="CommentTextChar">
    <w:name w:val="Comment Text Char"/>
    <w:basedOn w:val="DefaultParagraphFont"/>
    <w:link w:val="CommentText"/>
    <w:uiPriority w:val="99"/>
    <w:rsid w:val="000169D4"/>
    <w:rPr>
      <w:rFonts w:ascii="Aptos" w:eastAsia="Aptos" w:hAnsi="Aptos" w:cs="Aptos"/>
      <w:kern w:val="0"/>
      <w:sz w:val="20"/>
      <w:szCs w:val="20"/>
      <w:lang w:val="en-CA" w:eastAsia="en-GB"/>
    </w:rPr>
  </w:style>
  <w:style w:type="paragraph" w:styleId="CommentSubject">
    <w:name w:val="annotation subject"/>
    <w:basedOn w:val="CommentText"/>
    <w:next w:val="CommentText"/>
    <w:link w:val="CommentSubjectChar"/>
    <w:uiPriority w:val="99"/>
    <w:semiHidden/>
    <w:unhideWhenUsed/>
    <w:rsid w:val="000169D4"/>
    <w:rPr>
      <w:b/>
      <w:bCs/>
    </w:rPr>
  </w:style>
  <w:style w:type="character" w:customStyle="1" w:styleId="CommentSubjectChar">
    <w:name w:val="Comment Subject Char"/>
    <w:basedOn w:val="CommentTextChar"/>
    <w:link w:val="CommentSubject"/>
    <w:uiPriority w:val="99"/>
    <w:semiHidden/>
    <w:rsid w:val="000169D4"/>
    <w:rPr>
      <w:rFonts w:ascii="Aptos" w:eastAsia="Aptos" w:hAnsi="Aptos" w:cs="Aptos"/>
      <w:b/>
      <w:bCs/>
      <w:kern w:val="0"/>
      <w:sz w:val="20"/>
      <w:szCs w:val="20"/>
      <w:lang w:val="en-CA" w:eastAsia="en-GB"/>
    </w:rPr>
  </w:style>
  <w:style w:type="character" w:styleId="Hyperlink">
    <w:name w:val="Hyperlink"/>
    <w:basedOn w:val="DefaultParagraphFont"/>
    <w:uiPriority w:val="99"/>
    <w:unhideWhenUsed/>
    <w:rsid w:val="62F7587F"/>
    <w:rPr>
      <w:color w:val="467886"/>
      <w:u w:val="single"/>
    </w:rPr>
  </w:style>
  <w:style w:type="character" w:customStyle="1" w:styleId="UnresolvedMention1">
    <w:name w:val="Unresolved Mention1"/>
    <w:basedOn w:val="DefaultParagraphFont"/>
    <w:uiPriority w:val="99"/>
    <w:semiHidden/>
    <w:unhideWhenUsed/>
    <w:rsid w:val="00355DA0"/>
    <w:rPr>
      <w:color w:val="605E5C"/>
      <w:shd w:val="clear" w:color="auto" w:fill="E1DFDD"/>
    </w:rPr>
  </w:style>
  <w:style w:type="paragraph" w:styleId="Header">
    <w:name w:val="header"/>
    <w:basedOn w:val="Normal"/>
    <w:link w:val="HeaderChar"/>
    <w:uiPriority w:val="99"/>
    <w:unhideWhenUsed/>
    <w:rsid w:val="00F637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7B7"/>
    <w:rPr>
      <w:rFonts w:ascii="Aptos" w:eastAsia="Aptos" w:hAnsi="Aptos" w:cs="Aptos"/>
      <w:kern w:val="0"/>
      <w:lang w:val="en-CA" w:eastAsia="en-GB"/>
    </w:rPr>
  </w:style>
  <w:style w:type="paragraph" w:styleId="Footer">
    <w:name w:val="footer"/>
    <w:basedOn w:val="Normal"/>
    <w:link w:val="FooterChar"/>
    <w:uiPriority w:val="99"/>
    <w:unhideWhenUsed/>
    <w:rsid w:val="00F637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7B7"/>
    <w:rPr>
      <w:rFonts w:ascii="Aptos" w:eastAsia="Aptos" w:hAnsi="Aptos" w:cs="Aptos"/>
      <w:kern w:val="0"/>
      <w:lang w:val="en-C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7e3d22-4ea1-422d-b0ad-8fcc89406b9e}" enabled="0" method="" siteId="{377e3d22-4ea1-422d-b0ad-8fcc89406b9e}"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CYM0244</dc:title>
  <cp:revision>0</cp:revision>
</cp:coreProperties>
</file>