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B481D" w:rsidRPr="00F36F83" w:rsidP="00D8083C">
      <w:pPr>
        <w:pStyle w:val="Heading1"/>
        <w:spacing w:after="120"/>
        <w:jc w:val="center"/>
      </w:pPr>
      <w:r w:rsidRPr="00F36F83">
        <w:t>BUsiness and Trade Committee</w:t>
      </w:r>
      <w:r w:rsidRPr="00F36F83">
        <w:t xml:space="preserve"> Inquiry</w:t>
      </w:r>
    </w:p>
    <w:p w:rsidR="00EB481D" w:rsidRPr="00F36F83" w:rsidP="00D8083C">
      <w:pPr>
        <w:pStyle w:val="Heading1"/>
        <w:spacing w:after="120"/>
        <w:jc w:val="center"/>
      </w:pPr>
      <w:r w:rsidRPr="00F36F83">
        <w:t>china and the uk economy</w:t>
      </w:r>
    </w:p>
    <w:p w:rsidR="00EB481D" w:rsidRPr="00F36F83" w:rsidP="00F55570">
      <w:pPr>
        <w:pStyle w:val="Heading1"/>
        <w:spacing w:after="240"/>
        <w:jc w:val="center"/>
      </w:pPr>
      <w:r w:rsidRPr="00F36F83">
        <w:t xml:space="preserve">freshfields </w:t>
      </w:r>
      <w:r w:rsidRPr="00F36F83">
        <w:t>response to the Call for evidence</w:t>
      </w:r>
    </w:p>
    <w:p w:rsidR="00EB481D" w:rsidRPr="00F36F83" w:rsidP="006513AE">
      <w:pPr>
        <w:pStyle w:val="Firm3L1"/>
        <w:ind w:left="709" w:hanging="709"/>
      </w:pPr>
      <w:r w:rsidRPr="00F36F83">
        <w:t xml:space="preserve">Introduction </w:t>
      </w:r>
    </w:p>
    <w:p w:rsidR="00EB481D" w:rsidRPr="00F36F83" w:rsidP="006513AE">
      <w:pPr>
        <w:pStyle w:val="Firm3L2"/>
        <w:ind w:left="709" w:hanging="709"/>
      </w:pPr>
      <w:r w:rsidRPr="00F36F83">
        <w:t xml:space="preserve">Freshfields LLP </w:t>
      </w:r>
      <w:r w:rsidRPr="00F36F83">
        <w:t xml:space="preserve">is a leading international law firm </w:t>
      </w:r>
      <w:r w:rsidRPr="00F36F83">
        <w:t>advising</w:t>
      </w:r>
      <w:r w:rsidRPr="00F36F83">
        <w:t xml:space="preserve"> a wide range of investors and corporates on global investment strategies</w:t>
      </w:r>
      <w:r w:rsidRPr="00F36F83">
        <w:t xml:space="preserve"> and </w:t>
      </w:r>
      <w:r w:rsidRPr="00F36F83">
        <w:t>how to navigate</w:t>
      </w:r>
      <w:r w:rsidRPr="00F36F83">
        <w:t xml:space="preserve"> multi</w:t>
      </w:r>
      <w:r w:rsidRPr="00F36F83">
        <w:t>ple</w:t>
      </w:r>
      <w:r w:rsidRPr="00F36F83">
        <w:t xml:space="preserve"> </w:t>
      </w:r>
      <w:r w:rsidRPr="00F36F83">
        <w:t>merger control</w:t>
      </w:r>
      <w:r w:rsidRPr="00F36F83">
        <w:t xml:space="preserve"> and investment </w:t>
      </w:r>
      <w:r w:rsidRPr="00F36F83">
        <w:t xml:space="preserve">screening </w:t>
      </w:r>
      <w:r w:rsidRPr="00F36F83">
        <w:t>regimes</w:t>
      </w:r>
      <w:r w:rsidRPr="00F36F83">
        <w:t>, including the UK’s National Security and Investment Act 2021 (</w:t>
      </w:r>
      <w:r w:rsidRPr="00F36F83">
        <w:rPr>
          <w:b/>
          <w:i/>
          <w:iCs/>
        </w:rPr>
        <w:t>NSIA</w:t>
      </w:r>
      <w:r w:rsidRPr="00F36F83">
        <w:t xml:space="preserve">). </w:t>
      </w:r>
      <w:r w:rsidRPr="00F36F83">
        <w:t xml:space="preserve"> </w:t>
      </w:r>
    </w:p>
    <w:p w:rsidR="00EB481D" w:rsidRPr="00F36F83" w:rsidP="006513AE">
      <w:pPr>
        <w:pStyle w:val="Firm3L2"/>
        <w:ind w:left="709" w:hanging="709"/>
      </w:pPr>
      <w:r w:rsidRPr="00F36F83">
        <w:rPr>
          <w:bCs/>
        </w:rPr>
        <w:t xml:space="preserve">Our </w:t>
      </w:r>
      <w:r w:rsidRPr="00F36F83">
        <w:rPr>
          <w:bCs/>
        </w:rPr>
        <w:t>response</w:t>
      </w:r>
      <w:r w:rsidRPr="00F36F83">
        <w:rPr>
          <w:bCs/>
        </w:rPr>
        <w:t xml:space="preserve"> focuses </w:t>
      </w:r>
      <w:r w:rsidRPr="00F36F83">
        <w:rPr>
          <w:bCs/>
        </w:rPr>
        <w:t>o</w:t>
      </w:r>
      <w:r w:rsidRPr="00F36F83">
        <w:rPr>
          <w:bCs/>
        </w:rPr>
        <w:t xml:space="preserve">n investment security and draws on our </w:t>
      </w:r>
      <w:r w:rsidRPr="00F36F83">
        <w:rPr>
          <w:bCs/>
        </w:rPr>
        <w:t>deep expertise in foreign direct investment (</w:t>
      </w:r>
      <w:r w:rsidRPr="00F36F83">
        <w:rPr>
          <w:b/>
          <w:i/>
          <w:iCs/>
        </w:rPr>
        <w:t>FDI</w:t>
      </w:r>
      <w:r w:rsidRPr="00F36F83">
        <w:rPr>
          <w:bCs/>
        </w:rPr>
        <w:t>) regimes</w:t>
      </w:r>
      <w:r w:rsidRPr="00F36F83">
        <w:rPr>
          <w:bCs/>
        </w:rPr>
        <w:t xml:space="preserve"> around the world</w:t>
      </w:r>
      <w:r w:rsidRPr="00F36F83">
        <w:rPr>
          <w:bCs/>
        </w:rPr>
        <w:t>, combined with our commitment to fostering a business-friendly</w:t>
      </w:r>
      <w:r w:rsidRPr="00F36F83">
        <w:rPr>
          <w:bCs/>
        </w:rPr>
        <w:t>, pro-growth</w:t>
      </w:r>
      <w:r w:rsidRPr="00F36F83">
        <w:rPr>
          <w:bCs/>
        </w:rPr>
        <w:t xml:space="preserve"> and pro-innovation </w:t>
      </w:r>
      <w:r w:rsidRPr="00F36F83">
        <w:rPr>
          <w:bCs/>
        </w:rPr>
        <w:t xml:space="preserve">regulatory </w:t>
      </w:r>
      <w:r w:rsidRPr="00F36F83">
        <w:rPr>
          <w:bCs/>
        </w:rPr>
        <w:t>environment in the UK.</w:t>
      </w:r>
    </w:p>
    <w:p w:rsidR="00EB481D" w:rsidRPr="00F36F83" w:rsidP="006513AE">
      <w:pPr>
        <w:pStyle w:val="Firm3L1"/>
        <w:ind w:left="709" w:hanging="709"/>
      </w:pPr>
      <w:r w:rsidRPr="00F36F83">
        <w:t>Investment security: inbound and outbound</w:t>
      </w:r>
      <w:r w:rsidRPr="00F36F83">
        <w:t xml:space="preserve"> (Section 5, Call for Evidence)</w:t>
      </w:r>
    </w:p>
    <w:p w:rsidR="00EB481D" w:rsidRPr="00F36F83" w:rsidP="00EA7861">
      <w:pPr>
        <w:pStyle w:val="BodyText"/>
        <w:tabs>
          <w:tab w:val="num" w:pos="709"/>
        </w:tabs>
        <w:spacing w:after="120" w:line="276" w:lineRule="auto"/>
        <w:ind w:left="709" w:hanging="709"/>
        <w:rPr>
          <w:b/>
          <w:bCs/>
          <w:szCs w:val="20"/>
        </w:rPr>
      </w:pPr>
      <w:r w:rsidRPr="00F36F83">
        <w:rPr>
          <w:i/>
          <w:iCs/>
          <w:szCs w:val="20"/>
        </w:rPr>
        <w:t>Q2</w:t>
      </w:r>
      <w:r w:rsidRPr="00F36F83">
        <w:rPr>
          <w:b/>
          <w:bCs/>
          <w:i/>
          <w:iCs/>
          <w:szCs w:val="20"/>
        </w:rPr>
        <w:tab/>
      </w:r>
      <w:r w:rsidRPr="00F36F83">
        <w:rPr>
          <w:b/>
          <w:bCs/>
          <w:i/>
          <w:iCs/>
          <w:szCs w:val="20"/>
        </w:rPr>
        <w:t>How might the UK’s inbound investment screening regime be strengthened?</w:t>
      </w:r>
    </w:p>
    <w:p w:rsidR="00EB481D" w:rsidRPr="00F36F83" w:rsidP="006513AE">
      <w:pPr>
        <w:pStyle w:val="Firm3L2"/>
        <w:ind w:left="709" w:hanging="709"/>
      </w:pPr>
      <w:r w:rsidRPr="00F36F83">
        <w:t>Our</w:t>
      </w:r>
      <w:r w:rsidRPr="00F36F83">
        <w:t xml:space="preserve"> oral and written evidence</w:t>
      </w:r>
      <w:r w:rsidRPr="00F36F83">
        <w:t xml:space="preserve"> to the </w:t>
      </w:r>
      <w:r w:rsidRPr="00F36F83">
        <w:t>Business and Trade Committee’s Sub-Committee on Economic Security, Arms and Exports</w:t>
      </w:r>
      <w:r>
        <w:rPr>
          <w:rStyle w:val="FootnoteReference"/>
        </w:rPr>
        <w:footnoteReference w:id="2"/>
      </w:r>
      <w:r w:rsidRPr="00F36F83">
        <w:t xml:space="preserve"> </w:t>
      </w:r>
      <w:r w:rsidRPr="00F36F83">
        <w:t>set</w:t>
      </w:r>
      <w:r w:rsidRPr="00F36F83">
        <w:t xml:space="preserve"> out our recommendations to improve the efficiency and effectiveness of the NSIA regime.  </w:t>
      </w:r>
      <w:r w:rsidRPr="00F36F83">
        <w:t>Since then:</w:t>
      </w:r>
    </w:p>
    <w:p w:rsidR="00EB481D" w:rsidRPr="00F36F83" w:rsidP="00916BEF">
      <w:pPr>
        <w:pStyle w:val="Firm3L3"/>
      </w:pPr>
      <w:r w:rsidRPr="00F36F83">
        <w:rPr>
          <w:b/>
          <w:bCs/>
        </w:rPr>
        <w:t>The Government</w:t>
      </w:r>
      <w:r w:rsidRPr="00F36F83">
        <w:rPr>
          <w:b/>
          <w:bCs/>
        </w:rPr>
        <w:t xml:space="preserve"> announced a series of reforms and updates to the NSIA regime</w:t>
      </w:r>
      <w:r w:rsidRPr="00F36F83">
        <w:t>,</w:t>
      </w:r>
      <w:r>
        <w:rPr>
          <w:rStyle w:val="FootnoteReference"/>
        </w:rPr>
        <w:footnoteReference w:id="3"/>
      </w:r>
      <w:r w:rsidRPr="00F36F83">
        <w:t xml:space="preserve"> </w:t>
      </w:r>
      <w:r w:rsidRPr="00F36F83">
        <w:t>includ</w:t>
      </w:r>
      <w:r w:rsidRPr="00F36F83">
        <w:t>ing</w:t>
      </w:r>
      <w:r w:rsidRPr="00F36F83">
        <w:t>:</w:t>
      </w:r>
      <w:r w:rsidRPr="00F36F83">
        <w:t xml:space="preserve"> </w:t>
      </w:r>
      <w:r w:rsidRPr="00F36F83">
        <w:t xml:space="preserve">an intention to remove certain internal reorganisations </w:t>
      </w:r>
      <w:r w:rsidRPr="00F36F83">
        <w:t>from mandatory notification obligations</w:t>
      </w:r>
      <w:r w:rsidRPr="00F36F83">
        <w:t xml:space="preserve">; </w:t>
      </w:r>
      <w:r w:rsidRPr="00F36F83">
        <w:t xml:space="preserve">an </w:t>
      </w:r>
      <w:r w:rsidRPr="00F36F83">
        <w:t>updat</w:t>
      </w:r>
      <w:r w:rsidRPr="00F36F83">
        <w:t>e to</w:t>
      </w:r>
      <w:r w:rsidRPr="00F36F83">
        <w:t xml:space="preserve"> the areas of the economy subject to mandatory notification; and </w:t>
      </w:r>
      <w:r w:rsidRPr="00F36F83">
        <w:t xml:space="preserve">a plan to publish </w:t>
      </w:r>
      <w:r w:rsidRPr="00F36F83">
        <w:t>more guidance</w:t>
      </w:r>
      <w:r w:rsidRPr="00F36F83">
        <w:t xml:space="preserve"> and look for </w:t>
      </w:r>
      <w:r w:rsidRPr="00F36F83">
        <w:t xml:space="preserve">other </w:t>
      </w:r>
      <w:r w:rsidRPr="00F36F83">
        <w:t xml:space="preserve">ways to increase transparency in the system.  </w:t>
      </w:r>
    </w:p>
    <w:p w:rsidR="00EB481D" w:rsidRPr="00F36F83" w:rsidP="00AE489E">
      <w:pPr>
        <w:pStyle w:val="Firm3L4"/>
        <w:numPr>
          <w:ilvl w:val="0"/>
          <w:numId w:val="0"/>
        </w:numPr>
        <w:ind w:left="1418" w:firstLine="22"/>
      </w:pPr>
      <w:r w:rsidRPr="00F36F83">
        <w:t>T</w:t>
      </w:r>
      <w:r w:rsidRPr="00F36F83">
        <w:t>he Government</w:t>
      </w:r>
      <w:r w:rsidRPr="00F36F83">
        <w:t>’s</w:t>
      </w:r>
      <w:r w:rsidRPr="00F36F83">
        <w:t xml:space="preserve"> response to the </w:t>
      </w:r>
      <w:r w:rsidRPr="00F36F83">
        <w:t xml:space="preserve">consultation on </w:t>
      </w:r>
      <w:r w:rsidRPr="00F36F83">
        <w:t>mandatory notification sectors</w:t>
      </w:r>
      <w:r w:rsidRPr="00F36F83">
        <w:t xml:space="preserve"> will </w:t>
      </w:r>
      <w:r w:rsidRPr="00F36F83">
        <w:t>widen</w:t>
      </w:r>
      <w:r w:rsidRPr="00F36F83">
        <w:t xml:space="preserve"> the </w:t>
      </w:r>
      <w:r w:rsidRPr="00F36F83">
        <w:t>net</w:t>
      </w:r>
      <w:r w:rsidRPr="00F36F83">
        <w:t xml:space="preserve"> of </w:t>
      </w:r>
      <w:r w:rsidRPr="00F36F83">
        <w:t>inbound</w:t>
      </w:r>
      <w:r w:rsidRPr="00F36F83">
        <w:t xml:space="preserve"> investment screening</w:t>
      </w:r>
      <w:r w:rsidRPr="00F36F83">
        <w:t xml:space="preserve"> in some sectors (e.g. water, data centres) and reduce </w:t>
      </w:r>
      <w:r w:rsidRPr="00F36F83">
        <w:t>it</w:t>
      </w:r>
      <w:r w:rsidRPr="00F36F83">
        <w:t xml:space="preserve"> in others (e.g. artificial intelligence)</w:t>
      </w:r>
      <w:r w:rsidRPr="00F36F83">
        <w:t xml:space="preserve">.  </w:t>
      </w:r>
      <w:r w:rsidRPr="00F36F83">
        <w:t>W</w:t>
      </w:r>
      <w:r w:rsidRPr="00F36F83">
        <w:t>e under</w:t>
      </w:r>
      <w:r w:rsidRPr="00F36F83">
        <w:t>stand</w:t>
      </w:r>
      <w:r w:rsidRPr="00F36F83">
        <w:t xml:space="preserve"> the Government </w:t>
      </w:r>
      <w:r w:rsidRPr="00F36F83">
        <w:t>is now</w:t>
      </w:r>
      <w:r w:rsidRPr="00F36F83">
        <w:t xml:space="preserve"> </w:t>
      </w:r>
      <w:r w:rsidRPr="00F36F83">
        <w:t>finalis</w:t>
      </w:r>
      <w:r w:rsidRPr="00F36F83">
        <w:t>ing</w:t>
      </w:r>
      <w:r w:rsidRPr="00F36F83">
        <w:t xml:space="preserve"> the </w:t>
      </w:r>
      <w:r w:rsidRPr="00F36F83">
        <w:t>sector definitions and</w:t>
      </w:r>
      <w:r w:rsidRPr="00F36F83">
        <w:t xml:space="preserve"> </w:t>
      </w:r>
      <w:r w:rsidRPr="00F36F83">
        <w:t>will</w:t>
      </w:r>
      <w:r w:rsidRPr="00F36F83">
        <w:t xml:space="preserve"> lay secondary legislation </w:t>
      </w:r>
      <w:r w:rsidRPr="00F36F83">
        <w:t>in Parliament</w:t>
      </w:r>
      <w:r w:rsidRPr="00F36F83">
        <w:t xml:space="preserve"> </w:t>
      </w:r>
      <w:r w:rsidRPr="00F36F83">
        <w:t>later this year</w:t>
      </w:r>
      <w:r w:rsidRPr="00F36F83">
        <w:t xml:space="preserve">.  </w:t>
      </w:r>
    </w:p>
    <w:p w:rsidR="00EB481D" w:rsidRPr="00F36F83" w:rsidP="00E02B24">
      <w:pPr>
        <w:pStyle w:val="Firm3L4"/>
        <w:numPr>
          <w:ilvl w:val="0"/>
          <w:numId w:val="0"/>
        </w:numPr>
        <w:ind w:left="1418" w:firstLine="22"/>
      </w:pPr>
      <w:r w:rsidRPr="00F36F83">
        <w:t>The Government</w:t>
      </w:r>
      <w:r w:rsidRPr="00F36F83">
        <w:t xml:space="preserve"> </w:t>
      </w:r>
      <w:r w:rsidRPr="00F36F83">
        <w:t xml:space="preserve">has not </w:t>
      </w:r>
      <w:r w:rsidRPr="00F36F83">
        <w:t xml:space="preserve">yet </w:t>
      </w:r>
      <w:r w:rsidRPr="00F36F83">
        <w:t xml:space="preserve">announced </w:t>
      </w:r>
      <w:r w:rsidRPr="00F36F83">
        <w:t xml:space="preserve">when </w:t>
      </w:r>
      <w:r w:rsidRPr="00F36F83">
        <w:t>the</w:t>
      </w:r>
      <w:r w:rsidRPr="00F36F83">
        <w:t xml:space="preserve"> intended </w:t>
      </w:r>
      <w:r w:rsidRPr="00F36F83">
        <w:t xml:space="preserve">exemptions for </w:t>
      </w:r>
      <w:r w:rsidRPr="00F36F83">
        <w:t xml:space="preserve">certain </w:t>
      </w:r>
      <w:r w:rsidRPr="00F36F83">
        <w:t>internal reorganisations will come into force, or when updated guidance</w:t>
      </w:r>
      <w:r w:rsidRPr="00F36F83">
        <w:t xml:space="preserve"> </w:t>
      </w:r>
      <w:r w:rsidRPr="00F36F83">
        <w:t xml:space="preserve">or other steps to improve transparency </w:t>
      </w:r>
      <w:r w:rsidRPr="00F36F83">
        <w:t xml:space="preserve">in the regime </w:t>
      </w:r>
      <w:r w:rsidRPr="00F36F83">
        <w:t xml:space="preserve">will be </w:t>
      </w:r>
      <w:r w:rsidRPr="00F36F83">
        <w:t xml:space="preserve">introduced.  </w:t>
      </w:r>
    </w:p>
    <w:p w:rsidR="00EB481D" w:rsidRPr="00F36F83" w:rsidP="00916BEF">
      <w:pPr>
        <w:pStyle w:val="Firm3L3"/>
      </w:pPr>
      <w:r w:rsidRPr="00F36F83">
        <w:rPr>
          <w:b/>
          <w:bCs/>
        </w:rPr>
        <w:t>The Sub-Committee on Economic Security published its Report</w:t>
      </w:r>
      <w:r>
        <w:rPr>
          <w:rStyle w:val="FootnoteReference"/>
          <w:b/>
          <w:bCs/>
        </w:rPr>
        <w:footnoteReference w:id="4"/>
      </w:r>
      <w:r w:rsidRPr="00F36F83">
        <w:rPr>
          <w:b/>
          <w:bCs/>
        </w:rPr>
        <w:t xml:space="preserve"> and subsequently the Government</w:t>
      </w:r>
      <w:r w:rsidRPr="00F36F83">
        <w:rPr>
          <w:b/>
          <w:bCs/>
        </w:rPr>
        <w:t xml:space="preserve"> Response</w:t>
      </w:r>
      <w:r w:rsidRPr="0007744A">
        <w:rPr>
          <w:b/>
          <w:bCs/>
        </w:rPr>
        <w:t>:</w:t>
      </w:r>
      <w:r>
        <w:rPr>
          <w:rStyle w:val="FootnoteReference"/>
          <w:b/>
          <w:bCs/>
        </w:rPr>
        <w:footnoteReference w:id="5"/>
      </w:r>
    </w:p>
    <w:p w:rsidR="00EB481D" w:rsidRPr="00F36F83" w:rsidP="00E505FD">
      <w:pPr>
        <w:pStyle w:val="Firm3L4"/>
        <w:numPr>
          <w:ilvl w:val="0"/>
          <w:numId w:val="0"/>
        </w:numPr>
        <w:ind w:left="1418" w:firstLine="22"/>
      </w:pPr>
      <w:r w:rsidRPr="00F36F83">
        <w:t>W</w:t>
      </w:r>
      <w:r w:rsidRPr="00F36F83">
        <w:t>e were pleased to see the Sub-Committee’s recommendation to develop an accreditation scheme for providers of trusted capital</w:t>
      </w:r>
      <w:r w:rsidRPr="00F36F83">
        <w:t>,</w:t>
      </w:r>
      <w:r w:rsidRPr="00F36F83">
        <w:t xml:space="preserve"> which aligned with recommendations we also made</w:t>
      </w:r>
      <w:r w:rsidRPr="00F36F83">
        <w:t xml:space="preserve">.  </w:t>
      </w:r>
    </w:p>
    <w:p w:rsidR="00EB481D" w:rsidRPr="00F36F83" w:rsidP="0007744A">
      <w:pPr>
        <w:pStyle w:val="Firm3L4"/>
        <w:numPr>
          <w:ilvl w:val="0"/>
          <w:numId w:val="0"/>
        </w:numPr>
        <w:ind w:left="1418"/>
      </w:pPr>
      <w:r w:rsidRPr="00F36F83">
        <w:t>However, in response</w:t>
      </w:r>
      <w:r w:rsidRPr="00F36F83">
        <w:t>,</w:t>
      </w:r>
      <w:r w:rsidRPr="00F36F83">
        <w:t xml:space="preserve"> the Government said it is not looking to add an accreditation or fast track scheme to the regime</w:t>
      </w:r>
      <w:r w:rsidRPr="00F36F83">
        <w:t xml:space="preserve"> and will instead focus on continuing to encourage secure investment from a range of sources into the UK economy</w:t>
      </w:r>
      <w:r w:rsidRPr="00F36F83">
        <w:t xml:space="preserve">.  </w:t>
      </w:r>
    </w:p>
    <w:p w:rsidR="00EB481D" w:rsidRPr="00F36F83" w:rsidP="00E505FD">
      <w:pPr>
        <w:pStyle w:val="Firm3L4"/>
        <w:numPr>
          <w:ilvl w:val="0"/>
          <w:numId w:val="0"/>
        </w:numPr>
        <w:ind w:left="1418" w:firstLine="22"/>
      </w:pPr>
      <w:r w:rsidRPr="00F36F83">
        <w:t xml:space="preserve">We have not therefore revisited </w:t>
      </w:r>
      <w:r w:rsidRPr="00F36F83">
        <w:t>our</w:t>
      </w:r>
      <w:r w:rsidRPr="00F36F83">
        <w:t xml:space="preserve"> </w:t>
      </w:r>
      <w:r w:rsidRPr="00F36F83">
        <w:t xml:space="preserve">recommendations </w:t>
      </w:r>
      <w:r w:rsidRPr="00F36F83">
        <w:t xml:space="preserve">which were </w:t>
      </w:r>
      <w:r w:rsidRPr="00F36F83">
        <w:t xml:space="preserve">designed to </w:t>
      </w:r>
      <w:r w:rsidRPr="00F36F83">
        <w:t xml:space="preserve">introduce risk-based tiering </w:t>
      </w:r>
      <w:r w:rsidRPr="00F36F83">
        <w:t>and/or fast-track reviews</w:t>
      </w:r>
      <w:r w:rsidRPr="00F36F83">
        <w:t xml:space="preserve"> </w:t>
      </w:r>
      <w:r w:rsidRPr="00F36F83">
        <w:t xml:space="preserve">for </w:t>
      </w:r>
      <w:r w:rsidRPr="00F36F83">
        <w:t xml:space="preserve">certain </w:t>
      </w:r>
      <w:r w:rsidRPr="00F36F83">
        <w:t>investors</w:t>
      </w:r>
      <w:r w:rsidRPr="00F36F83">
        <w:t xml:space="preserve">. </w:t>
      </w:r>
      <w:r w:rsidRPr="00F36F83">
        <w:t>Similar</w:t>
      </w:r>
      <w:r w:rsidRPr="00F36F83">
        <w:t xml:space="preserve"> steps </w:t>
      </w:r>
      <w:r w:rsidRPr="00F36F83">
        <w:t>have been introduced in other jurisdictions to</w:t>
      </w:r>
      <w:r w:rsidRPr="00F36F83">
        <w:t xml:space="preserve"> </w:t>
      </w:r>
      <w:r w:rsidRPr="00F36F83">
        <w:t>facilitate welcome investment flows</w:t>
      </w:r>
      <w:r w:rsidRPr="00F36F83">
        <w:t>. We would be happy to discuss them further at any point</w:t>
      </w:r>
      <w:r w:rsidRPr="00F36F83">
        <w:t xml:space="preserve">.  </w:t>
      </w:r>
    </w:p>
    <w:p w:rsidR="00EB481D" w:rsidRPr="00F36F83" w:rsidP="000A0633">
      <w:pPr>
        <w:pStyle w:val="Firm3L2"/>
        <w:ind w:left="709" w:hanging="709"/>
      </w:pPr>
      <w:r w:rsidRPr="00F36F83">
        <w:t>W</w:t>
      </w:r>
      <w:r w:rsidRPr="00F36F83">
        <w:t>e consider</w:t>
      </w:r>
      <w:r w:rsidRPr="00F36F83">
        <w:t xml:space="preserve"> the NSIA regime could </w:t>
      </w:r>
      <w:r w:rsidRPr="00F36F83">
        <w:t xml:space="preserve">still </w:t>
      </w:r>
      <w:r w:rsidRPr="00F36F83">
        <w:t xml:space="preserve">be strengthened by </w:t>
      </w:r>
      <w:r w:rsidRPr="00F36F83">
        <w:t xml:space="preserve">the Government </w:t>
      </w:r>
      <w:r w:rsidRPr="00F36F83">
        <w:t>taking the following steps to ensure</w:t>
      </w:r>
      <w:r w:rsidRPr="00F36F83">
        <w:t xml:space="preserve"> it is as </w:t>
      </w:r>
      <w:r w:rsidRPr="00F36F83">
        <w:rPr>
          <w:b/>
          <w:bCs/>
        </w:rPr>
        <w:t xml:space="preserve">targeted and transparent </w:t>
      </w:r>
      <w:r w:rsidRPr="00F36F83">
        <w:rPr>
          <w:b/>
          <w:bCs/>
        </w:rPr>
        <w:t xml:space="preserve">for Chinese investors and UK businesses </w:t>
      </w:r>
      <w:r w:rsidRPr="00F36F83">
        <w:rPr>
          <w:b/>
          <w:bCs/>
        </w:rPr>
        <w:t>as possible</w:t>
      </w:r>
      <w:r w:rsidRPr="00F36F83">
        <w:rPr>
          <w:b/>
          <w:bCs/>
        </w:rPr>
        <w:t xml:space="preserve"> without compromising national security</w:t>
      </w:r>
      <w:r w:rsidRPr="00F36F83">
        <w:t>:</w:t>
      </w:r>
    </w:p>
    <w:p w:rsidR="00EB481D" w:rsidRPr="00F36F83" w:rsidP="00916BEF">
      <w:pPr>
        <w:pStyle w:val="Firm3L3"/>
      </w:pPr>
      <w:r w:rsidRPr="00F36F83">
        <w:rPr>
          <w:b/>
          <w:bCs/>
        </w:rPr>
        <w:t>Implement</w:t>
      </w:r>
      <w:r w:rsidRPr="00F36F83">
        <w:rPr>
          <w:b/>
          <w:bCs/>
        </w:rPr>
        <w:t xml:space="preserve"> </w:t>
      </w:r>
      <w:r w:rsidRPr="00F36F83">
        <w:rPr>
          <w:b/>
          <w:bCs/>
        </w:rPr>
        <w:t>on-going reforms and continue</w:t>
      </w:r>
      <w:r w:rsidRPr="00F36F83">
        <w:rPr>
          <w:b/>
          <w:bCs/>
        </w:rPr>
        <w:t xml:space="preserve"> </w:t>
      </w:r>
      <w:r w:rsidRPr="00F36F83">
        <w:rPr>
          <w:b/>
          <w:bCs/>
        </w:rPr>
        <w:t>to review other ways</w:t>
      </w:r>
      <w:r w:rsidRPr="00F36F83">
        <w:rPr>
          <w:b/>
          <w:bCs/>
        </w:rPr>
        <w:t xml:space="preserve"> </w:t>
      </w:r>
      <w:r w:rsidRPr="00F36F83">
        <w:rPr>
          <w:b/>
          <w:bCs/>
        </w:rPr>
        <w:t xml:space="preserve">to improve transparency, </w:t>
      </w:r>
      <w:r w:rsidRPr="00F36F83">
        <w:rPr>
          <w:b/>
          <w:bCs/>
        </w:rPr>
        <w:t xml:space="preserve">the </w:t>
      </w:r>
      <w:r w:rsidRPr="00F36F83">
        <w:rPr>
          <w:b/>
          <w:bCs/>
        </w:rPr>
        <w:t xml:space="preserve">review </w:t>
      </w:r>
      <w:r w:rsidRPr="00F36F83">
        <w:rPr>
          <w:b/>
          <w:bCs/>
        </w:rPr>
        <w:t>process</w:t>
      </w:r>
      <w:r w:rsidRPr="00F36F83">
        <w:rPr>
          <w:b/>
          <w:bCs/>
        </w:rPr>
        <w:t>,</w:t>
      </w:r>
      <w:r w:rsidRPr="00F36F83">
        <w:rPr>
          <w:b/>
          <w:bCs/>
        </w:rPr>
        <w:t xml:space="preserve"> timing </w:t>
      </w:r>
      <w:r w:rsidRPr="00F36F83">
        <w:rPr>
          <w:b/>
          <w:bCs/>
        </w:rPr>
        <w:t xml:space="preserve">and outcomes </w:t>
      </w:r>
      <w:r w:rsidRPr="00F36F83">
        <w:rPr>
          <w:b/>
          <w:bCs/>
        </w:rPr>
        <w:t>by</w:t>
      </w:r>
      <w:r w:rsidRPr="00F36F83">
        <w:t>:</w:t>
      </w:r>
    </w:p>
    <w:p w:rsidR="00EB481D" w:rsidRPr="00F36F83" w:rsidP="00916BEF">
      <w:pPr>
        <w:pStyle w:val="Firm3L4"/>
      </w:pPr>
      <w:r w:rsidRPr="00F36F83">
        <w:rPr>
          <w:b/>
          <w:bCs/>
        </w:rPr>
        <w:t>Publish</w:t>
      </w:r>
      <w:r w:rsidRPr="00F36F83">
        <w:rPr>
          <w:b/>
          <w:bCs/>
        </w:rPr>
        <w:t>ing</w:t>
      </w:r>
      <w:r w:rsidRPr="00F36F83">
        <w:rPr>
          <w:b/>
          <w:bCs/>
        </w:rPr>
        <w:t xml:space="preserve"> m</w:t>
      </w:r>
      <w:r w:rsidRPr="00F36F83">
        <w:rPr>
          <w:b/>
          <w:bCs/>
        </w:rPr>
        <w:t>ore and updated guidance</w:t>
      </w:r>
      <w:r w:rsidRPr="00F36F83">
        <w:rPr>
          <w:b/>
        </w:rPr>
        <w:t xml:space="preserve"> </w:t>
      </w:r>
      <w:r w:rsidRPr="00F36F83">
        <w:rPr>
          <w:b/>
        </w:rPr>
        <w:t>as soon as possible</w:t>
      </w:r>
      <w:r w:rsidRPr="007E53B3">
        <w:rPr>
          <w:bCs/>
        </w:rPr>
        <w:t>:</w:t>
      </w:r>
      <w:r w:rsidRPr="00F36F83">
        <w:t xml:space="preserve"> </w:t>
      </w:r>
      <w:r>
        <w:t>s</w:t>
      </w:r>
      <w:r w:rsidRPr="00F36F83">
        <w:t xml:space="preserve">ome areas of the regime, </w:t>
      </w:r>
      <w:r w:rsidRPr="00F36F83">
        <w:t>including</w:t>
      </w:r>
      <w:r w:rsidRPr="00F36F83">
        <w:t xml:space="preserve"> </w:t>
      </w:r>
      <w:r w:rsidRPr="00F36F83">
        <w:t xml:space="preserve">“trigger event” thresholds, </w:t>
      </w:r>
      <w:r>
        <w:t>could benefit from more “case-study” type guidance to resolve</w:t>
      </w:r>
      <w:r>
        <w:t xml:space="preserve"> areas of uncertainty which</w:t>
      </w:r>
      <w:r>
        <w:t xml:space="preserve"> can</w:t>
      </w:r>
      <w:r w:rsidRPr="00F36F83">
        <w:t xml:space="preserve"> cause unnecessary delay and costs to investment planning</w:t>
      </w:r>
      <w:r w:rsidRPr="00F36F83">
        <w:t xml:space="preserve">.  These </w:t>
      </w:r>
      <w:r>
        <w:t>frictions in the system</w:t>
      </w:r>
      <w:r w:rsidRPr="00F36F83">
        <w:t xml:space="preserve"> could be resolved </w:t>
      </w:r>
      <w:r w:rsidRPr="00F36F83">
        <w:t xml:space="preserve">by engaging </w:t>
      </w:r>
      <w:r w:rsidRPr="00F36F83">
        <w:t>regularly</w:t>
      </w:r>
      <w:r w:rsidRPr="00F36F83">
        <w:t xml:space="preserve"> with </w:t>
      </w:r>
      <w:r w:rsidRPr="00F36F83">
        <w:t>frequent</w:t>
      </w:r>
      <w:r w:rsidRPr="00F36F83">
        <w:t xml:space="preserve"> users of the regime and </w:t>
      </w:r>
      <w:r w:rsidRPr="00F36F83">
        <w:t xml:space="preserve">reflecting </w:t>
      </w:r>
      <w:r>
        <w:t xml:space="preserve">their </w:t>
      </w:r>
      <w:r w:rsidRPr="00F36F83">
        <w:t xml:space="preserve">experience and </w:t>
      </w:r>
      <w:r>
        <w:t>“</w:t>
      </w:r>
      <w:r>
        <w:t xml:space="preserve">frequently asked </w:t>
      </w:r>
      <w:r w:rsidRPr="00F36F83">
        <w:t>question</w:t>
      </w:r>
      <w:r w:rsidRPr="00F36F83">
        <w:t>s</w:t>
      </w:r>
      <w:r>
        <w:t>”</w:t>
      </w:r>
      <w:r w:rsidRPr="00F36F83">
        <w:t xml:space="preserve"> in published guidance</w:t>
      </w:r>
      <w:r w:rsidRPr="00F36F83">
        <w:t xml:space="preserve">.  </w:t>
      </w:r>
    </w:p>
    <w:p w:rsidR="00EB481D" w:rsidRPr="00F36F83" w:rsidP="00916BEF">
      <w:pPr>
        <w:pStyle w:val="Firm3L4"/>
      </w:pPr>
      <w:r w:rsidRPr="00F36F83">
        <w:rPr>
          <w:b/>
          <w:bCs/>
        </w:rPr>
        <w:t>Defin</w:t>
      </w:r>
      <w:r w:rsidRPr="00F36F83">
        <w:rPr>
          <w:b/>
          <w:bCs/>
        </w:rPr>
        <w:t>ing</w:t>
      </w:r>
      <w:r w:rsidRPr="00F36F83">
        <w:rPr>
          <w:b/>
          <w:bCs/>
        </w:rPr>
        <w:t xml:space="preserve"> strategic sectors p</w:t>
      </w:r>
      <w:r w:rsidRPr="00F36F83">
        <w:rPr>
          <w:b/>
          <w:bCs/>
        </w:rPr>
        <w:t>recise</w:t>
      </w:r>
      <w:r w:rsidRPr="00F36F83">
        <w:rPr>
          <w:b/>
          <w:bCs/>
        </w:rPr>
        <w:t>ly</w:t>
      </w:r>
      <w:r w:rsidRPr="007E53B3">
        <w:t>:</w:t>
      </w:r>
      <w:r w:rsidRPr="00F36F83">
        <w:t xml:space="preserve"> </w:t>
      </w:r>
      <w:r w:rsidRPr="00F36F83">
        <w:t>w</w:t>
      </w:r>
      <w:r w:rsidRPr="00F36F83">
        <w:t>e welcome the Government’s review of the mandatory notification sectors</w:t>
      </w:r>
      <w:r w:rsidRPr="00F36F83">
        <w:t xml:space="preserve"> </w:t>
      </w:r>
      <w:r w:rsidRPr="00F36F83">
        <w:t xml:space="preserve">and encourage the Government to </w:t>
      </w:r>
      <w:r>
        <w:t>actively</w:t>
      </w:r>
      <w:r w:rsidRPr="00F36F83">
        <w:t xml:space="preserve"> engag</w:t>
      </w:r>
      <w:r>
        <w:t>e</w:t>
      </w:r>
      <w:r w:rsidRPr="00F36F83">
        <w:t xml:space="preserve"> with </w:t>
      </w:r>
      <w:r>
        <w:t>investors, companies and</w:t>
      </w:r>
      <w:r>
        <w:t xml:space="preserve"> their advisers</w:t>
      </w:r>
      <w:r w:rsidRPr="00F36F83">
        <w:t xml:space="preserve"> </w:t>
      </w:r>
      <w:r w:rsidRPr="00F36F83">
        <w:t xml:space="preserve">to resolve any areas of </w:t>
      </w:r>
      <w:r>
        <w:t xml:space="preserve">continued </w:t>
      </w:r>
      <w:r>
        <w:t xml:space="preserve">potential </w:t>
      </w:r>
      <w:r>
        <w:t>ambiguity</w:t>
      </w:r>
      <w:r w:rsidRPr="00F36F83">
        <w:t xml:space="preserve"> </w:t>
      </w:r>
      <w:r>
        <w:t>or</w:t>
      </w:r>
      <w:r>
        <w:t xml:space="preserve"> over-inclusiveness </w:t>
      </w:r>
      <w:r w:rsidRPr="00F36F83">
        <w:t>as the sector definitions are finalised</w:t>
      </w:r>
      <w:r w:rsidRPr="00F36F83">
        <w:t xml:space="preserve"> over the coming months.  </w:t>
      </w:r>
    </w:p>
    <w:p w:rsidR="00EB481D" w:rsidRPr="00F36F83" w:rsidP="00916BEF">
      <w:pPr>
        <w:pStyle w:val="Firm3L4"/>
      </w:pPr>
      <w:r w:rsidRPr="00F36F83">
        <w:rPr>
          <w:b/>
          <w:bCs/>
        </w:rPr>
        <w:t>Facilitat</w:t>
      </w:r>
      <w:r w:rsidRPr="00F36F83">
        <w:rPr>
          <w:b/>
          <w:bCs/>
        </w:rPr>
        <w:t>ing</w:t>
      </w:r>
      <w:r w:rsidRPr="00F36F83">
        <w:rPr>
          <w:b/>
          <w:bCs/>
        </w:rPr>
        <w:t xml:space="preserve"> early</w:t>
      </w:r>
      <w:r w:rsidRPr="00F36F83">
        <w:rPr>
          <w:b/>
          <w:bCs/>
        </w:rPr>
        <w:t xml:space="preserve"> engagement between the parties and the Government’s Investment Security Unit (</w:t>
      </w:r>
      <w:r w:rsidRPr="00F36F83">
        <w:rPr>
          <w:b/>
          <w:bCs/>
          <w:i/>
          <w:iCs/>
        </w:rPr>
        <w:t>ISU</w:t>
      </w:r>
      <w:r w:rsidRPr="00F36F83">
        <w:rPr>
          <w:b/>
          <w:bCs/>
        </w:rPr>
        <w:t>)</w:t>
      </w:r>
      <w:r w:rsidRPr="00F36F83">
        <w:t>:</w:t>
      </w:r>
      <w:r w:rsidRPr="00F36F83">
        <w:t xml:space="preserve"> </w:t>
      </w:r>
      <w:r w:rsidRPr="00F36F83">
        <w:t>early engagement</w:t>
      </w:r>
      <w:r w:rsidRPr="00F36F83">
        <w:t xml:space="preserve"> </w:t>
      </w:r>
      <w:r>
        <w:t xml:space="preserve">on planned investments </w:t>
      </w:r>
      <w:r w:rsidRPr="00F36F83">
        <w:t>c</w:t>
      </w:r>
      <w:r w:rsidRPr="00F36F83">
        <w:t>ould help resolve</w:t>
      </w:r>
      <w:r w:rsidRPr="00F36F83">
        <w:t xml:space="preserve"> genuine areas of uncertainty</w:t>
      </w:r>
      <w:r w:rsidRPr="00F36F83">
        <w:t xml:space="preserve"> </w:t>
      </w:r>
      <w:r>
        <w:t xml:space="preserve">in relation to notification obligations </w:t>
      </w:r>
      <w:r w:rsidRPr="00F36F83">
        <w:t>and</w:t>
      </w:r>
      <w:r w:rsidRPr="00F36F83">
        <w:t xml:space="preserve"> reduce the number of</w:t>
      </w:r>
      <w:r w:rsidRPr="00F36F83">
        <w:t xml:space="preserve"> unnecessary or </w:t>
      </w:r>
      <w:r w:rsidRPr="00F36F83">
        <w:t>incorrectly filed notifications</w:t>
      </w:r>
      <w:r w:rsidRPr="00F36F83">
        <w:t xml:space="preserve">. It </w:t>
      </w:r>
      <w:r>
        <w:t>could</w:t>
      </w:r>
      <w:r w:rsidRPr="00F36F83">
        <w:t xml:space="preserve"> also</w:t>
      </w:r>
      <w:r w:rsidRPr="00F36F83">
        <w:t xml:space="preserve"> help parties anticipate issues upfront </w:t>
      </w:r>
      <w:r w:rsidRPr="00F36F83">
        <w:t xml:space="preserve">and </w:t>
      </w:r>
      <w:r w:rsidRPr="00F36F83">
        <w:t xml:space="preserve">address </w:t>
      </w:r>
      <w:r w:rsidRPr="00F36F83">
        <w:t>concerns during negotiations (e.g.</w:t>
      </w:r>
      <w:r w:rsidRPr="00F36F83">
        <w:t xml:space="preserve"> </w:t>
      </w:r>
      <w:r w:rsidRPr="00F36F83">
        <w:t>i</w:t>
      </w:r>
      <w:r w:rsidRPr="00F36F83">
        <w:t xml:space="preserve">n transaction structuring) </w:t>
      </w:r>
      <w:r w:rsidRPr="00F36F83">
        <w:t>and in</w:t>
      </w:r>
      <w:r w:rsidRPr="00F36F83">
        <w:t xml:space="preserve"> </w:t>
      </w:r>
      <w:r>
        <w:t xml:space="preserve">the </w:t>
      </w:r>
      <w:r w:rsidRPr="00F36F83">
        <w:t xml:space="preserve">information </w:t>
      </w:r>
      <w:r>
        <w:t xml:space="preserve">that is </w:t>
      </w:r>
      <w:r w:rsidRPr="00F36F83">
        <w:t>provided to the ISU</w:t>
      </w:r>
      <w:r w:rsidRPr="00F36F83">
        <w:t>.</w:t>
      </w:r>
      <w:r w:rsidRPr="00F36F83">
        <w:t xml:space="preserve"> </w:t>
      </w:r>
      <w:r w:rsidRPr="00F36F83">
        <w:t>Drawing on best practices from jurisdictions like Germany</w:t>
      </w:r>
      <w:r w:rsidRPr="00F36F83">
        <w:t xml:space="preserve">, </w:t>
      </w:r>
      <w:r w:rsidRPr="00F36F83">
        <w:t>Spain</w:t>
      </w:r>
      <w:r w:rsidRPr="00F36F83">
        <w:t xml:space="preserve"> and the US</w:t>
      </w:r>
      <w:r w:rsidRPr="00F36F83">
        <w:t>, where authorities regularly engage in informal discussions and provide guidance on jurisdictional and substantive issues, would be beneficial.</w:t>
      </w:r>
    </w:p>
    <w:p w:rsidR="00EB481D" w:rsidRPr="00F36F83" w:rsidP="00916BEF">
      <w:pPr>
        <w:pStyle w:val="Firm3L3"/>
        <w:rPr>
          <w:b/>
          <w:bCs/>
        </w:rPr>
      </w:pPr>
      <w:r w:rsidRPr="00F36F83">
        <w:rPr>
          <w:b/>
          <w:bCs/>
        </w:rPr>
        <w:t xml:space="preserve">Provide </w:t>
      </w:r>
      <w:r w:rsidRPr="00F36F83">
        <w:rPr>
          <w:b/>
          <w:bCs/>
        </w:rPr>
        <w:t>a clearer framework</w:t>
      </w:r>
      <w:r w:rsidRPr="00F36F83">
        <w:rPr>
          <w:b/>
          <w:bCs/>
        </w:rPr>
        <w:t xml:space="preserve"> </w:t>
      </w:r>
      <w:r w:rsidRPr="00F36F83">
        <w:rPr>
          <w:b/>
          <w:bCs/>
        </w:rPr>
        <w:t>on the types of i</w:t>
      </w:r>
      <w:r w:rsidRPr="00F36F83">
        <w:rPr>
          <w:b/>
          <w:bCs/>
        </w:rPr>
        <w:t xml:space="preserve">nvestments from China </w:t>
      </w:r>
      <w:r w:rsidRPr="00F36F83">
        <w:rPr>
          <w:b/>
          <w:bCs/>
        </w:rPr>
        <w:t xml:space="preserve">that </w:t>
      </w:r>
      <w:r w:rsidRPr="00F36F83">
        <w:rPr>
          <w:b/>
          <w:bCs/>
        </w:rPr>
        <w:t xml:space="preserve">are welcome and </w:t>
      </w:r>
      <w:r w:rsidRPr="00F36F83">
        <w:rPr>
          <w:b/>
          <w:bCs/>
        </w:rPr>
        <w:t>the types of</w:t>
      </w:r>
      <w:r w:rsidRPr="00F36F83">
        <w:rPr>
          <w:b/>
          <w:bCs/>
        </w:rPr>
        <w:t xml:space="preserve"> investments </w:t>
      </w:r>
      <w:r w:rsidRPr="00F36F83">
        <w:rPr>
          <w:b/>
          <w:bCs/>
        </w:rPr>
        <w:t>that are</w:t>
      </w:r>
      <w:r w:rsidRPr="00F36F83">
        <w:rPr>
          <w:b/>
          <w:bCs/>
        </w:rPr>
        <w:t xml:space="preserve"> considered</w:t>
      </w:r>
      <w:r w:rsidRPr="00F36F83">
        <w:rPr>
          <w:b/>
          <w:bCs/>
        </w:rPr>
        <w:t xml:space="preserve"> higher risk</w:t>
      </w:r>
      <w:r>
        <w:t>:</w:t>
      </w:r>
      <w:r w:rsidRPr="00F36F83">
        <w:t xml:space="preserve"> current levels</w:t>
      </w:r>
      <w:r w:rsidRPr="00F36F83">
        <w:t xml:space="preserve"> of uncertainty</w:t>
      </w:r>
      <w:r>
        <w:t>, which may deter investments that would be welcomed,</w:t>
      </w:r>
      <w:r w:rsidRPr="00F36F83">
        <w:t xml:space="preserve"> are driven by several factors including</w:t>
      </w:r>
      <w:r w:rsidRPr="00F36F83">
        <w:t>:</w:t>
      </w:r>
    </w:p>
    <w:p w:rsidR="00EB481D" w:rsidRPr="00F36F83" w:rsidP="00916BEF">
      <w:pPr>
        <w:pStyle w:val="Firm3L4"/>
      </w:pPr>
      <w:r w:rsidRPr="00F36F83">
        <w:rPr>
          <w:b/>
          <w:bCs/>
        </w:rPr>
        <w:t>High levels of intervention in Chinese investments under the NSIA regime</w:t>
      </w:r>
      <w:r w:rsidRPr="00DA7A26">
        <w:t>:</w:t>
      </w:r>
      <w:r w:rsidRPr="00F36F83">
        <w:rPr>
          <w:b/>
          <w:bCs/>
        </w:rPr>
        <w:t xml:space="preserve"> </w:t>
      </w:r>
      <w:r w:rsidRPr="00F36F83">
        <w:t>t</w:t>
      </w:r>
      <w:r w:rsidRPr="00F36F83">
        <w:t xml:space="preserve">he Government’s Annual Reports </w:t>
      </w:r>
      <w:r w:rsidRPr="00F36F83">
        <w:t xml:space="preserve">covering the period </w:t>
      </w:r>
      <w:r w:rsidRPr="00F36F83">
        <w:t xml:space="preserve">4 </w:t>
      </w:r>
      <w:r w:rsidRPr="00F36F83">
        <w:t xml:space="preserve">January 2022 </w:t>
      </w:r>
      <w:r w:rsidRPr="00F36F83">
        <w:t>to</w:t>
      </w:r>
      <w:r w:rsidRPr="00F36F83">
        <w:t xml:space="preserve"> </w:t>
      </w:r>
      <w:r w:rsidRPr="00F36F83">
        <w:t>31 March 2025</w:t>
      </w:r>
      <w:r w:rsidRPr="00F36F83">
        <w:t xml:space="preserve"> </w:t>
      </w:r>
      <w:r w:rsidRPr="00F36F83">
        <w:t>show that</w:t>
      </w:r>
      <w:r>
        <w:t>,</w:t>
      </w:r>
      <w:r w:rsidRPr="00F36F83">
        <w:t xml:space="preserve"> </w:t>
      </w:r>
      <w:r>
        <w:t>over th</w:t>
      </w:r>
      <w:r>
        <w:t>ose three years</w:t>
      </w:r>
      <w:r>
        <w:t>,</w:t>
      </w:r>
      <w:r>
        <w:t xml:space="preserve"> </w:t>
      </w:r>
      <w:r w:rsidRPr="00F36F83">
        <w:t>approx</w:t>
      </w:r>
      <w:r w:rsidRPr="00F36F83">
        <w:t>imately</w:t>
      </w:r>
      <w:r w:rsidRPr="00F36F83">
        <w:t xml:space="preserve"> 40%</w:t>
      </w:r>
      <w:r w:rsidRPr="00F36F83">
        <w:t xml:space="preserve"> of call-in notices</w:t>
      </w:r>
      <w:r w:rsidRPr="00F36F83">
        <w:t xml:space="preserve"> and </w:t>
      </w:r>
      <w:r w:rsidRPr="00F36F83">
        <w:t>almost half of</w:t>
      </w:r>
      <w:r w:rsidRPr="00F36F83">
        <w:t xml:space="preserve"> </w:t>
      </w:r>
      <w:r w:rsidRPr="00F36F83">
        <w:t>Final Order</w:t>
      </w:r>
      <w:r w:rsidRPr="00F36F83">
        <w:t>s</w:t>
      </w:r>
      <w:r w:rsidRPr="00F36F83">
        <w:t xml:space="preserve"> </w:t>
      </w:r>
      <w:r w:rsidRPr="00F36F83">
        <w:t>involved</w:t>
      </w:r>
      <w:r w:rsidRPr="00F36F83">
        <w:t xml:space="preserve"> acquirers</w:t>
      </w:r>
      <w:r w:rsidRPr="00F36F83">
        <w:t xml:space="preserve"> associated with</w:t>
      </w:r>
      <w:r w:rsidRPr="00F36F83">
        <w:t xml:space="preserve"> China</w:t>
      </w:r>
      <w:r w:rsidRPr="00F36F83">
        <w:t>.</w:t>
      </w:r>
      <w:r>
        <w:t xml:space="preserve">  </w:t>
      </w:r>
      <w:r>
        <w:t>The fact that</w:t>
      </w:r>
      <w:r>
        <w:t xml:space="preserve"> limited</w:t>
      </w:r>
      <w:r>
        <w:t xml:space="preserve"> information </w:t>
      </w:r>
      <w:r>
        <w:t xml:space="preserve">is published </w:t>
      </w:r>
      <w:r>
        <w:t xml:space="preserve">on the Government’s reasons for these interventions </w:t>
      </w:r>
      <w:r>
        <w:t xml:space="preserve">drives further uncertainty for investors. </w:t>
      </w:r>
      <w:r>
        <w:t xml:space="preserve"> </w:t>
      </w:r>
    </w:p>
    <w:p w:rsidR="00EB481D" w:rsidRPr="00F36F83" w:rsidP="00916BEF">
      <w:pPr>
        <w:pStyle w:val="Firm3L4"/>
      </w:pPr>
      <w:r w:rsidRPr="00F36F83">
        <w:rPr>
          <w:b/>
          <w:bCs/>
        </w:rPr>
        <w:t xml:space="preserve">Active encouragement of </w:t>
      </w:r>
      <w:r w:rsidRPr="00F36F83">
        <w:rPr>
          <w:b/>
          <w:bCs/>
        </w:rPr>
        <w:t>Chine</w:t>
      </w:r>
      <w:r w:rsidRPr="00F36F83">
        <w:rPr>
          <w:b/>
          <w:bCs/>
        </w:rPr>
        <w:t>se</w:t>
      </w:r>
      <w:r w:rsidRPr="00F36F83">
        <w:rPr>
          <w:b/>
          <w:bCs/>
        </w:rPr>
        <w:t xml:space="preserve"> investments</w:t>
      </w:r>
      <w:r w:rsidRPr="00F36F83">
        <w:rPr>
          <w:b/>
          <w:bCs/>
        </w:rPr>
        <w:t xml:space="preserve"> in some sectors</w:t>
      </w:r>
      <w:r w:rsidRPr="00F36F83">
        <w:rPr>
          <w:b/>
          <w:bCs/>
        </w:rPr>
        <w:t xml:space="preserve">, </w:t>
      </w:r>
      <w:r w:rsidRPr="00F36F83">
        <w:rPr>
          <w:b/>
          <w:bCs/>
        </w:rPr>
        <w:t>but</w:t>
      </w:r>
      <w:r w:rsidRPr="00F36F83">
        <w:rPr>
          <w:b/>
          <w:bCs/>
        </w:rPr>
        <w:t xml:space="preserve"> discourag</w:t>
      </w:r>
      <w:r w:rsidRPr="00F36F83">
        <w:rPr>
          <w:b/>
          <w:bCs/>
        </w:rPr>
        <w:t>ement in</w:t>
      </w:r>
      <w:r w:rsidRPr="00F36F83">
        <w:rPr>
          <w:b/>
          <w:bCs/>
        </w:rPr>
        <w:t xml:space="preserve"> others</w:t>
      </w:r>
      <w:r w:rsidRPr="00DA7A26">
        <w:t>:</w:t>
      </w:r>
      <w:r w:rsidRPr="00F36F83">
        <w:t xml:space="preserve"> </w:t>
      </w:r>
      <w:r w:rsidRPr="00F36F83">
        <w:t xml:space="preserve">following the Prime Minister’s visit to China in January 2026, several </w:t>
      </w:r>
      <w:r w:rsidRPr="00F36F83">
        <w:t>inward investments were announced</w:t>
      </w:r>
      <w:r>
        <w:t>,</w:t>
      </w:r>
      <w:r>
        <w:rPr>
          <w:rStyle w:val="FootnoteReference"/>
        </w:rPr>
        <w:footnoteReference w:id="6"/>
      </w:r>
      <w:r w:rsidRPr="00F36F83">
        <w:t xml:space="preserve"> including in strategic sectors such as </w:t>
      </w:r>
      <w:r w:rsidRPr="00F36F83">
        <w:t>pharmaceuticals (Asymchem)</w:t>
      </w:r>
      <w:r w:rsidRPr="00F36F83">
        <w:t>, electric vehicles (Chery Commercial Vehicle)</w:t>
      </w:r>
      <w:r w:rsidRPr="00F36F83">
        <w:t xml:space="preserve"> and</w:t>
      </w:r>
      <w:r w:rsidRPr="00F36F83">
        <w:t xml:space="preserve"> energy storage (HiTHIUM)</w:t>
      </w:r>
      <w:r w:rsidRPr="00F36F83">
        <w:t xml:space="preserve">.  More recently, in March 2026, the Government announced that </w:t>
      </w:r>
      <w:r w:rsidRPr="00F36F83">
        <w:t>win</w:t>
      </w:r>
      <w:r>
        <w:t>d</w:t>
      </w:r>
      <w:r w:rsidRPr="00F36F83">
        <w:t xml:space="preserve"> turbines manufactured by Ming Yang </w:t>
      </w:r>
      <w:r w:rsidRPr="00F36F83">
        <w:t xml:space="preserve">(a Chinese turbine supplier) </w:t>
      </w:r>
      <w:r w:rsidRPr="00F36F83">
        <w:t>would not be welcome in the UK energy system</w:t>
      </w:r>
      <w:r w:rsidRPr="00F36F83">
        <w:t xml:space="preserve"> on grounds of national security and a commitment to strengthen</w:t>
      </w:r>
      <w:r w:rsidRPr="00F36F83">
        <w:t xml:space="preserve"> resilient offshore wind supply chains</w:t>
      </w:r>
      <w:r w:rsidRPr="00F36F83">
        <w:t xml:space="preserve">. </w:t>
      </w:r>
      <w:r w:rsidRPr="00F36F83">
        <w:t xml:space="preserve">The Government has not set out the reasons for these decisions. </w:t>
      </w:r>
    </w:p>
    <w:p w:rsidR="00EB481D" w:rsidRPr="00F36F83" w:rsidP="000B7298">
      <w:pPr>
        <w:pStyle w:val="Firm3L4"/>
        <w:numPr>
          <w:ilvl w:val="0"/>
          <w:numId w:val="0"/>
        </w:numPr>
        <w:ind w:left="1440"/>
      </w:pPr>
      <w:r w:rsidRPr="00F36F83">
        <w:t>R</w:t>
      </w:r>
      <w:r w:rsidRPr="00F36F83">
        <w:t>ecognising the number of businesses and academic institutions who trade and work with Chinese</w:t>
      </w:r>
      <w:r w:rsidRPr="00F36F83">
        <w:t xml:space="preserve"> companies, </w:t>
      </w:r>
      <w:r w:rsidRPr="00F36F83">
        <w:rPr>
          <w:b/>
          <w:bCs/>
        </w:rPr>
        <w:t>w</w:t>
      </w:r>
      <w:r w:rsidRPr="00F36F83">
        <w:rPr>
          <w:b/>
          <w:bCs/>
        </w:rPr>
        <w:t xml:space="preserve">e recommend the Government </w:t>
      </w:r>
      <w:r w:rsidRPr="00F36F83">
        <w:rPr>
          <w:b/>
          <w:bCs/>
        </w:rPr>
        <w:t xml:space="preserve">sets out a clearer framework for </w:t>
      </w:r>
      <w:r w:rsidRPr="00F36F83">
        <w:rPr>
          <w:b/>
          <w:bCs/>
        </w:rPr>
        <w:t xml:space="preserve">the types of </w:t>
      </w:r>
      <w:r w:rsidRPr="00F36F83">
        <w:rPr>
          <w:b/>
          <w:bCs/>
        </w:rPr>
        <w:t>investments that are welcomed and those where</w:t>
      </w:r>
      <w:r w:rsidRPr="00F36F83">
        <w:rPr>
          <w:b/>
          <w:bCs/>
        </w:rPr>
        <w:t xml:space="preserve"> conditions </w:t>
      </w:r>
      <w:r w:rsidRPr="00F36F83">
        <w:rPr>
          <w:b/>
          <w:bCs/>
        </w:rPr>
        <w:t xml:space="preserve">may be imposed (e.g. to protect sensitive information or infrastructure) </w:t>
      </w:r>
      <w:r w:rsidRPr="00F36F83">
        <w:rPr>
          <w:b/>
          <w:bCs/>
        </w:rPr>
        <w:t>or block</w:t>
      </w:r>
      <w:r w:rsidRPr="00F36F83">
        <w:rPr>
          <w:b/>
          <w:bCs/>
        </w:rPr>
        <w:t>ed</w:t>
      </w:r>
      <w:r w:rsidRPr="00F36F83">
        <w:t xml:space="preserve">.  Such guidance could </w:t>
      </w:r>
      <w:r w:rsidRPr="00F36F83">
        <w:t xml:space="preserve">be </w:t>
      </w:r>
      <w:r w:rsidRPr="00F36F83">
        <w:t>provided in an updated</w:t>
      </w:r>
      <w:r w:rsidRPr="00F36F83">
        <w:t xml:space="preserve"> Section 3 statement on </w:t>
      </w:r>
      <w:r w:rsidRPr="00F36F83">
        <w:t>the factors that</w:t>
      </w:r>
      <w:r w:rsidRPr="00F36F83">
        <w:t xml:space="preserve"> influence assessments of high or low </w:t>
      </w:r>
      <w:r w:rsidRPr="00F36F83">
        <w:t>acquirer risk</w:t>
      </w:r>
      <w:r w:rsidRPr="00F36F83">
        <w:t>.</w:t>
      </w:r>
      <w:r w:rsidRPr="00F36F83">
        <w:t xml:space="preserve">  </w:t>
      </w:r>
    </w:p>
    <w:p w:rsidR="00EB481D" w:rsidRPr="00F36F83" w:rsidP="00713542">
      <w:pPr>
        <w:pStyle w:val="BodyText"/>
        <w:keepNext/>
        <w:spacing w:after="120" w:line="276" w:lineRule="auto"/>
        <w:ind w:left="709" w:hanging="709"/>
      </w:pPr>
      <w:r w:rsidRPr="00F36F83">
        <w:rPr>
          <w:b/>
          <w:bCs/>
          <w:i/>
          <w:iCs/>
          <w:szCs w:val="20"/>
        </w:rPr>
        <w:t>Q</w:t>
      </w:r>
      <w:r w:rsidRPr="00F36F83">
        <w:rPr>
          <w:b/>
          <w:bCs/>
          <w:i/>
          <w:iCs/>
          <w:szCs w:val="20"/>
        </w:rPr>
        <w:t>4</w:t>
      </w:r>
      <w:r w:rsidRPr="00F36F83">
        <w:rPr>
          <w:b/>
          <w:bCs/>
          <w:i/>
          <w:iCs/>
          <w:szCs w:val="20"/>
        </w:rPr>
        <w:tab/>
      </w:r>
      <w:r w:rsidRPr="00F36F83">
        <w:rPr>
          <w:b/>
          <w:bCs/>
          <w:i/>
          <w:iCs/>
          <w:szCs w:val="20"/>
        </w:rPr>
        <w:t>What would the merits and risks be of the UK Government introducing an outbound</w:t>
      </w:r>
      <w:r w:rsidRPr="00F36F83">
        <w:rPr>
          <w:b/>
          <w:bCs/>
          <w:i/>
          <w:iCs/>
          <w:szCs w:val="20"/>
        </w:rPr>
        <w:t xml:space="preserve"> investment screening regime</w:t>
      </w:r>
      <w:r w:rsidRPr="00F36F83">
        <w:rPr>
          <w:b/>
          <w:bCs/>
          <w:i/>
          <w:iCs/>
          <w:szCs w:val="20"/>
        </w:rPr>
        <w:t>?</w:t>
      </w:r>
    </w:p>
    <w:p w:rsidR="00EB481D" w:rsidRPr="00F36F83" w:rsidP="00713542">
      <w:pPr>
        <w:pStyle w:val="Firm3L2"/>
        <w:keepNext/>
        <w:ind w:left="709" w:hanging="709"/>
      </w:pPr>
      <w:r w:rsidRPr="00F36F83">
        <w:t xml:space="preserve">We understand the </w:t>
      </w:r>
      <w:r w:rsidRPr="00F36F83">
        <w:t xml:space="preserve">prime </w:t>
      </w:r>
      <w:r w:rsidRPr="00F36F83">
        <w:t xml:space="preserve">objectives of an outbound investment screening regime would be </w:t>
      </w:r>
      <w:r w:rsidRPr="00F36F83">
        <w:t>to</w:t>
      </w:r>
      <w:r w:rsidRPr="00F36F83">
        <w:t>:</w:t>
      </w:r>
    </w:p>
    <w:p w:rsidR="00EB481D" w:rsidRPr="00F36F83" w:rsidP="00EE5687">
      <w:pPr>
        <w:pStyle w:val="Firm3L3"/>
      </w:pPr>
      <w:r w:rsidRPr="00F36F83">
        <w:t xml:space="preserve">prevent the outflow of sensitive technologies and capital that could enhance the military or intelligence capabilities of geopolitical rivals; </w:t>
      </w:r>
      <w:r w:rsidRPr="00F36F83">
        <w:t xml:space="preserve">and </w:t>
      </w:r>
    </w:p>
    <w:p w:rsidR="00EB481D" w:rsidRPr="00F36F83" w:rsidP="00EE5687">
      <w:pPr>
        <w:pStyle w:val="Firm3L3"/>
      </w:pPr>
      <w:r w:rsidRPr="00F36F83">
        <w:t xml:space="preserve">promote responsible investment by encouraging UK businesses to </w:t>
      </w:r>
      <w:r w:rsidRPr="00F36F83">
        <w:t>conduct enhanced due diligence on the national security implications of their overseas ventures, fostering more responsible and ethically sound investment practices</w:t>
      </w:r>
      <w:r w:rsidRPr="00F36F83">
        <w:t>.</w:t>
      </w:r>
    </w:p>
    <w:p w:rsidR="00EB481D" w:rsidRPr="003733B4" w:rsidP="003E4419">
      <w:pPr>
        <w:pStyle w:val="Firm3L2"/>
        <w:tabs>
          <w:tab w:val="left" w:pos="709"/>
          <w:tab w:val="clear" w:pos="2422"/>
        </w:tabs>
        <w:ind w:left="709" w:hanging="709"/>
      </w:pPr>
      <w:r w:rsidRPr="003733B4">
        <w:t>If the Government decides to introduce</w:t>
      </w:r>
      <w:r w:rsidRPr="003733B4">
        <w:t xml:space="preserve"> such </w:t>
      </w:r>
      <w:r w:rsidRPr="003733B4">
        <w:t xml:space="preserve">a </w:t>
      </w:r>
      <w:r w:rsidRPr="003733B4">
        <w:t xml:space="preserve">regime, </w:t>
      </w:r>
      <w:r w:rsidRPr="003733B4">
        <w:t>it should</w:t>
      </w:r>
      <w:r w:rsidRPr="003733B4">
        <w:t xml:space="preserve"> draw on the experience of the U</w:t>
      </w:r>
      <w:r w:rsidRPr="003733B4">
        <w:t>nited States (</w:t>
      </w:r>
      <w:r w:rsidRPr="003733B4">
        <w:rPr>
          <w:b/>
          <w:i/>
        </w:rPr>
        <w:t>US</w:t>
      </w:r>
      <w:r w:rsidRPr="003733B4">
        <w:t>)</w:t>
      </w:r>
      <w:r>
        <w:rPr>
          <w:rStyle w:val="FootnoteReference"/>
        </w:rPr>
        <w:footnoteReference w:id="7"/>
      </w:r>
      <w:r w:rsidRPr="003733B4">
        <w:t xml:space="preserve"> and other allies that have already designed and implemented outbound investment frameworks. </w:t>
      </w:r>
      <w:r w:rsidRPr="003733B4">
        <w:t>The</w:t>
      </w:r>
      <w:r w:rsidRPr="003733B4">
        <w:t xml:space="preserve"> </w:t>
      </w:r>
      <w:r w:rsidRPr="003733B4">
        <w:t>US</w:t>
      </w:r>
      <w:r w:rsidRPr="003733B4">
        <w:t xml:space="preserve"> </w:t>
      </w:r>
      <w:r w:rsidRPr="003733B4">
        <w:t xml:space="preserve">regime </w:t>
      </w:r>
      <w:r w:rsidRPr="003733B4">
        <w:t>suggests that a clear articulation of legal tests, a carefully delimited scope and a predominantly notification-based model can significantly reduce uncertainty for businesses while safeguarding national security.</w:t>
      </w:r>
      <w:r>
        <w:t xml:space="preserve">  </w:t>
      </w:r>
      <w:r w:rsidRPr="003733B4">
        <w:t>We consider that similar design choices would be appropriate and desirable for a UK regime</w:t>
      </w:r>
      <w:r w:rsidRPr="003733B4">
        <w:t xml:space="preserve"> </w:t>
      </w:r>
      <w:r w:rsidRPr="003733B4">
        <w:t>(if introduced)</w:t>
      </w:r>
      <w:r w:rsidRPr="003733B4">
        <w:t xml:space="preserve"> and would urge the Government to ensure any regime satisfies the following principl</w:t>
      </w:r>
      <w:r w:rsidRPr="003733B4">
        <w:t xml:space="preserve">es. </w:t>
      </w:r>
    </w:p>
    <w:p w:rsidR="00EB481D" w:rsidRPr="000E3D28" w:rsidP="003E4419">
      <w:pPr>
        <w:pStyle w:val="Firm3L2"/>
        <w:tabs>
          <w:tab w:val="left" w:pos="709"/>
          <w:tab w:val="num" w:pos="1855"/>
          <w:tab w:val="clear" w:pos="2422"/>
        </w:tabs>
        <w:ind w:left="709" w:hanging="709"/>
      </w:pPr>
      <w:r w:rsidRPr="003733B4">
        <w:t xml:space="preserve">First, a UK regime should be </w:t>
      </w:r>
      <w:r w:rsidRPr="003733B4">
        <w:rPr>
          <w:b/>
        </w:rPr>
        <w:t>targeted and proportionate</w:t>
      </w:r>
      <w:r w:rsidRPr="003733B4">
        <w:t>.  An overly broad or burdensome outbound screening regime could place UK businesses at a competitive disadvantage, restricting their access to global markets and growth opportunities.</w:t>
      </w:r>
      <w:r>
        <w:t xml:space="preserve"> </w:t>
      </w:r>
      <w:r w:rsidRPr="003733B4">
        <w:t xml:space="preserve">This could deter UK innovation and economic </w:t>
      </w:r>
      <w:r w:rsidRPr="000E3D28">
        <w:t>expansion</w:t>
      </w:r>
      <w:r>
        <w:t>.  An essential first step would be</w:t>
      </w:r>
      <w:r>
        <w:t xml:space="preserve"> for the Government to clearly articulate</w:t>
      </w:r>
      <w:r>
        <w:t xml:space="preserve"> a solvable, evidence-based real-world problem</w:t>
      </w:r>
      <w:r>
        <w:t xml:space="preserve"> and to demonstrate how</w:t>
      </w:r>
      <w:r>
        <w:t xml:space="preserve"> an outbound investment</w:t>
      </w:r>
      <w:r>
        <w:t xml:space="preserve"> </w:t>
      </w:r>
      <w:r>
        <w:t xml:space="preserve">screening </w:t>
      </w:r>
      <w:r>
        <w:t xml:space="preserve">regime would address that problem as narrowly and effectively as possible.  </w:t>
      </w:r>
    </w:p>
    <w:p w:rsidR="00EB481D" w:rsidRPr="000E3D28" w:rsidP="00F111F2">
      <w:pPr>
        <w:pStyle w:val="Firm3L2"/>
        <w:tabs>
          <w:tab w:val="left" w:pos="709"/>
          <w:tab w:val="num" w:pos="1855"/>
          <w:tab w:val="clear" w:pos="2422"/>
        </w:tabs>
        <w:ind w:left="709" w:hanging="709"/>
      </w:pPr>
      <w:r w:rsidRPr="000E3D28">
        <w:t xml:space="preserve">Second, it </w:t>
      </w:r>
      <w:r w:rsidRPr="000E3D28">
        <w:t>would</w:t>
      </w:r>
      <w:r w:rsidRPr="000E3D28">
        <w:t xml:space="preserve"> be important to</w:t>
      </w:r>
      <w:r w:rsidRPr="000E3D28">
        <w:t xml:space="preserve"> </w:t>
      </w:r>
      <w:r w:rsidRPr="000E3D28">
        <w:t xml:space="preserve">adopt </w:t>
      </w:r>
      <w:r w:rsidRPr="000E3D28">
        <w:rPr>
          <w:b/>
        </w:rPr>
        <w:t>clear and transparent rules</w:t>
      </w:r>
      <w:r w:rsidRPr="000E3D28">
        <w:t xml:space="preserve">. </w:t>
      </w:r>
      <w:r w:rsidRPr="000E3D28">
        <w:t xml:space="preserve"> </w:t>
      </w:r>
      <w:r w:rsidRPr="000E3D28">
        <w:t>Introducing a new layer of regulation would add complexity and compliance costs for businesses. If not clearly defined, it could lead to uncertainty, delays, and a chilling effect on legitimate investment</w:t>
      </w:r>
      <w:r w:rsidRPr="000E3D28">
        <w:t xml:space="preserve">. </w:t>
      </w:r>
      <w:r w:rsidRPr="000E3D28">
        <w:t>In particular:</w:t>
      </w:r>
    </w:p>
    <w:p w:rsidR="00EB481D" w:rsidRPr="000E3D28" w:rsidP="00FE63E7">
      <w:pPr>
        <w:pStyle w:val="Firm3L3"/>
      </w:pPr>
      <w:r w:rsidRPr="000E3D28">
        <w:rPr>
          <w:b/>
        </w:rPr>
        <w:t>Level of control</w:t>
      </w:r>
      <w:r>
        <w:t>:</w:t>
      </w:r>
      <w:r w:rsidRPr="000E3D28">
        <w:t xml:space="preserve"> </w:t>
      </w:r>
      <w:r>
        <w:t>a</w:t>
      </w:r>
      <w:r w:rsidRPr="000E3D28">
        <w:t>ny</w:t>
      </w:r>
      <w:r w:rsidRPr="000E3D28">
        <w:t xml:space="preserve"> UK regime should specify in primary or secondary legislation the </w:t>
      </w:r>
      <w:r w:rsidRPr="000E3D28">
        <w:t>bases</w:t>
      </w:r>
      <w:r w:rsidRPr="000E3D28">
        <w:t xml:space="preserve"> of “control” or “influence” that trigger jurisdiction</w:t>
      </w:r>
      <w:r w:rsidRPr="000E3D28">
        <w:t xml:space="preserve"> (e.g. </w:t>
      </w:r>
      <w:r w:rsidRPr="000E3D28">
        <w:t>specified shareholding thresholds, levels of voting rights, the right to appoint or remove board members or senior management,</w:t>
      </w:r>
      <w:r w:rsidRPr="000E3D28">
        <w:t xml:space="preserve"> etc.)</w:t>
      </w:r>
      <w:r w:rsidRPr="000E3D28">
        <w:t xml:space="preserve">. </w:t>
      </w:r>
      <w:r w:rsidRPr="000E3D28">
        <w:t xml:space="preserve"> </w:t>
      </w:r>
      <w:r w:rsidRPr="000E3D28">
        <w:t>The</w:t>
      </w:r>
      <w:r w:rsidRPr="000E3D28">
        <w:t xml:space="preserve"> </w:t>
      </w:r>
      <w:r w:rsidRPr="000E3D28">
        <w:t>US</w:t>
      </w:r>
      <w:r w:rsidRPr="000E3D28">
        <w:t xml:space="preserve"> </w:t>
      </w:r>
      <w:r w:rsidRPr="000E3D28">
        <w:t xml:space="preserve">experience </w:t>
      </w:r>
      <w:r w:rsidRPr="000E3D28">
        <w:t>demonstrates that anchoring jurisdiction to defined control thresholds, supplemented by guidance on what constitutes “standard” minority protections, can provide businesses with a workable framework for assessing whether n</w:t>
      </w:r>
      <w:r w:rsidRPr="000E3D28">
        <w:t xml:space="preserve">otification is required. </w:t>
      </w:r>
    </w:p>
    <w:p w:rsidR="00EB481D" w:rsidRPr="000E3D28" w:rsidP="00023604">
      <w:pPr>
        <w:pStyle w:val="Firm3L3"/>
      </w:pPr>
      <w:r w:rsidRPr="000E3D28">
        <w:rPr>
          <w:b/>
        </w:rPr>
        <w:t>Treatment of group companies</w:t>
      </w:r>
      <w:r>
        <w:t>:</w:t>
      </w:r>
      <w:r w:rsidRPr="000E3D28">
        <w:t xml:space="preserve"> </w:t>
      </w:r>
      <w:r>
        <w:t>a</w:t>
      </w:r>
      <w:r w:rsidRPr="000E3D28">
        <w:t>ny</w:t>
      </w:r>
      <w:r w:rsidRPr="000E3D28">
        <w:t xml:space="preserve"> UK regime should clearly address when an investment by a subsidiary, branch or affiliate will be treated as an investment by the UK parent. </w:t>
      </w:r>
      <w:r w:rsidRPr="000E3D28">
        <w:t xml:space="preserve"> </w:t>
      </w:r>
      <w:r w:rsidRPr="000E3D28">
        <w:t xml:space="preserve">US practice illustrates the importance of looking at the ultimate decision-making entity and the source of capital, so that corporate structuring cannot be used to circumvent the regime. </w:t>
      </w:r>
    </w:p>
    <w:p w:rsidR="00EB481D" w:rsidRPr="000E3D28" w:rsidP="00532643">
      <w:pPr>
        <w:pStyle w:val="Firm3L2"/>
        <w:tabs>
          <w:tab w:val="left" w:pos="709"/>
          <w:tab w:val="clear" w:pos="2422"/>
        </w:tabs>
        <w:ind w:left="709" w:hanging="709"/>
      </w:pPr>
      <w:r w:rsidRPr="000E3D28">
        <w:t xml:space="preserve">Third, any outbound investment regime should be carefully delineated so that it complements, and does </w:t>
      </w:r>
      <w:r w:rsidRPr="000E3D28">
        <w:rPr>
          <w:b/>
        </w:rPr>
        <w:t>not duplicate or conflict with</w:t>
      </w:r>
      <w:r w:rsidRPr="000E3D28">
        <w:t>, existing legal frameworks, notably the NSIA and UK export control legislation.</w:t>
      </w:r>
      <w:r w:rsidRPr="000E3D28">
        <w:t xml:space="preserve"> </w:t>
      </w:r>
      <w:r>
        <w:t xml:space="preserve"> </w:t>
      </w:r>
      <w:r w:rsidRPr="000E3D28">
        <w:t>The US experience shows the benefits of locating outbound investment controls within a coherent legislative architecture that sits alongside, but does not overlap with, sanctions and export controls.</w:t>
      </w:r>
    </w:p>
    <w:p w:rsidR="00EB481D" w:rsidRPr="000E3D28" w:rsidP="00116AC8">
      <w:pPr>
        <w:pStyle w:val="Firm3L2"/>
        <w:tabs>
          <w:tab w:val="left" w:pos="709"/>
          <w:tab w:val="num" w:pos="1855"/>
          <w:tab w:val="clear" w:pos="2422"/>
        </w:tabs>
        <w:ind w:left="709" w:hanging="709"/>
      </w:pPr>
      <w:r w:rsidRPr="000E3D28">
        <w:t>Fourth</w:t>
      </w:r>
      <w:r w:rsidRPr="000E3D28">
        <w:t xml:space="preserve">, any UK regime should adopt a limited and </w:t>
      </w:r>
      <w:r w:rsidRPr="000E3D28">
        <w:rPr>
          <w:b/>
        </w:rPr>
        <w:t>clearly defined scope</w:t>
      </w:r>
      <w:r w:rsidRPr="000E3D28">
        <w:t xml:space="preserve"> by reference to the type of business, activities and technologies concerned.</w:t>
      </w:r>
    </w:p>
    <w:p w:rsidR="00EB481D" w:rsidRPr="000E3D28" w:rsidP="00D77FD0">
      <w:pPr>
        <w:pStyle w:val="Firm3L3"/>
      </w:pPr>
      <w:r w:rsidRPr="0077609B">
        <w:rPr>
          <w:b/>
          <w:bCs/>
        </w:rPr>
        <w:t>Defining the scope</w:t>
      </w:r>
      <w:r w:rsidRPr="000E3D28">
        <w:t xml:space="preserve"> of “critical technologies” or “national security risks” in an outbound context is inherently challenging and requires constant adaptation given rapid technological change. </w:t>
      </w:r>
      <w:r w:rsidRPr="000E3D28">
        <w:t xml:space="preserve"> </w:t>
      </w:r>
      <w:r w:rsidRPr="000E3D28">
        <w:t>An imprecise definition could inadvertently capture benign investments.</w:t>
      </w:r>
      <w:r w:rsidRPr="000E3D28">
        <w:t xml:space="preserve"> </w:t>
      </w:r>
      <w:r w:rsidRPr="000E3D28">
        <w:t>For example, the</w:t>
      </w:r>
      <w:r w:rsidRPr="000E3D28">
        <w:t xml:space="preserve"> US focuses on specified high</w:t>
      </w:r>
      <w:r w:rsidRPr="000E3D28">
        <w:rPr>
          <w:rFonts w:ascii="Cambria Math" w:hAnsi="Cambria Math" w:cs="Cambria Math"/>
        </w:rPr>
        <w:t>‑</w:t>
      </w:r>
      <w:r w:rsidRPr="000E3D28">
        <w:t>risk technologies and activities rather than broad country</w:t>
      </w:r>
      <w:r w:rsidRPr="000E3D28">
        <w:rPr>
          <w:rFonts w:ascii="Cambria Math" w:hAnsi="Cambria Math" w:cs="Cambria Math"/>
        </w:rPr>
        <w:t>‑</w:t>
      </w:r>
      <w:r w:rsidRPr="000E3D28">
        <w:t xml:space="preserve"> or sector</w:t>
      </w:r>
      <w:r w:rsidRPr="000E3D28">
        <w:rPr>
          <w:rFonts w:ascii="Cambria Math" w:hAnsi="Cambria Math" w:cs="Cambria Math"/>
        </w:rPr>
        <w:t>‑</w:t>
      </w:r>
      <w:r w:rsidRPr="000E3D28">
        <w:t>wide prohibitions</w:t>
      </w:r>
      <w:r w:rsidRPr="000E3D28">
        <w:t>.</w:t>
      </w:r>
      <w:r w:rsidRPr="000E3D28">
        <w:t xml:space="preserve"> </w:t>
      </w:r>
      <w:r>
        <w:t xml:space="preserve"> </w:t>
      </w:r>
      <w:r>
        <w:t xml:space="preserve">Even then, challenges </w:t>
      </w:r>
      <w:r>
        <w:t xml:space="preserve">can </w:t>
      </w:r>
      <w:r>
        <w:t>arise if the definition</w:t>
      </w:r>
      <w:r>
        <w:t>s</w:t>
      </w:r>
      <w:r>
        <w:t xml:space="preserve"> </w:t>
      </w:r>
      <w:r>
        <w:t>do not</w:t>
      </w:r>
      <w:r>
        <w:t xml:space="preserve"> withstand continuous and fundamental shifts in these technologies </w:t>
      </w:r>
      <w:r>
        <w:t>which</w:t>
      </w:r>
      <w:r>
        <w:t xml:space="preserve"> </w:t>
      </w:r>
      <w:r>
        <w:t xml:space="preserve">can </w:t>
      </w:r>
      <w:r>
        <w:t>result in</w:t>
      </w:r>
      <w:r>
        <w:t xml:space="preserve"> the regime capturing</w:t>
      </w:r>
      <w:r>
        <w:t xml:space="preserve"> investments which</w:t>
      </w:r>
      <w:r>
        <w:t xml:space="preserve"> </w:t>
      </w:r>
      <w:r>
        <w:t xml:space="preserve">have </w:t>
      </w:r>
      <w:r>
        <w:t xml:space="preserve">rapidly become </w:t>
      </w:r>
      <w:r>
        <w:t>low-risk</w:t>
      </w:r>
      <w:r>
        <w:t xml:space="preserve">.  </w:t>
      </w:r>
    </w:p>
    <w:p w:rsidR="00EB481D" w:rsidRPr="000E3D28" w:rsidP="00D77FD0">
      <w:pPr>
        <w:pStyle w:val="Firm3L3"/>
        <w:tabs>
          <w:tab w:val="num" w:pos="2422"/>
        </w:tabs>
      </w:pPr>
      <w:r w:rsidRPr="0077609B">
        <w:rPr>
          <w:b/>
          <w:bCs/>
        </w:rPr>
        <w:t>Key terms</w:t>
      </w:r>
      <w:r w:rsidRPr="000E3D28">
        <w:t xml:space="preserve">, such as “UK investor”, “covered transaction”, “indirect investment”, “technology transfer” and “countries or entities of concern”, should be defined in legislation or regulations and supported by detailed, regularly updated guidance and FAQs. </w:t>
      </w:r>
      <w:r w:rsidRPr="000E3D28">
        <w:t xml:space="preserve"> </w:t>
      </w:r>
      <w:r w:rsidRPr="000E3D28">
        <w:t xml:space="preserve">The US approach of issuing detailed interpretative guidance and updating it </w:t>
      </w:r>
      <w:r w:rsidRPr="000E3D28">
        <w:t>in light of</w:t>
      </w:r>
      <w:r w:rsidRPr="000E3D28">
        <w:t xml:space="preserve"> market feedback provides a useful model to promote clarity and predictability</w:t>
      </w:r>
      <w:r w:rsidRPr="000E3D28">
        <w:t>.</w:t>
      </w:r>
    </w:p>
    <w:p w:rsidR="00EB481D" w:rsidRPr="000E3D28" w:rsidP="00116AC8">
      <w:pPr>
        <w:pStyle w:val="Firm3L2"/>
        <w:tabs>
          <w:tab w:val="left" w:pos="709"/>
          <w:tab w:val="clear" w:pos="2422"/>
        </w:tabs>
        <w:ind w:left="709" w:hanging="709"/>
      </w:pPr>
      <w:r w:rsidRPr="000E3D28">
        <w:t>Fifth, we consider that a</w:t>
      </w:r>
      <w:r w:rsidRPr="000E3D28">
        <w:t>ny</w:t>
      </w:r>
      <w:r w:rsidRPr="000E3D28">
        <w:t xml:space="preserve"> UK outbound regime should be structured primarily around </w:t>
      </w:r>
      <w:r w:rsidRPr="000E3D28">
        <w:rPr>
          <w:b/>
        </w:rPr>
        <w:t>notification and review</w:t>
      </w:r>
      <w:r w:rsidRPr="000E3D28">
        <w:t xml:space="preserve">, rather than automatic prohibitions. </w:t>
      </w:r>
      <w:r w:rsidRPr="000E3D28">
        <w:t xml:space="preserve"> </w:t>
      </w:r>
      <w:r w:rsidRPr="000E3D28">
        <w:t>The US experience indicates that a notification</w:t>
      </w:r>
      <w:r w:rsidRPr="000E3D28">
        <w:rPr>
          <w:rFonts w:ascii="Cambria Math" w:hAnsi="Cambria Math" w:cs="Cambria Math"/>
        </w:rPr>
        <w:t>‑</w:t>
      </w:r>
      <w:r w:rsidRPr="000E3D28">
        <w:t xml:space="preserve">centric system, under which most transactions are subject to review but only a subset </w:t>
      </w:r>
      <w:r w:rsidRPr="000E3D28">
        <w:t>are</w:t>
      </w:r>
      <w:r w:rsidRPr="000E3D28">
        <w:t xml:space="preserve"> ultimately prohibited or conditioned, can provide a proportionate means of addressing national security risks while allowing benign transactions to proceed. </w:t>
      </w:r>
    </w:p>
    <w:p w:rsidR="00EB481D" w:rsidRPr="000E3D28" w:rsidP="004F7519">
      <w:pPr>
        <w:pStyle w:val="Firm3L2"/>
        <w:tabs>
          <w:tab w:val="left" w:pos="709"/>
          <w:tab w:val="clear" w:pos="2422"/>
        </w:tabs>
        <w:ind w:left="709" w:hanging="709"/>
      </w:pPr>
      <w:r w:rsidRPr="000E3D28">
        <w:t xml:space="preserve">Sixth, the regime should incorporate </w:t>
      </w:r>
      <w:r w:rsidRPr="000E3D28">
        <w:t>a number of</w:t>
      </w:r>
      <w:r w:rsidRPr="000E3D28">
        <w:t xml:space="preserve"> </w:t>
      </w:r>
      <w:r w:rsidRPr="000E3D28">
        <w:rPr>
          <w:b/>
        </w:rPr>
        <w:t>additional safeguards</w:t>
      </w:r>
      <w:r w:rsidRPr="000E3D28">
        <w:t xml:space="preserve"> and clarifications consistent with good regulatory design and international practice, including:</w:t>
      </w:r>
    </w:p>
    <w:p w:rsidR="00EB481D" w:rsidRPr="000E3D28" w:rsidP="002B4430">
      <w:pPr>
        <w:pStyle w:val="Firm3L3"/>
      </w:pPr>
      <w:r w:rsidRPr="000E3D28">
        <w:rPr>
          <w:b/>
        </w:rPr>
        <w:t xml:space="preserve">Safe harbours and </w:t>
      </w:r>
      <w:r w:rsidRPr="000E3D28">
        <w:rPr>
          <w:b/>
          <w:i/>
        </w:rPr>
        <w:t>de minimis</w:t>
      </w:r>
      <w:r w:rsidRPr="000E3D28">
        <w:rPr>
          <w:b/>
        </w:rPr>
        <w:t xml:space="preserve"> thresholds</w:t>
      </w:r>
      <w:r>
        <w:t>:</w:t>
      </w:r>
      <w:r w:rsidRPr="000E3D28">
        <w:t xml:space="preserve"> </w:t>
      </w:r>
      <w:r>
        <w:t>a</w:t>
      </w:r>
      <w:r w:rsidRPr="000E3D28">
        <w:t>ny</w:t>
      </w:r>
      <w:r w:rsidRPr="000E3D28">
        <w:t xml:space="preserve"> UK regime should include clear safe harbours for low</w:t>
      </w:r>
      <w:r w:rsidRPr="000E3D28">
        <w:rPr>
          <w:rFonts w:ascii="Cambria Math" w:hAnsi="Cambria Math" w:cs="Cambria Math"/>
        </w:rPr>
        <w:t>‑</w:t>
      </w:r>
      <w:r w:rsidRPr="000E3D28">
        <w:t xml:space="preserve">risk investments, such as small minority positions without governance rights in publicly traded companies, or investments below specified monetary thresholds.  </w:t>
      </w:r>
      <w:r w:rsidRPr="000E3D28">
        <w:rPr>
          <w:i/>
        </w:rPr>
        <w:t xml:space="preserve">De </w:t>
      </w:r>
      <w:r w:rsidRPr="000E3D28">
        <w:rPr>
          <w:i/>
        </w:rPr>
        <w:t>minimis</w:t>
      </w:r>
      <w:r w:rsidRPr="000E3D28">
        <w:t xml:space="preserve"> thresholds should be calibrated to ensure that only transactions of potential national security significance are captured, reducing the compliance burden on smaller businesses and routine portfolio investments.</w:t>
      </w:r>
      <w:r>
        <w:t xml:space="preserve">  Any </w:t>
      </w:r>
      <w:r>
        <w:t>such exemptions and thresholds must be clearl</w:t>
      </w:r>
      <w:r>
        <w:t>y defined and tested</w:t>
      </w:r>
      <w:r>
        <w:t xml:space="preserve"> with investors </w:t>
      </w:r>
      <w:r>
        <w:t xml:space="preserve">and advisers </w:t>
      </w:r>
      <w:r>
        <w:t>to ensure they capture all intended</w:t>
      </w:r>
      <w:r>
        <w:t xml:space="preserve"> situations.</w:t>
      </w:r>
      <w:r>
        <w:t xml:space="preserve"> </w:t>
      </w:r>
      <w:r w:rsidRPr="00A61505">
        <w:t xml:space="preserve">For example, US experience highlights the need for guidance on when an exemption for publicly traded securities </w:t>
      </w:r>
      <w:r>
        <w:t>becomes effective</w:t>
      </w:r>
      <w:r w:rsidRPr="00A61505">
        <w:t>, particularly in an IPO context where the status of a security can change intraday</w:t>
      </w:r>
      <w:r>
        <w:t xml:space="preserve">. </w:t>
      </w:r>
    </w:p>
    <w:p w:rsidR="00EB481D" w:rsidRPr="000E3D28" w:rsidP="002B4430">
      <w:pPr>
        <w:pStyle w:val="Firm3L3"/>
      </w:pPr>
      <w:r w:rsidRPr="000E3D28">
        <w:rPr>
          <w:b/>
        </w:rPr>
        <w:t>Procedural fairness and investor engagement</w:t>
      </w:r>
      <w:r>
        <w:t>:</w:t>
      </w:r>
      <w:r w:rsidRPr="000E3D28">
        <w:t xml:space="preserve"> </w:t>
      </w:r>
      <w:r>
        <w:t>t</w:t>
      </w:r>
      <w:r w:rsidRPr="000E3D28">
        <w:t>he regime should ensure that investors have a fair opportunity to present information and mitigation proposals, are informed of the basis for decisions (subject to national security sensitivities), and have access to appropriate review or reconsideration mechanisms. Informal pre</w:t>
      </w:r>
      <w:r w:rsidRPr="000E3D28">
        <w:rPr>
          <w:rFonts w:ascii="Cambria Math" w:hAnsi="Cambria Math" w:cs="Cambria Math"/>
        </w:rPr>
        <w:t>‑</w:t>
      </w:r>
      <w:r w:rsidRPr="000E3D28">
        <w:t xml:space="preserve">notification engagement with the relevant government unit, </w:t>
      </w:r>
      <w:r w:rsidRPr="000E3D28">
        <w:t>similar to</w:t>
      </w:r>
      <w:r w:rsidRPr="000E3D28">
        <w:t xml:space="preserve"> practices under NSIA and in comparable US processes, would also assist in resolving borderline cases efficiently.</w:t>
      </w:r>
    </w:p>
    <w:p w:rsidR="00EB481D" w:rsidRPr="000E3D28" w:rsidP="002B4430">
      <w:pPr>
        <w:pStyle w:val="Firm3L3"/>
      </w:pPr>
      <w:r w:rsidRPr="000E3D28">
        <w:rPr>
          <w:b/>
        </w:rPr>
        <w:t>Treatment of financial services and intermediaries</w:t>
      </w:r>
      <w:r>
        <w:t>:</w:t>
      </w:r>
      <w:r w:rsidRPr="000E3D28">
        <w:t xml:space="preserve"> </w:t>
      </w:r>
      <w:r>
        <w:t>r</w:t>
      </w:r>
      <w:r w:rsidRPr="000E3D28">
        <w:t xml:space="preserve">eflecting US practice, </w:t>
      </w:r>
      <w:r w:rsidRPr="000E3D28">
        <w:t>any</w:t>
      </w:r>
      <w:r w:rsidRPr="000E3D28">
        <w:t xml:space="preserve"> UK regime should, as far as possible, distinguish between investors that make strategic, long</w:t>
      </w:r>
      <w:r w:rsidRPr="000E3D28">
        <w:rPr>
          <w:rFonts w:ascii="Cambria Math" w:hAnsi="Cambria Math" w:cs="Cambria Math"/>
        </w:rPr>
        <w:t>‑</w:t>
      </w:r>
      <w:r w:rsidRPr="000E3D28">
        <w:t>term investments conferring control or influence, and financial institutions providing routine or ancillary services (such as underwriting, brokerage, custodial services or passive index</w:t>
      </w:r>
      <w:r w:rsidRPr="000E3D28">
        <w:rPr>
          <w:rFonts w:ascii="Cambria Math" w:hAnsi="Cambria Math" w:cs="Cambria Math"/>
        </w:rPr>
        <w:t>‑</w:t>
      </w:r>
      <w:r w:rsidRPr="000E3D28">
        <w:t xml:space="preserve">tracking investments). </w:t>
      </w:r>
      <w:r>
        <w:t xml:space="preserve">Again, </w:t>
      </w:r>
      <w:r>
        <w:t>clearly defined exemptions</w:t>
      </w:r>
      <w:r>
        <w:t xml:space="preserve"> for activities that are not intended to be caught will be vital.  </w:t>
      </w:r>
      <w:r>
        <w:t>In</w:t>
      </w:r>
      <w:r w:rsidRPr="00E703C2">
        <w:t xml:space="preserve"> the US, </w:t>
      </w:r>
      <w:r>
        <w:t xml:space="preserve">for example, </w:t>
      </w:r>
      <w:r w:rsidRPr="00E703C2">
        <w:t>there is ambiguity as to whether routine underwriting activities are captured by th</w:t>
      </w:r>
      <w:r w:rsidRPr="00E703C2">
        <w:t xml:space="preserve">e current regulations, even though subsequent legislation indicates they should be exempt, leaving underwriters in a state of regulatory uncertainty. </w:t>
      </w:r>
      <w:r>
        <w:t xml:space="preserve"> </w:t>
      </w:r>
      <w:r w:rsidRPr="00E703C2">
        <w:t>A UK regime should avoid this by explicitly clarifying the treatment of such ordinary course activities from the outset.</w:t>
      </w:r>
      <w:r>
        <w:t xml:space="preserve"> </w:t>
      </w:r>
    </w:p>
    <w:p w:rsidR="00EB481D" w:rsidRPr="000E3D28" w:rsidP="00D75EB6">
      <w:pPr>
        <w:pStyle w:val="Firm3L2"/>
        <w:ind w:left="709" w:hanging="709"/>
      </w:pPr>
      <w:r w:rsidRPr="000E3D28">
        <w:t>In addition, the Government may wish to consider:</w:t>
      </w:r>
    </w:p>
    <w:p w:rsidR="00EB481D" w:rsidRPr="000E3D28" w:rsidP="00D75EB6">
      <w:pPr>
        <w:pStyle w:val="Firm3L3"/>
      </w:pPr>
      <w:r w:rsidRPr="000E3D28">
        <w:rPr>
          <w:b/>
        </w:rPr>
        <w:t>Advisory opinions</w:t>
      </w:r>
      <w:r>
        <w:t>:</w:t>
      </w:r>
      <w:r w:rsidRPr="000E3D28">
        <w:t xml:space="preserve"> </w:t>
      </w:r>
      <w:r>
        <w:t>e</w:t>
      </w:r>
      <w:r w:rsidRPr="000E3D28">
        <w:t>stablishing a non</w:t>
      </w:r>
      <w:r w:rsidRPr="000E3D28">
        <w:rPr>
          <w:rFonts w:ascii="Cambria Math" w:hAnsi="Cambria Math" w:cs="Cambria Math"/>
        </w:rPr>
        <w:t>‑</w:t>
      </w:r>
      <w:r w:rsidRPr="000E3D28">
        <w:t>binding advisory mechanism, under which investors can seek informal or formal guidance on whether a contemplated transaction is likely to be in scope, may reduce unnecessary notifications and avoid inadvertent non</w:t>
      </w:r>
      <w:r w:rsidRPr="000E3D28">
        <w:rPr>
          <w:rFonts w:ascii="Cambria Math" w:hAnsi="Cambria Math" w:cs="Cambria Math"/>
        </w:rPr>
        <w:t>‑</w:t>
      </w:r>
      <w:r w:rsidRPr="000E3D28">
        <w:t>compliance.</w:t>
      </w:r>
    </w:p>
    <w:p w:rsidR="00EB481D" w:rsidRPr="000E3D28" w:rsidP="00D75EB6">
      <w:pPr>
        <w:pStyle w:val="Firm3L3"/>
      </w:pPr>
      <w:r w:rsidRPr="000E3D28">
        <w:rPr>
          <w:b/>
        </w:rPr>
        <w:t>Retaliation and geopolitical coordination</w:t>
      </w:r>
      <w:r>
        <w:t>: u</w:t>
      </w:r>
      <w:r w:rsidRPr="000E3D28">
        <w:t>nilateral implementation of an outbound screening regime could provoke retaliatory measures from target countries, leading to trade disputes and escalating geopolitical tensions. C</w:t>
      </w:r>
      <w:r w:rsidRPr="000E3D28">
        <w:t xml:space="preserve">oordinating closely with key allies, including the </w:t>
      </w:r>
      <w:r w:rsidRPr="000E3D28">
        <w:t>US</w:t>
      </w:r>
      <w:r w:rsidRPr="000E3D28">
        <w:t xml:space="preserve"> and EU Member States, to promote as much convergence as is practicable on core concepts, sectoral scope and procedural design, </w:t>
      </w:r>
      <w:r w:rsidRPr="000E3D28">
        <w:t>will also</w:t>
      </w:r>
      <w:r w:rsidRPr="000E3D28">
        <w:t xml:space="preserve"> reduc</w:t>
      </w:r>
      <w:r w:rsidRPr="000E3D28">
        <w:t>e</w:t>
      </w:r>
      <w:r w:rsidRPr="000E3D28">
        <w:t xml:space="preserve"> fragmentation for businesses operating across multiple jurisdiction</w:t>
      </w:r>
      <w:r>
        <w:t>s</w:t>
      </w:r>
      <w:r w:rsidRPr="000E3D28">
        <w:t>.</w:t>
      </w:r>
      <w:r w:rsidRPr="000E3D28">
        <w:t xml:space="preserve"> </w:t>
      </w:r>
    </w:p>
    <w:p w:rsidR="00EB481D" w:rsidRPr="000E3D28" w:rsidP="00D33893">
      <w:pPr>
        <w:pStyle w:val="Firm3L1"/>
        <w:tabs>
          <w:tab w:val="num" w:pos="709"/>
          <w:tab w:val="clear" w:pos="1855"/>
        </w:tabs>
        <w:ind w:left="709" w:hanging="709"/>
      </w:pPr>
      <w:r w:rsidRPr="000E3D28">
        <w:t>Conclusion</w:t>
      </w:r>
    </w:p>
    <w:p w:rsidR="00EB481D" w:rsidRPr="000E3D28" w:rsidP="00D33893">
      <w:pPr>
        <w:pStyle w:val="Firm3L2"/>
        <w:tabs>
          <w:tab w:val="num" w:pos="709"/>
          <w:tab w:val="clear" w:pos="2422"/>
        </w:tabs>
        <w:ind w:left="709" w:hanging="709"/>
      </w:pPr>
      <w:r w:rsidRPr="000E3D28">
        <w:t xml:space="preserve">We welcome the opportunity to provide evidence to the Committee on </w:t>
      </w:r>
      <w:r w:rsidRPr="000E3D28">
        <w:t>how investment security regimes can be</w:t>
      </w:r>
      <w:r w:rsidRPr="000E3D28">
        <w:t xml:space="preserve"> best designed and enforced to</w:t>
      </w:r>
      <w:r w:rsidRPr="000E3D28">
        <w:t xml:space="preserve"> facilitate welcome investment while protecting national security.  </w:t>
      </w:r>
    </w:p>
    <w:p w:rsidR="00EB481D" w:rsidRPr="00F36F83" w:rsidP="00D33893">
      <w:pPr>
        <w:pStyle w:val="Firm3L2"/>
        <w:tabs>
          <w:tab w:val="num" w:pos="709"/>
          <w:tab w:val="clear" w:pos="2422"/>
        </w:tabs>
        <w:ind w:left="709" w:hanging="709"/>
      </w:pPr>
      <w:r w:rsidRPr="000E3D28">
        <w:t xml:space="preserve">In our experience, the NSIA regime is broadly functioning well, but there are clear opportunities for refinement to enhance its transparency, predictability, and proportionality. By adopting a more targeted and </w:t>
      </w:r>
      <w:r w:rsidRPr="000E3D28">
        <w:t>transparent</w:t>
      </w:r>
      <w:r w:rsidRPr="000E3D28">
        <w:t xml:space="preserve"> approach, particularly informed by international best practices from its allies and partners, the UK can reinforce its national security without inadvertently creating barriers to essential</w:t>
      </w:r>
      <w:r w:rsidRPr="00F36F83">
        <w:t xml:space="preserve"> inward investment. </w:t>
      </w:r>
    </w:p>
    <w:p w:rsidR="00EB481D" w:rsidRPr="00F36F83" w:rsidP="00D33893">
      <w:pPr>
        <w:pStyle w:val="Firm3L2"/>
        <w:tabs>
          <w:tab w:val="num" w:pos="709"/>
          <w:tab w:val="clear" w:pos="2422"/>
        </w:tabs>
        <w:ind w:left="709" w:hanging="709"/>
      </w:pPr>
      <w:r w:rsidRPr="00F36F83">
        <w:t xml:space="preserve">We remain committed to engaging with the </w:t>
      </w:r>
      <w:r w:rsidRPr="00F36F83">
        <w:t>G</w:t>
      </w:r>
      <w:r w:rsidRPr="00F36F83">
        <w:t>overnment and stakeholders to contribute to the continuous improvement of the NSI</w:t>
      </w:r>
      <w:r w:rsidRPr="00F36F83">
        <w:t>A</w:t>
      </w:r>
      <w:r w:rsidRPr="00F36F83">
        <w:t xml:space="preserve"> system</w:t>
      </w:r>
      <w:r w:rsidRPr="00F36F83">
        <w:t xml:space="preserve">.  </w:t>
      </w:r>
      <w:r w:rsidRPr="00F36F83">
        <w:t xml:space="preserve">We would be happy to provide any further details of our experience or recommendations either orally or in writing if that would be helpful.  </w:t>
      </w:r>
    </w:p>
    <w:p w:rsidR="00EB481D" w:rsidRPr="009F2E75" w:rsidP="00F36F83">
      <w:pPr>
        <w:spacing w:after="160" w:line="259" w:lineRule="auto"/>
        <w:rPr>
          <w:rFonts w:eastAsia="SimSun"/>
          <w:b/>
          <w:bCs/>
          <w:szCs w:val="20"/>
        </w:rPr>
      </w:pPr>
    </w:p>
    <w:p w:rsidR="00EB481D" w:rsidRPr="009F2E75" w:rsidP="009F2E75">
      <w:pPr>
        <w:spacing w:after="160" w:line="259" w:lineRule="auto"/>
        <w:jc w:val="right"/>
        <w:rPr>
          <w:rFonts w:eastAsia="SimSun"/>
          <w:b/>
          <w:bCs/>
          <w:szCs w:val="20"/>
        </w:rPr>
      </w:pPr>
      <w:r w:rsidRPr="009F2E75">
        <w:rPr>
          <w:rFonts w:eastAsia="SimSun"/>
          <w:b/>
          <w:bCs/>
          <w:szCs w:val="20"/>
        </w:rPr>
        <w:t>FRESHFIELDS LLP</w:t>
      </w:r>
    </w:p>
    <w:p w:rsidR="00EB481D" w:rsidP="009F2E75">
      <w:pPr>
        <w:spacing w:line="259" w:lineRule="auto"/>
        <w:jc w:val="right"/>
        <w:rPr>
          <w:rFonts w:eastAsia="SimSun"/>
          <w:szCs w:val="20"/>
        </w:rPr>
      </w:pPr>
      <w:r>
        <w:rPr>
          <w:rFonts w:eastAsia="SimSun"/>
          <w:szCs w:val="20"/>
        </w:rPr>
        <w:t>Martin McElwee, Partner</w:t>
      </w:r>
    </w:p>
    <w:p w:rsidR="00EB481D" w:rsidP="009F2E75">
      <w:pPr>
        <w:spacing w:line="259" w:lineRule="auto"/>
        <w:jc w:val="right"/>
        <w:rPr>
          <w:rFonts w:eastAsia="SimSun"/>
          <w:szCs w:val="20"/>
        </w:rPr>
      </w:pPr>
      <w:r>
        <w:rPr>
          <w:rFonts w:eastAsia="SimSun"/>
          <w:szCs w:val="20"/>
        </w:rPr>
        <w:t>Sarah Jensen, Counsel</w:t>
      </w:r>
    </w:p>
    <w:p w:rsidR="00EB481D" w:rsidRPr="00F36F83" w:rsidP="009F2E75">
      <w:pPr>
        <w:spacing w:after="160" w:line="259" w:lineRule="auto"/>
        <w:jc w:val="right"/>
        <w:rPr>
          <w:rFonts w:eastAsia="SimSun"/>
          <w:szCs w:val="20"/>
        </w:rPr>
      </w:pPr>
      <w:r>
        <w:rPr>
          <w:rFonts w:eastAsia="SimSun"/>
          <w:szCs w:val="20"/>
        </w:rPr>
        <w:t>Cara Cara, Senior Associate</w:t>
      </w:r>
    </w:p>
    <w:sectPr w:rsidSect="004221E7">
      <w:headerReference w:type="default" r:id="rId6"/>
      <w:footerReference w:type="default" r:id="rId7"/>
      <w:headerReference w:type="first" r:id="rId8"/>
      <w:footerReference w:type="first" r:id="rId9"/>
      <w:pgSz w:w="11909" w:h="16834" w:code="9"/>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81D" w:rsidP="0012690D">
    <w:pPr>
      <w:pStyle w:val="Footer"/>
      <w:rPr>
        <w:noProof/>
      </w:rPr>
    </w:pPr>
    <w:r>
      <w:tab/>
    </w:r>
    <w:r>
      <w:rPr>
        <w:spacing w:val="6"/>
      </w:rPr>
      <w:fldChar w:fldCharType="begin"/>
    </w:r>
    <w:r>
      <w:rPr>
        <w:spacing w:val="6"/>
      </w:rPr>
      <w:instrText xml:space="preserve"> PAGE   \* MERGEFORMAT </w:instrText>
    </w:r>
    <w:r>
      <w:rPr>
        <w:spacing w:val="6"/>
      </w:rPr>
      <w:fldChar w:fldCharType="separate"/>
    </w:r>
    <w:r>
      <w:rPr>
        <w:noProof/>
        <w:spacing w:val="6"/>
      </w:rPr>
      <w:t>1</w:t>
    </w:r>
    <w:r>
      <w:rPr>
        <w:spacing w:val="6"/>
      </w:rPr>
      <w:fldChar w:fldCharType="end"/>
    </w:r>
    <w:r>
      <w:rPr>
        <w:rFonts w:ascii="Symbol" w:hAnsi="Symbol"/>
      </w:rPr>
      <w:sym w:font="Symbol" w:char="F0EF"/>
    </w:r>
    <w:r>
      <w:rPr>
        <w:noProof/>
      </w:rPr>
      <w:fldChar w:fldCharType="begin"/>
    </w:r>
    <w:r>
      <w:rPr>
        <w:noProof/>
      </w:rPr>
      <w:instrText xml:space="preserve"> NUMPAGES  \* Arabic  \* MERGEFORMAT </w:instrText>
    </w:r>
    <w:r>
      <w:rPr>
        <w:noProof/>
      </w:rPr>
      <w:fldChar w:fldCharType="separate"/>
    </w:r>
    <w:r>
      <w:rPr>
        <w:noProof/>
      </w:rPr>
      <w:t>1</w:t>
    </w:r>
    <w:r>
      <w:rPr>
        <w:noProof/>
      </w:rPr>
      <w:fldChar w:fldCharType="end"/>
    </w:r>
  </w:p>
  <w:p w:rsidR="00EB481D">
    <w:pPr>
      <w:pStyle w:val="Footer"/>
      <w:spacing w:line="20" w:lineRule="exact"/>
    </w:pPr>
    <w:r>
      <w:rPr>
        <w:noProof/>
        <w:lang w:eastAsia="en-GB"/>
      </w:rPr>
      <w:pict>
        <v:shapetype id="_x0000_t202" coordsize="21600,21600" o:spt="202" path="m,l,21600r21600,l21600,xe">
          <v:stroke joinstyle="miter"/>
          <v:path gradientshapeok="t" o:connecttype="rect"/>
        </v:shapetype>
        <v:shape id="zzmpTrailer_2832_19" o:spid="_x0000_s2049" type="#_x0000_t202" style="height:20.15pt;margin-left:0;margin-top:-9.95pt;mso-position-horizontal-relative:margin;position:absolute;visibility:visible;width:201.6pt;z-index:-251658240" filled="f" stroked="f">
          <v:textbox inset="0,0,0,0">
            <w:txbxContent>
              <w:p w:rsidR="00EB481D">
                <w:pPr>
                  <w:pStyle w:val="MacPacTrailer"/>
                </w:pPr>
                <w:r>
                  <w:fldChar w:fldCharType="begin"/>
                </w:r>
                <w:r>
                  <w:instrText xml:space="preserve"> DOCPROPERTY  docId </w:instrText>
                </w:r>
                <w:r>
                  <w:fldChar w:fldCharType="separate"/>
                </w:r>
                <w:r>
                  <w:t>-</w:t>
                </w:r>
                <w:r>
                  <w:fldChar w:fldCharType="end"/>
                </w:r>
                <w:r>
                  <w:fldChar w:fldCharType="begin"/>
                </w:r>
                <w:r>
                  <w:instrText xml:space="preserve"> IF </w:instrText>
                </w:r>
                <w:r>
                  <w:fldChar w:fldCharType="begin"/>
                </w:r>
                <w:r>
                  <w:instrText xml:space="preserve"> DOCPROPERTY  docIncludeVersion </w:instrText>
                </w:r>
                <w:r>
                  <w:fldChar w:fldCharType="separate"/>
                </w:r>
                <w:r>
                  <w:instrText>true</w:instrText>
                </w:r>
                <w:r>
                  <w:fldChar w:fldCharType="end"/>
                </w:r>
                <w:r>
                  <w:instrText xml:space="preserve"> = true "/</w:instrText>
                </w:r>
                <w:r>
                  <w:fldChar w:fldCharType="begin"/>
                </w:r>
                <w:r>
                  <w:instrText xml:space="preserve"> DOCPROPERTY  docVersion </w:instrText>
                </w:r>
                <w:r>
                  <w:fldChar w:fldCharType="separate"/>
                </w:r>
                <w:r>
                  <w:instrText>0</w:instrText>
                </w:r>
                <w:r>
                  <w:fldChar w:fldCharType="end"/>
                </w:r>
                <w:r>
                  <w:instrText>"</w:instrText>
                </w:r>
                <w:r>
                  <w:fldChar w:fldCharType="separate"/>
                </w:r>
                <w:r>
                  <w:rPr>
                    <w:noProof/>
                  </w:rPr>
                  <w:t>/0</w:t>
                </w:r>
                <w:r>
                  <w:fldChar w:fldCharType="end"/>
                </w:r>
                <w:r>
                  <w:t xml:space="preserve">   </w:t>
                </w:r>
                <w:r>
                  <w:fldChar w:fldCharType="begin"/>
                </w:r>
                <w:r>
                  <w:instrText xml:space="preserve"> IF </w:instrText>
                </w:r>
                <w:r>
                  <w:fldChar w:fldCharType="begin"/>
                </w:r>
                <w:r>
                  <w:instrText xml:space="preserve"> DOCPROPERTY  docIncludeCliMat </w:instrText>
                </w:r>
                <w:r>
                  <w:fldChar w:fldCharType="separate"/>
                </w:r>
                <w:r>
                  <w:instrText>true</w:instrText>
                </w:r>
                <w:r>
                  <w:fldChar w:fldCharType="end"/>
                </w:r>
                <w:r>
                  <w:instrText xml:space="preserve"> = true </w:instrText>
                </w:r>
                <w:r>
                  <w:fldChar w:fldCharType="begin"/>
                </w:r>
                <w:r>
                  <w:instrText xml:space="preserve"> DOCPROPERTY  docCliMat </w:instrText>
                </w:r>
                <w:r>
                  <w:fldChar w:fldCharType="separate"/>
                </w:r>
                <w:r>
                  <w:fldChar w:fldCharType="end"/>
                </w:r>
                <w:r>
                  <w:instrText xml:space="preserve">  </w:instrText>
                </w:r>
                <w:r>
                  <w:fldChar w:fldCharType="separate"/>
                </w:r>
                <w:r>
                  <w:fldChar w:fldCharType="end"/>
                </w:r>
              </w:p>
              <w:p w:rsidR="00EB481D">
                <w:pPr>
                  <w:pStyle w:val="MacPacTrailer"/>
                </w:pP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81D" w:rsidP="0012690D">
    <w:pPr>
      <w:pStyle w:val="Footer"/>
    </w:pPr>
    <w:r>
      <w:tab/>
    </w:r>
  </w:p>
  <w:p w:rsidR="00EB481D">
    <w:pPr>
      <w:pStyle w:val="Footer"/>
      <w:spacing w:line="20" w:lineRule="exact"/>
    </w:pPr>
    <w:r>
      <w:rPr>
        <w:noProof/>
        <w:lang w:eastAsia="en-GB"/>
      </w:rPr>
      <w:pict>
        <v:shapetype id="_x0000_t202" coordsize="21600,21600" o:spt="202" path="m,l,21600r21600,l21600,xe">
          <v:stroke joinstyle="miter"/>
          <v:path gradientshapeok="t" o:connecttype="rect"/>
        </v:shapetype>
        <v:shape id="zzmpTrailer_2832_1B" o:spid="_x0000_s2050" type="#_x0000_t202" style="height:20.15pt;margin-left:0;margin-top:-9.95pt;mso-position-horizontal-relative:margin;position:absolute;visibility:visible;width:201.6pt;z-index:-251657216" filled="f" stroked="f">
          <v:textbox inset="0,0,0,0">
            <w:txbxContent>
              <w:p w:rsidR="00EB481D">
                <w:pPr>
                  <w:pStyle w:val="MacPacTrailer"/>
                </w:pPr>
                <w:r>
                  <w:fldChar w:fldCharType="begin"/>
                </w:r>
                <w:r>
                  <w:instrText xml:space="preserve"> DOCPROPERTY  docId </w:instrText>
                </w:r>
                <w:r>
                  <w:fldChar w:fldCharType="separate"/>
                </w:r>
                <w:r>
                  <w:t>-</w:t>
                </w:r>
                <w:r>
                  <w:fldChar w:fldCharType="end"/>
                </w:r>
                <w:r>
                  <w:fldChar w:fldCharType="begin"/>
                </w:r>
                <w:r>
                  <w:instrText xml:space="preserve"> IF </w:instrText>
                </w:r>
                <w:r>
                  <w:fldChar w:fldCharType="begin"/>
                </w:r>
                <w:r>
                  <w:instrText xml:space="preserve"> DOCPROPERTY  docIncludeVersion </w:instrText>
                </w:r>
                <w:r>
                  <w:fldChar w:fldCharType="separate"/>
                </w:r>
                <w:r>
                  <w:instrText>true</w:instrText>
                </w:r>
                <w:r>
                  <w:fldChar w:fldCharType="end"/>
                </w:r>
                <w:r>
                  <w:instrText xml:space="preserve"> = true "/</w:instrText>
                </w:r>
                <w:r>
                  <w:fldChar w:fldCharType="begin"/>
                </w:r>
                <w:r>
                  <w:instrText xml:space="preserve"> DOCPROPERTY  docVersion </w:instrText>
                </w:r>
                <w:r>
                  <w:fldChar w:fldCharType="separate"/>
                </w:r>
                <w:r>
                  <w:instrText>0</w:instrText>
                </w:r>
                <w:r>
                  <w:fldChar w:fldCharType="end"/>
                </w:r>
                <w:r>
                  <w:instrText>"</w:instrText>
                </w:r>
                <w:r>
                  <w:fldChar w:fldCharType="separate"/>
                </w:r>
                <w:r>
                  <w:rPr>
                    <w:noProof/>
                  </w:rPr>
                  <w:t>/0</w:t>
                </w:r>
                <w:r>
                  <w:fldChar w:fldCharType="end"/>
                </w:r>
                <w:r>
                  <w:t xml:space="preserve">   </w:t>
                </w:r>
                <w:r>
                  <w:fldChar w:fldCharType="begin"/>
                </w:r>
                <w:r>
                  <w:instrText xml:space="preserve"> IF </w:instrText>
                </w:r>
                <w:r>
                  <w:fldChar w:fldCharType="begin"/>
                </w:r>
                <w:r>
                  <w:instrText xml:space="preserve"> DOCPROPERTY  docIncludeCliMat </w:instrText>
                </w:r>
                <w:r>
                  <w:fldChar w:fldCharType="separate"/>
                </w:r>
                <w:r>
                  <w:instrText>true</w:instrText>
                </w:r>
                <w:r>
                  <w:fldChar w:fldCharType="end"/>
                </w:r>
                <w:r>
                  <w:instrText xml:space="preserve"> = true </w:instrText>
                </w:r>
                <w:r>
                  <w:fldChar w:fldCharType="begin"/>
                </w:r>
                <w:r>
                  <w:instrText xml:space="preserve"> DOCPROPERTY  docCliMat </w:instrText>
                </w:r>
                <w:r>
                  <w:fldChar w:fldCharType="separate"/>
                </w:r>
                <w:r>
                  <w:fldChar w:fldCharType="end"/>
                </w:r>
                <w:r>
                  <w:instrText xml:space="preserve">  </w:instrText>
                </w:r>
                <w:r>
                  <w:fldChar w:fldCharType="separate"/>
                </w:r>
                <w:r>
                  <w:fldChar w:fldCharType="end"/>
                </w:r>
              </w:p>
              <w:p w:rsidR="00EB481D">
                <w:pPr>
                  <w:pStyle w:val="MacPacTrailer"/>
                </w:pP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B481D">
      <w:r>
        <w:separator/>
      </w:r>
    </w:p>
  </w:footnote>
  <w:footnote w:type="continuationSeparator" w:id="1">
    <w:p w:rsidR="00EB481D">
      <w:r>
        <w:continuationSeparator/>
      </w:r>
    </w:p>
  </w:footnote>
  <w:footnote w:id="2">
    <w:p w:rsidR="00EB481D">
      <w:pPr>
        <w:pStyle w:val="FootnoteText"/>
      </w:pPr>
      <w:r>
        <w:rPr>
          <w:rStyle w:val="FootnoteReference"/>
        </w:rPr>
        <w:footnoteRef/>
      </w:r>
      <w:r>
        <w:t xml:space="preserve"> </w:t>
      </w:r>
      <w:r>
        <w:tab/>
      </w:r>
      <w:r>
        <w:t>Martin McElwee (a partner in Freshfields’ global antitrust, competition and trade group) provided oral evidence</w:t>
      </w:r>
      <w:r>
        <w:t xml:space="preserve"> on 7</w:t>
      </w:r>
      <w:r>
        <w:t> </w:t>
      </w:r>
      <w:r>
        <w:t xml:space="preserve">May 2025.  We followed up with written evidence on 15 May 2025.  </w:t>
      </w:r>
    </w:p>
  </w:footnote>
  <w:footnote w:id="3">
    <w:p w:rsidR="00EB481D" w:rsidP="0021287C">
      <w:pPr>
        <w:pStyle w:val="FootnoteText"/>
      </w:pPr>
      <w:r>
        <w:rPr>
          <w:rStyle w:val="FootnoteReference"/>
        </w:rPr>
        <w:footnoteRef/>
      </w:r>
      <w:r>
        <w:t xml:space="preserve"> </w:t>
      </w:r>
      <w:r>
        <w:tab/>
        <w:t xml:space="preserve">Consultation, </w:t>
      </w:r>
      <w:r>
        <w:t xml:space="preserve">22 July 2025: </w:t>
      </w:r>
      <w:r>
        <w:fldChar w:fldCharType="begin"/>
      </w:r>
      <w:r>
        <w:instrText xml:space="preserve"> HYPERLINK "https://www.gov.uk/government/consultations/consultation-on-the-nsi-act-notifiable-acquisition-regulations" </w:instrText>
      </w:r>
      <w:r>
        <w:fldChar w:fldCharType="separate"/>
      </w:r>
      <w:r w:rsidRPr="0021287C">
        <w:rPr>
          <w:rStyle w:val="Hyperlink"/>
        </w:rPr>
        <w:t>Consultation on the NSI Act Notifiable Acquisition Regulations - GOV.UK</w:t>
      </w:r>
      <w:r>
        <w:fldChar w:fldCharType="end"/>
      </w:r>
    </w:p>
  </w:footnote>
  <w:footnote w:id="4">
    <w:p w:rsidR="00EB481D" w:rsidP="00FE3D34">
      <w:pPr>
        <w:pStyle w:val="FootnoteText"/>
      </w:pPr>
      <w:r>
        <w:rPr>
          <w:rStyle w:val="FootnoteReference"/>
        </w:rPr>
        <w:footnoteRef/>
      </w:r>
      <w:r>
        <w:t xml:space="preserve"> </w:t>
      </w:r>
      <w:r>
        <w:tab/>
      </w:r>
      <w:r>
        <w:fldChar w:fldCharType="begin"/>
      </w:r>
      <w:r>
        <w:instrText xml:space="preserve"> HYPERLINK "https://committees.parliament.uk/publications/50369/documents/272196/default/" </w:instrText>
      </w:r>
      <w:r>
        <w:fldChar w:fldCharType="separate"/>
      </w:r>
      <w:r w:rsidRPr="00FE3D34">
        <w:rPr>
          <w:rStyle w:val="Hyperlink"/>
        </w:rPr>
        <w:t xml:space="preserve">Toward A New Doctrine </w:t>
      </w:r>
      <w:r w:rsidRPr="00FE3D34">
        <w:rPr>
          <w:rStyle w:val="Hyperlink"/>
        </w:rPr>
        <w:t>For</w:t>
      </w:r>
      <w:r w:rsidRPr="00FE3D34">
        <w:rPr>
          <w:rStyle w:val="Hyperlink"/>
        </w:rPr>
        <w:t xml:space="preserve"> Economic Security</w:t>
      </w:r>
      <w:r>
        <w:fldChar w:fldCharType="end"/>
      </w:r>
      <w:r>
        <w:t xml:space="preserve"> (24 November 2025)</w:t>
      </w:r>
    </w:p>
  </w:footnote>
  <w:footnote w:id="5">
    <w:p w:rsidR="00EB481D" w:rsidP="00845248">
      <w:pPr>
        <w:pStyle w:val="FootnoteText"/>
      </w:pPr>
      <w:r>
        <w:rPr>
          <w:rStyle w:val="FootnoteReference"/>
        </w:rPr>
        <w:footnoteRef/>
      </w:r>
      <w:r>
        <w:t xml:space="preserve"> </w:t>
      </w:r>
      <w:r>
        <w:tab/>
      </w:r>
      <w:r>
        <w:fldChar w:fldCharType="begin"/>
      </w:r>
      <w:r>
        <w:instrText xml:space="preserve"> HYPERLINK "https://committees.parliament.uk/publications/51437/documents/285630/default/" </w:instrText>
      </w:r>
      <w:r>
        <w:fldChar w:fldCharType="separate"/>
      </w:r>
      <w:r w:rsidRPr="00845248">
        <w:rPr>
          <w:rStyle w:val="Hyperlink"/>
        </w:rPr>
        <w:t>Toward a new doctrine for economic security: Government Response</w:t>
      </w:r>
      <w:r>
        <w:fldChar w:fldCharType="end"/>
      </w:r>
      <w:r>
        <w:t xml:space="preserve"> (4 February 2026)</w:t>
      </w:r>
    </w:p>
  </w:footnote>
  <w:footnote w:id="6">
    <w:p w:rsidR="00EB481D" w:rsidP="00B974CD">
      <w:pPr>
        <w:pStyle w:val="FootnoteText"/>
      </w:pPr>
      <w:r>
        <w:rPr>
          <w:rStyle w:val="FootnoteReference"/>
        </w:rPr>
        <w:footnoteRef/>
      </w:r>
      <w:r>
        <w:t xml:space="preserve"> </w:t>
      </w:r>
      <w:r>
        <w:tab/>
      </w:r>
      <w:r>
        <w:fldChar w:fldCharType="begin"/>
      </w:r>
      <w:r>
        <w:instrText xml:space="preserve"> HYPERLINK "https://www.gov.uk/government/publications/prime-minister-visit-to-china-trade-and-investment-factsheet/prime-minister-visit-to-china-trade-and-investment-factsheet" \l "investment" </w:instrText>
      </w:r>
      <w:r>
        <w:fldChar w:fldCharType="separate"/>
      </w:r>
      <w:r w:rsidRPr="00B974CD">
        <w:rPr>
          <w:rStyle w:val="Hyperlink"/>
        </w:rPr>
        <w:t>Prime Minister visit to China: trade and investment factsheet - GOV.UK</w:t>
      </w:r>
      <w:r>
        <w:fldChar w:fldCharType="end"/>
      </w:r>
    </w:p>
  </w:footnote>
  <w:footnote w:id="7">
    <w:p w:rsidR="00EB481D">
      <w:pPr>
        <w:pStyle w:val="FootnoteText"/>
      </w:pPr>
      <w:r>
        <w:rPr>
          <w:rStyle w:val="FootnoteReference"/>
        </w:rPr>
        <w:footnoteRef/>
      </w:r>
      <w:r>
        <w:t xml:space="preserve"> </w:t>
      </w:r>
      <w:r>
        <w:tab/>
      </w:r>
      <w:r>
        <w:t>United States</w:t>
      </w:r>
      <w:r w:rsidRPr="00A31A66">
        <w:t xml:space="preserve"> Outbound Investment Security Program (OISP) Executive Order</w:t>
      </w:r>
      <w:r>
        <w:t xml:space="preserve">, August 2023, as </w:t>
      </w:r>
      <w:r>
        <w:t xml:space="preserve">largely </w:t>
      </w:r>
      <w:r>
        <w:t xml:space="preserve">codified by the </w:t>
      </w:r>
      <w:r w:rsidRPr="00720B48">
        <w:t>Comprehensive Outbound Investment National Security Act of 2025 (the COINS Act)</w:t>
      </w:r>
      <w:r>
        <w:t xml:space="preserve">, together with the Department of </w:t>
      </w:r>
      <w:r>
        <w:t>Treasury’s</w:t>
      </w:r>
      <w:r>
        <w:t xml:space="preserve"> FAQ, </w:t>
      </w:r>
      <w:r>
        <w:t xml:space="preserve">available at: </w:t>
      </w:r>
      <w:r>
        <w:fldChar w:fldCharType="begin"/>
      </w:r>
      <w:r>
        <w:instrText xml:space="preserve"> HYPERLINK "https://home.treasury.gov/policy-issues/international/outbound-investment-program/frequently-asked-questions" </w:instrText>
      </w:r>
      <w:r>
        <w:fldChar w:fldCharType="separate"/>
      </w:r>
      <w:r w:rsidRPr="00A26AB3">
        <w:rPr>
          <w:rStyle w:val="Hyperlink"/>
        </w:rPr>
        <w:t>https://home.treasury.gov/policy-issues/international/outbound-investment-program/frequently-asked-questions</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21E7" w:rsidRPr="004221E7" w:rsidP="004221E7">
    <w:pPr>
      <w:pStyle w:val="Header"/>
      <w:jc w:val="center"/>
      <w:rPr>
        <w:sz w:val="22"/>
        <w:szCs w:val="22"/>
      </w:rPr>
    </w:pPr>
    <w:r w:rsidRPr="004221E7">
      <w:rPr>
        <w:sz w:val="22"/>
        <w:szCs w:val="22"/>
      </w:rPr>
      <w:t>Written submission from Freshfields LLP (CHI0043)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8752352"/>
      <w:placeholder>
        <w:docPart w:val="64F8A9BC2FC840E8956DEC04F383EBC5"/>
      </w:placeholder>
      <w:showingPlcHdr/>
      <w:richText/>
      <w:temporary/>
    </w:sdtPr>
    <w:sdtContent>
      <w:p w:rsidR="004221E7">
        <w:pPr>
          <w:pStyle w:val="Header"/>
        </w:pPr>
        <w:r>
          <w:t>[Type here]</w:t>
        </w:r>
      </w:p>
    </w:sdtContent>
  </w:sdt>
  <w:p w:rsidR="00EB481D" w:rsidP="00D80289">
    <w:pPr>
      <w:pStyle w:val="Header"/>
      <w:jc w:val="center"/>
      <w:rPr>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322E9C"/>
    <w:multiLevelType w:val="hybridMultilevel"/>
    <w:tmpl w:val="B914B9C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1ED13DE"/>
    <w:multiLevelType w:val="multilevel"/>
    <w:tmpl w:val="CD6404BA"/>
    <w:lvl w:ilvl="0">
      <w:start w:val="1"/>
      <w:numFmt w:val="decimal"/>
      <w:pStyle w:val="FWParties"/>
      <w:lvlText w:val="(%1)"/>
      <w:lvlJc w:val="left"/>
      <w:pPr>
        <w:ind w:left="720" w:hanging="720"/>
      </w:pPr>
      <w:rPr>
        <w:rFonts w:hint="default"/>
      </w:rPr>
    </w:lvl>
    <w:lvl w:ilvl="1">
      <w:start w:val="1"/>
      <w:numFmt w:val="none"/>
      <w:lvlText w:val="%2."/>
      <w:lvlJc w:val="left"/>
      <w:pPr>
        <w:ind w:left="720" w:hanging="720"/>
      </w:pPr>
      <w:rPr>
        <w:rFonts w:hint="default"/>
      </w:rPr>
    </w:lvl>
    <w:lvl w:ilvl="2">
      <w:start w:val="1"/>
      <w:numFmt w:val="none"/>
      <w:lvlText w:val="%3."/>
      <w:lvlJc w:val="right"/>
      <w:pPr>
        <w:ind w:left="720" w:hanging="720"/>
      </w:pPr>
      <w:rPr>
        <w:rFonts w:hint="default"/>
      </w:rPr>
    </w:lvl>
    <w:lvl w:ilvl="3">
      <w:start w:val="1"/>
      <w:numFmt w:val="none"/>
      <w:lvlText w:val="%4."/>
      <w:lvlJc w:val="left"/>
      <w:pPr>
        <w:ind w:left="720" w:hanging="720"/>
      </w:pPr>
      <w:rPr>
        <w:rFonts w:hint="default"/>
      </w:rPr>
    </w:lvl>
    <w:lvl w:ilvl="4">
      <w:start w:val="1"/>
      <w:numFmt w:val="none"/>
      <w:lvlText w:val="%5."/>
      <w:lvlJc w:val="left"/>
      <w:pPr>
        <w:ind w:left="720" w:hanging="720"/>
      </w:pPr>
      <w:rPr>
        <w:rFonts w:hint="default"/>
      </w:rPr>
    </w:lvl>
    <w:lvl w:ilvl="5">
      <w:start w:val="1"/>
      <w:numFmt w:val="none"/>
      <w:lvlText w:val="%6."/>
      <w:lvlJc w:val="right"/>
      <w:pPr>
        <w:ind w:left="720" w:hanging="720"/>
      </w:pPr>
      <w:rPr>
        <w:rFonts w:hint="default"/>
      </w:rPr>
    </w:lvl>
    <w:lvl w:ilvl="6">
      <w:start w:val="1"/>
      <w:numFmt w:val="none"/>
      <w:lvlText w:val="%7."/>
      <w:lvlJc w:val="left"/>
      <w:pPr>
        <w:ind w:left="720" w:hanging="720"/>
      </w:pPr>
      <w:rPr>
        <w:rFonts w:hint="default"/>
      </w:rPr>
    </w:lvl>
    <w:lvl w:ilvl="7">
      <w:start w:val="1"/>
      <w:numFmt w:val="none"/>
      <w:lvlText w:val="%8."/>
      <w:lvlJc w:val="left"/>
      <w:pPr>
        <w:ind w:left="720" w:hanging="720"/>
      </w:pPr>
      <w:rPr>
        <w:rFonts w:hint="default"/>
      </w:rPr>
    </w:lvl>
    <w:lvl w:ilvl="8">
      <w:start w:val="1"/>
      <w:numFmt w:val="none"/>
      <w:lvlText w:val="%9."/>
      <w:lvlJc w:val="right"/>
      <w:pPr>
        <w:ind w:left="720" w:hanging="720"/>
      </w:pPr>
      <w:rPr>
        <w:rFonts w:hint="default"/>
      </w:rPr>
    </w:lvl>
  </w:abstractNum>
  <w:abstractNum w:abstractNumId="2">
    <w:nsid w:val="0B394240"/>
    <w:multiLevelType w:val="hybridMultilevel"/>
    <w:tmpl w:val="BA7CAB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4844595"/>
    <w:multiLevelType w:val="multilevel"/>
    <w:tmpl w:val="325EBB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B803904"/>
    <w:multiLevelType w:val="multilevel"/>
    <w:tmpl w:val="34F0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CC7328B"/>
    <w:multiLevelType w:val="multilevel"/>
    <w:tmpl w:val="82B2471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6">
    <w:nsid w:val="1E567F01"/>
    <w:multiLevelType w:val="multilevel"/>
    <w:tmpl w:val="0B2CDF40"/>
    <w:lvl w:ilvl="0">
      <w:start w:val="1"/>
      <w:numFmt w:val="upperLetter"/>
      <w:pStyle w:val="FWRecitals"/>
      <w:lvlText w:val="(%1)"/>
      <w:lvlJc w:val="left"/>
      <w:pPr>
        <w:tabs>
          <w:tab w:val="num" w:pos="720"/>
        </w:tabs>
        <w:ind w:left="720" w:hanging="720"/>
      </w:pPr>
      <w:rPr>
        <w:b w:val="0"/>
        <w:i w:val="0"/>
        <w:caps w:val="0"/>
        <w:u w:val="none"/>
      </w:rPr>
    </w:lvl>
    <w:lvl w:ilvl="1">
      <w:start w:val="1"/>
      <w:numFmt w:val="none"/>
      <w:suff w:val="nothing"/>
      <w:lvlJc w:val="left"/>
      <w:pPr>
        <w:tabs>
          <w:tab w:val="num" w:pos="720"/>
        </w:tabs>
        <w:ind w:left="0" w:firstLine="0"/>
      </w:pPr>
      <w:rPr>
        <w:b w:val="0"/>
        <w:i w:val="0"/>
        <w:caps w:val="0"/>
        <w:color w:val="auto"/>
        <w:u w:val="none"/>
      </w:rPr>
    </w:lvl>
    <w:lvl w:ilvl="2">
      <w:start w:val="1"/>
      <w:numFmt w:val="none"/>
      <w:suff w:val="nothing"/>
      <w:lvlJc w:val="left"/>
      <w:pPr>
        <w:tabs>
          <w:tab w:val="num" w:pos="720"/>
        </w:tabs>
        <w:ind w:left="0" w:firstLine="0"/>
      </w:pPr>
      <w:rPr>
        <w:b w:val="0"/>
        <w:i w:val="0"/>
        <w:caps w:val="0"/>
        <w:color w:val="auto"/>
        <w:u w:val="none"/>
      </w:rPr>
    </w:lvl>
    <w:lvl w:ilvl="3">
      <w:start w:val="1"/>
      <w:numFmt w:val="none"/>
      <w:suff w:val="nothing"/>
      <w:lvlJc w:val="left"/>
      <w:pPr>
        <w:tabs>
          <w:tab w:val="num" w:pos="720"/>
        </w:tabs>
        <w:ind w:left="0" w:firstLine="0"/>
      </w:pPr>
      <w:rPr>
        <w:b w:val="0"/>
        <w:i w:val="0"/>
        <w:caps w:val="0"/>
        <w:color w:val="auto"/>
        <w:u w:val="none"/>
      </w:rPr>
    </w:lvl>
    <w:lvl w:ilvl="4">
      <w:start w:val="1"/>
      <w:numFmt w:val="none"/>
      <w:suff w:val="nothing"/>
      <w:lvlJc w:val="left"/>
      <w:pPr>
        <w:tabs>
          <w:tab w:val="num" w:pos="720"/>
        </w:tabs>
        <w:ind w:left="0" w:firstLine="0"/>
      </w:pPr>
      <w:rPr>
        <w:rFonts w:ascii="Symbol" w:hAnsi="Symbol" w:hint="default"/>
        <w:b w:val="0"/>
        <w:i w:val="0"/>
        <w:caps w:val="0"/>
        <w:color w:val="auto"/>
        <w:u w:val="none"/>
      </w:rPr>
    </w:lvl>
    <w:lvl w:ilvl="5">
      <w:start w:val="1"/>
      <w:numFmt w:val="none"/>
      <w:suff w:val="nothing"/>
      <w:lvlJc w:val="left"/>
      <w:pPr>
        <w:tabs>
          <w:tab w:val="num" w:pos="720"/>
        </w:tabs>
        <w:ind w:left="0" w:firstLine="0"/>
      </w:pPr>
      <w:rPr>
        <w:rFonts w:ascii="Symbol" w:hAnsi="Symbol" w:hint="default"/>
        <w:b w:val="0"/>
        <w:i w:val="0"/>
        <w:caps w:val="0"/>
        <w:color w:val="auto"/>
        <w:u w:val="none"/>
      </w:rPr>
    </w:lvl>
    <w:lvl w:ilvl="6">
      <w:start w:val="1"/>
      <w:numFmt w:val="none"/>
      <w:suff w:val="nothing"/>
      <w:lvlJc w:val="left"/>
      <w:pPr>
        <w:tabs>
          <w:tab w:val="num" w:pos="720"/>
        </w:tabs>
        <w:ind w:left="0" w:firstLine="0"/>
      </w:pPr>
      <w:rPr>
        <w:rFonts w:ascii="Symbol" w:hAnsi="Symbol" w:hint="default"/>
        <w:b w:val="0"/>
        <w:i w:val="0"/>
        <w:caps w:val="0"/>
        <w:color w:val="auto"/>
        <w:u w:val="none"/>
      </w:rPr>
    </w:lvl>
    <w:lvl w:ilvl="7">
      <w:start w:val="1"/>
      <w:numFmt w:val="none"/>
      <w:suff w:val="nothing"/>
      <w:lvlJc w:val="left"/>
      <w:pPr>
        <w:tabs>
          <w:tab w:val="num" w:pos="720"/>
        </w:tabs>
        <w:ind w:left="0" w:firstLine="0"/>
      </w:pPr>
      <w:rPr>
        <w:rFonts w:ascii="Symbol" w:hAnsi="Symbol" w:hint="default"/>
        <w:b w:val="0"/>
        <w:i w:val="0"/>
        <w:caps w:val="0"/>
        <w:color w:val="auto"/>
        <w:u w:val="none"/>
      </w:rPr>
    </w:lvl>
    <w:lvl w:ilvl="8">
      <w:start w:val="1"/>
      <w:numFmt w:val="none"/>
      <w:suff w:val="nothing"/>
      <w:lvlJc w:val="left"/>
      <w:pPr>
        <w:tabs>
          <w:tab w:val="num" w:pos="720"/>
        </w:tabs>
        <w:ind w:left="0" w:firstLine="0"/>
      </w:pPr>
      <w:rPr>
        <w:rFonts w:ascii="Symbol" w:hAnsi="Symbol" w:hint="default"/>
        <w:b w:val="0"/>
        <w:i w:val="0"/>
        <w:caps w:val="0"/>
        <w:color w:val="auto"/>
        <w:u w:val="none"/>
      </w:rPr>
    </w:lvl>
  </w:abstractNum>
  <w:abstractNum w:abstractNumId="7">
    <w:nsid w:val="1E8F7C68"/>
    <w:multiLevelType w:val="multilevel"/>
    <w:tmpl w:val="0130E650"/>
    <w:lvl w:ilvl="0">
      <w:start w:val="1"/>
      <w:numFmt w:val="decimal"/>
      <w:pStyle w:val="MarginNo"/>
      <w:lvlText w:val="%1."/>
      <w:lvlJc w:val="left"/>
      <w:pPr>
        <w:ind w:left="720" w:hanging="720"/>
      </w:pPr>
      <w:rPr>
        <w:rFonts w:hint="default"/>
      </w:rPr>
    </w:lvl>
    <w:lvl w:ilvl="1">
      <w:start w:val="1"/>
      <w:numFmt w:val="none"/>
      <w:lvlText w:val="%2"/>
      <w:lvlJc w:val="left"/>
      <w:pPr>
        <w:ind w:left="720" w:hanging="720"/>
      </w:pPr>
      <w:rPr>
        <w:rFonts w:hint="default"/>
      </w:rPr>
    </w:lvl>
    <w:lvl w:ilvl="2">
      <w:start w:val="1"/>
      <w:numFmt w:val="none"/>
      <w:lvlText w:val="%3"/>
      <w:lvlJc w:val="right"/>
      <w:pPr>
        <w:ind w:left="720" w:hanging="720"/>
      </w:pPr>
      <w:rPr>
        <w:rFonts w:hint="default"/>
      </w:rPr>
    </w:lvl>
    <w:lvl w:ilvl="3">
      <w:start w:val="1"/>
      <w:numFmt w:val="none"/>
      <w:lvlText w:val="%4"/>
      <w:lvlJc w:val="left"/>
      <w:pPr>
        <w:ind w:left="720" w:hanging="720"/>
      </w:pPr>
      <w:rPr>
        <w:rFonts w:hint="default"/>
      </w:rPr>
    </w:lvl>
    <w:lvl w:ilvl="4">
      <w:start w:val="1"/>
      <w:numFmt w:val="none"/>
      <w:lvlText w:val="%5"/>
      <w:lvlJc w:val="left"/>
      <w:pPr>
        <w:ind w:left="720" w:hanging="720"/>
      </w:pPr>
      <w:rPr>
        <w:rFonts w:hint="default"/>
      </w:rPr>
    </w:lvl>
    <w:lvl w:ilvl="5">
      <w:start w:val="1"/>
      <w:numFmt w:val="none"/>
      <w:lvlText w:val="%6"/>
      <w:lvlJc w:val="right"/>
      <w:pPr>
        <w:ind w:left="720" w:hanging="720"/>
      </w:pPr>
      <w:rPr>
        <w:rFonts w:hint="default"/>
      </w:rPr>
    </w:lvl>
    <w:lvl w:ilvl="6">
      <w:start w:val="1"/>
      <w:numFmt w:val="none"/>
      <w:lvlText w:val="%7"/>
      <w:lvlJc w:val="left"/>
      <w:pPr>
        <w:ind w:left="720" w:hanging="720"/>
      </w:pPr>
      <w:rPr>
        <w:rFonts w:hint="default"/>
      </w:rPr>
    </w:lvl>
    <w:lvl w:ilvl="7">
      <w:start w:val="1"/>
      <w:numFmt w:val="none"/>
      <w:lvlText w:val="%8"/>
      <w:lvlJc w:val="left"/>
      <w:pPr>
        <w:ind w:left="720" w:hanging="720"/>
      </w:pPr>
      <w:rPr>
        <w:rFonts w:hint="default"/>
      </w:rPr>
    </w:lvl>
    <w:lvl w:ilvl="8">
      <w:start w:val="1"/>
      <w:numFmt w:val="none"/>
      <w:lvlText w:val="%9"/>
      <w:lvlJc w:val="right"/>
      <w:pPr>
        <w:ind w:left="720" w:hanging="720"/>
      </w:pPr>
      <w:rPr>
        <w:rFonts w:hint="default"/>
      </w:rPr>
    </w:lvl>
  </w:abstractNum>
  <w:abstractNum w:abstractNumId="8">
    <w:nsid w:val="1EC767A4"/>
    <w:multiLevelType w:val="hybridMultilevel"/>
    <w:tmpl w:val="73027572"/>
    <w:lvl w:ilvl="0">
      <w:start w:val="1"/>
      <w:numFmt w:val="lowerRoman"/>
      <w:lvlText w:val="(%1)"/>
      <w:lvlJc w:val="left"/>
      <w:pPr>
        <w:ind w:left="720" w:hanging="360"/>
      </w:pPr>
      <w:rPr>
        <w:rFonts w:ascii="Verdana" w:hAnsi="Verdana" w:cs="Verdana" w:hint="default"/>
        <w:b w:val="0"/>
        <w:i w:val="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EF01916"/>
    <w:multiLevelType w:val="multilevel"/>
    <w:tmpl w:val="32125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A1F170D"/>
    <w:multiLevelType w:val="hybridMultilevel"/>
    <w:tmpl w:val="F552E0B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2CEB7D97"/>
    <w:multiLevelType w:val="multilevel"/>
    <w:tmpl w:val="D1F2DC8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2">
    <w:nsid w:val="2EBF1681"/>
    <w:multiLevelType w:val="hybridMultilevel"/>
    <w:tmpl w:val="33F841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EF07B26"/>
    <w:multiLevelType w:val="multilevel"/>
    <w:tmpl w:val="6EDEC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0D10D16"/>
    <w:multiLevelType w:val="multilevel"/>
    <w:tmpl w:val="66B84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67266A1"/>
    <w:multiLevelType w:val="multilevel"/>
    <w:tmpl w:val="8C1C8988"/>
    <w:name w:val="zzmpFirm3||Firm 3|2|3|1|1|2|33||1|2|1||1|2|32||1|2|32||1|2|32||1|2|32||1|2|32||1|2|32||1|2|32||"/>
    <w:lvl w:ilvl="0">
      <w:start w:val="1"/>
      <w:numFmt w:val="decimal"/>
      <w:pStyle w:val="Firm3L1"/>
      <w:lvlText w:val="%1."/>
      <w:lvlJc w:val="left"/>
      <w:pPr>
        <w:tabs>
          <w:tab w:val="num" w:pos="1855"/>
        </w:tabs>
        <w:ind w:left="1855" w:hanging="720"/>
      </w:pPr>
      <w:rPr>
        <w:b w:val="0"/>
        <w:bCs/>
        <w:i w:val="0"/>
        <w:caps w:val="0"/>
        <w:u w:val="none"/>
      </w:rPr>
    </w:lvl>
    <w:lvl w:ilvl="1">
      <w:start w:val="1"/>
      <w:numFmt w:val="decimal"/>
      <w:pStyle w:val="Firm3L2"/>
      <w:lvlText w:val="%1.%2"/>
      <w:lvlJc w:val="left"/>
      <w:pPr>
        <w:tabs>
          <w:tab w:val="num" w:pos="2422"/>
        </w:tabs>
        <w:ind w:left="2422" w:hanging="720"/>
      </w:pPr>
      <w:rPr>
        <w:b w:val="0"/>
        <w:bCs/>
        <w:i w:val="0"/>
        <w:caps w:val="0"/>
        <w:u w:val="none"/>
      </w:rPr>
    </w:lvl>
    <w:lvl w:ilvl="2">
      <w:start w:val="1"/>
      <w:numFmt w:val="lowerLetter"/>
      <w:pStyle w:val="Firm3L3"/>
      <w:lvlText w:val="(%3)"/>
      <w:lvlJc w:val="left"/>
      <w:pPr>
        <w:tabs>
          <w:tab w:val="num" w:pos="1440"/>
        </w:tabs>
        <w:ind w:left="1440" w:hanging="720"/>
      </w:pPr>
      <w:rPr>
        <w:b w:val="0"/>
        <w:i w:val="0"/>
        <w:caps w:val="0"/>
        <w:u w:val="none"/>
      </w:rPr>
    </w:lvl>
    <w:lvl w:ilvl="3">
      <w:start w:val="1"/>
      <w:numFmt w:val="lowerRoman"/>
      <w:pStyle w:val="Firm3L4"/>
      <w:lvlText w:val="(%4)"/>
      <w:lvlJc w:val="left"/>
      <w:pPr>
        <w:tabs>
          <w:tab w:val="num" w:pos="2160"/>
        </w:tabs>
        <w:ind w:left="2160" w:hanging="720"/>
      </w:pPr>
      <w:rPr>
        <w:b w:val="0"/>
        <w:i w:val="0"/>
        <w:caps w:val="0"/>
        <w:u w:val="none"/>
      </w:rPr>
    </w:lvl>
    <w:lvl w:ilvl="4">
      <w:start w:val="1"/>
      <w:numFmt w:val="upperLetter"/>
      <w:pStyle w:val="Firm3L5"/>
      <w:lvlText w:val="(%5)"/>
      <w:lvlJc w:val="left"/>
      <w:pPr>
        <w:tabs>
          <w:tab w:val="num" w:pos="2880"/>
        </w:tabs>
        <w:ind w:left="2880" w:hanging="720"/>
      </w:pPr>
      <w:rPr>
        <w:b w:val="0"/>
        <w:i w:val="0"/>
        <w:caps w:val="0"/>
        <w:u w:val="none"/>
      </w:rPr>
    </w:lvl>
    <w:lvl w:ilvl="5">
      <w:start w:val="1"/>
      <w:numFmt w:val="upperRoman"/>
      <w:pStyle w:val="Firm3L6"/>
      <w:lvlText w:val="(%6)"/>
      <w:lvlJc w:val="left"/>
      <w:pPr>
        <w:tabs>
          <w:tab w:val="num" w:pos="3600"/>
        </w:tabs>
        <w:ind w:left="3600" w:hanging="720"/>
      </w:pPr>
      <w:rPr>
        <w:b w:val="0"/>
        <w:i w:val="0"/>
        <w:caps w:val="0"/>
        <w:u w:val="none"/>
      </w:rPr>
    </w:lvl>
    <w:lvl w:ilvl="6">
      <w:start w:val="27"/>
      <w:numFmt w:val="lowerLetter"/>
      <w:pStyle w:val="Firm3L7"/>
      <w:lvlText w:val="(%7)"/>
      <w:lvlJc w:val="left"/>
      <w:pPr>
        <w:tabs>
          <w:tab w:val="num" w:pos="4320"/>
        </w:tabs>
        <w:ind w:left="4320" w:hanging="720"/>
      </w:pPr>
      <w:rPr>
        <w:b w:val="0"/>
        <w:i w:val="0"/>
        <w:caps w:val="0"/>
        <w:u w:val="none"/>
      </w:rPr>
    </w:lvl>
    <w:lvl w:ilvl="7">
      <w:start w:val="1"/>
      <w:numFmt w:val="bullet"/>
      <w:lvlRestart w:val="0"/>
      <w:pStyle w:val="Firm3L8"/>
      <w:lvlText w:val="·"/>
      <w:lvlJc w:val="left"/>
      <w:pPr>
        <w:tabs>
          <w:tab w:val="num" w:pos="720"/>
        </w:tabs>
        <w:ind w:left="720" w:hanging="720"/>
      </w:pPr>
      <w:rPr>
        <w:rFonts w:ascii="Symbol" w:hAnsi="Symbol" w:hint="default"/>
        <w:b w:val="0"/>
        <w:i w:val="0"/>
        <w:caps w:val="0"/>
        <w:u w:val="none"/>
      </w:rPr>
    </w:lvl>
    <w:lvl w:ilvl="8">
      <w:start w:val="1"/>
      <w:numFmt w:val="bullet"/>
      <w:lvlRestart w:val="0"/>
      <w:pStyle w:val="Firm3L9"/>
      <w:lvlText w:val="·"/>
      <w:lvlJc w:val="left"/>
      <w:pPr>
        <w:tabs>
          <w:tab w:val="num" w:pos="1440"/>
        </w:tabs>
        <w:ind w:left="1440" w:hanging="720"/>
      </w:pPr>
      <w:rPr>
        <w:rFonts w:ascii="Symbol" w:hAnsi="Symbol" w:hint="default"/>
        <w:b w:val="0"/>
        <w:i w:val="0"/>
        <w:caps w:val="0"/>
        <w:u w:val="none"/>
      </w:rPr>
    </w:lvl>
  </w:abstractNum>
  <w:abstractNum w:abstractNumId="16">
    <w:nsid w:val="3C7D4213"/>
    <w:multiLevelType w:val="hybridMultilevel"/>
    <w:tmpl w:val="A5FE81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03456F6"/>
    <w:multiLevelType w:val="hybridMultilevel"/>
    <w:tmpl w:val="DB9475B4"/>
    <w:lvl w:ilvl="0">
      <w:start w:val="1"/>
      <w:numFmt w:val="lowerRoman"/>
      <w:lvlText w:val="(%1)"/>
      <w:lvlJc w:val="left"/>
      <w:pPr>
        <w:ind w:left="720" w:hanging="360"/>
      </w:pPr>
      <w:rPr>
        <w:rFonts w:ascii="Verdana" w:hAnsi="Verdana" w:cs="Verdana" w:hint="default"/>
        <w:b w:val="0"/>
        <w:i w:val="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E1004A1"/>
    <w:multiLevelType w:val="hybridMultilevel"/>
    <w:tmpl w:val="598835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FFC4539"/>
    <w:multiLevelType w:val="hybridMultilevel"/>
    <w:tmpl w:val="20F25308"/>
    <w:lvl w:ilvl="0">
      <w:start w:val="2"/>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501E46B9"/>
    <w:multiLevelType w:val="hybridMultilevel"/>
    <w:tmpl w:val="C23AD78C"/>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nsid w:val="52A96B24"/>
    <w:multiLevelType w:val="multilevel"/>
    <w:tmpl w:val="E77E50F6"/>
    <w:lvl w:ilvl="0">
      <w:start w:val="1"/>
      <w:numFmt w:val="bullet"/>
      <w:lvlText w:val=""/>
      <w:lvlJc w:val="left"/>
      <w:pPr>
        <w:ind w:left="720" w:hanging="72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pStyle w:val="ListBullet3"/>
      <w:lvlText w:val=""/>
      <w:lvlJc w:val="left"/>
      <w:pPr>
        <w:ind w:left="2160" w:hanging="720"/>
      </w:pPr>
      <w:rPr>
        <w:rFonts w:ascii="Symbol" w:hAnsi="Symbol" w:hint="default"/>
        <w:color w:val="auto"/>
      </w:rPr>
    </w:lvl>
    <w:lvl w:ilvl="3">
      <w:start w:val="1"/>
      <w:numFmt w:val="bullet"/>
      <w:pStyle w:val="ListBullet4"/>
      <w:lvlText w:val=""/>
      <w:lvlJc w:val="left"/>
      <w:pPr>
        <w:ind w:left="2880" w:hanging="720"/>
      </w:pPr>
      <w:rPr>
        <w:rFonts w:ascii="Symbol" w:hAnsi="Symbol" w:hint="default"/>
        <w:color w:val="auto"/>
      </w:rPr>
    </w:lvl>
    <w:lvl w:ilvl="4">
      <w:start w:val="1"/>
      <w:numFmt w:val="bullet"/>
      <w:pStyle w:val="ListBullet5"/>
      <w:lvlText w:val=""/>
      <w:lvlJc w:val="left"/>
      <w:pPr>
        <w:ind w:left="3600" w:hanging="720"/>
      </w:pPr>
      <w:rPr>
        <w:rFonts w:ascii="Symbol" w:hAnsi="Symbol" w:hint="default"/>
        <w:color w:val="auto"/>
      </w:rPr>
    </w:lvl>
    <w:lvl w:ilvl="5">
      <w:start w:val="1"/>
      <w:numFmt w:val="bullet"/>
      <w:pStyle w:val="ListBullet6"/>
      <w:lvlText w:val=""/>
      <w:lvlJc w:val="left"/>
      <w:pPr>
        <w:ind w:left="4320" w:hanging="720"/>
      </w:pPr>
      <w:rPr>
        <w:rFonts w:ascii="Wingdings" w:hAnsi="Wingdings" w:hint="default"/>
      </w:rPr>
    </w:lvl>
    <w:lvl w:ilvl="6">
      <w:start w:val="1"/>
      <w:numFmt w:val="bullet"/>
      <w:pStyle w:val="ListBullet7"/>
      <w:lvlText w:val=""/>
      <w:lvlJc w:val="left"/>
      <w:pPr>
        <w:ind w:left="5040" w:hanging="720"/>
      </w:pPr>
      <w:rPr>
        <w:rFonts w:ascii="Symbol" w:hAnsi="Symbol" w:hint="default"/>
      </w:rPr>
    </w:lvl>
    <w:lvl w:ilvl="7">
      <w:start w:val="1"/>
      <w:numFmt w:val="bullet"/>
      <w:pStyle w:val="ListBullet8"/>
      <w:lvlText w:val="o"/>
      <w:lvlJc w:val="left"/>
      <w:pPr>
        <w:ind w:left="5760" w:hanging="720"/>
      </w:pPr>
      <w:rPr>
        <w:rFonts w:ascii="Courier New" w:hAnsi="Courier New" w:hint="default"/>
      </w:rPr>
    </w:lvl>
    <w:lvl w:ilvl="8">
      <w:start w:val="1"/>
      <w:numFmt w:val="bullet"/>
      <w:pStyle w:val="ListBullet9"/>
      <w:lvlText w:val=""/>
      <w:lvlJc w:val="left"/>
      <w:pPr>
        <w:ind w:left="6480" w:hanging="720"/>
      </w:pPr>
      <w:rPr>
        <w:rFonts w:ascii="Wingdings" w:hAnsi="Wingdings" w:hint="default"/>
      </w:rPr>
    </w:lvl>
  </w:abstractNum>
  <w:abstractNum w:abstractNumId="22">
    <w:nsid w:val="52F837BD"/>
    <w:multiLevelType w:val="multilevel"/>
    <w:tmpl w:val="C9FED34A"/>
    <w:lvl w:ilvl="0">
      <w:start w:val="1"/>
      <w:numFmt w:val="decimal"/>
      <w:pStyle w:val="Randziffer"/>
      <w:lvlText w:val="(%1)"/>
      <w:lvlJc w:val="left"/>
      <w:pPr>
        <w:ind w:left="720" w:hanging="720"/>
      </w:pPr>
      <w:rPr>
        <w:rFonts w:hint="default"/>
      </w:rPr>
    </w:lvl>
    <w:lvl w:ilvl="1">
      <w:start w:val="1"/>
      <w:numFmt w:val="none"/>
      <w:lvlText w:val="%2"/>
      <w:lvlJc w:val="left"/>
      <w:pPr>
        <w:ind w:left="720" w:hanging="720"/>
      </w:pPr>
      <w:rPr>
        <w:rFonts w:hint="default"/>
      </w:rPr>
    </w:lvl>
    <w:lvl w:ilvl="2">
      <w:start w:val="1"/>
      <w:numFmt w:val="none"/>
      <w:lvlText w:val="%3"/>
      <w:lvlJc w:val="left"/>
      <w:pPr>
        <w:ind w:left="720" w:hanging="720"/>
      </w:pPr>
      <w:rPr>
        <w:rFonts w:hint="default"/>
      </w:rPr>
    </w:lvl>
    <w:lvl w:ilvl="3">
      <w:start w:val="1"/>
      <w:numFmt w:val="none"/>
      <w:lvlJc w:val="left"/>
      <w:pPr>
        <w:ind w:left="720" w:hanging="720"/>
      </w:pPr>
      <w:rPr>
        <w:rFonts w:hint="default"/>
      </w:rPr>
    </w:lvl>
    <w:lvl w:ilvl="4">
      <w:start w:val="1"/>
      <w:numFmt w:val="none"/>
      <w:lvlJc w:val="left"/>
      <w:pPr>
        <w:ind w:left="720" w:hanging="720"/>
      </w:pPr>
      <w:rPr>
        <w:rFonts w:hint="default"/>
      </w:rPr>
    </w:lvl>
    <w:lvl w:ilvl="5">
      <w:start w:val="1"/>
      <w:numFmt w:val="none"/>
      <w:lvlJc w:val="left"/>
      <w:pPr>
        <w:ind w:left="720" w:hanging="720"/>
      </w:pPr>
      <w:rPr>
        <w:rFonts w:hint="default"/>
      </w:rPr>
    </w:lvl>
    <w:lvl w:ilvl="6">
      <w:start w:val="1"/>
      <w:numFmt w:val="none"/>
      <w:lvlJc w:val="left"/>
      <w:pPr>
        <w:ind w:left="720" w:hanging="720"/>
      </w:pPr>
      <w:rPr>
        <w:rFonts w:hint="default"/>
      </w:rPr>
    </w:lvl>
    <w:lvl w:ilvl="7">
      <w:start w:val="1"/>
      <w:numFmt w:val="none"/>
      <w:lvlJc w:val="left"/>
      <w:pPr>
        <w:ind w:left="720" w:hanging="720"/>
      </w:pPr>
      <w:rPr>
        <w:rFonts w:hint="default"/>
      </w:rPr>
    </w:lvl>
    <w:lvl w:ilvl="8">
      <w:start w:val="1"/>
      <w:numFmt w:val="none"/>
      <w:lvlJc w:val="left"/>
      <w:pPr>
        <w:ind w:left="720" w:hanging="720"/>
      </w:pPr>
      <w:rPr>
        <w:rFonts w:hint="default"/>
      </w:rPr>
    </w:lvl>
  </w:abstractNum>
  <w:abstractNum w:abstractNumId="23">
    <w:nsid w:val="574838F5"/>
    <w:multiLevelType w:val="multilevel"/>
    <w:tmpl w:val="798E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7E41126"/>
    <w:multiLevelType w:val="hybridMultilevel"/>
    <w:tmpl w:val="357673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8033E75"/>
    <w:multiLevelType w:val="multilevel"/>
    <w:tmpl w:val="B0A433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AFC41B1"/>
    <w:multiLevelType w:val="multilevel"/>
    <w:tmpl w:val="B7D60D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DFF4186"/>
    <w:multiLevelType w:val="hybridMultilevel"/>
    <w:tmpl w:val="EB48DFE2"/>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7E29483B"/>
    <w:multiLevelType w:val="hybridMultilevel"/>
    <w:tmpl w:val="985CB158"/>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6"/>
  </w:num>
  <w:num w:numId="2">
    <w:abstractNumId w:val="1"/>
  </w:num>
  <w:num w:numId="3">
    <w:abstractNumId w:val="7"/>
  </w:num>
  <w:num w:numId="4">
    <w:abstractNumId w:val="21"/>
  </w:num>
  <w:num w:numId="5">
    <w:abstractNumId w:val="22"/>
  </w:num>
  <w:num w:numId="6">
    <w:abstractNumId w:val="26"/>
  </w:num>
  <w:num w:numId="7">
    <w:abstractNumId w:val="13"/>
  </w:num>
  <w:num w:numId="8">
    <w:abstractNumId w:val="3"/>
  </w:num>
  <w:num w:numId="9">
    <w:abstractNumId w:val="18"/>
  </w:num>
  <w:num w:numId="10">
    <w:abstractNumId w:val="16"/>
  </w:num>
  <w:num w:numId="11">
    <w:abstractNumId w:val="28"/>
  </w:num>
  <w:num w:numId="12">
    <w:abstractNumId w:val="15"/>
  </w:num>
  <w:num w:numId="13">
    <w:abstractNumId w:val="9"/>
  </w:num>
  <w:num w:numId="14">
    <w:abstractNumId w:val="5"/>
  </w:num>
  <w:num w:numId="15">
    <w:abstractNumId w:val="11"/>
  </w:num>
  <w:num w:numId="16">
    <w:abstractNumId w:val="23"/>
  </w:num>
  <w:num w:numId="17">
    <w:abstractNumId w:val="4"/>
  </w:num>
  <w:num w:numId="18">
    <w:abstractNumId w:val="25"/>
  </w:num>
  <w:num w:numId="19">
    <w:abstractNumId w:val="14"/>
  </w:num>
  <w:num w:numId="20">
    <w:abstractNumId w:val="27"/>
  </w:num>
  <w:num w:numId="21">
    <w:abstractNumId w:val="20"/>
  </w:num>
  <w:num w:numId="22">
    <w:abstractNumId w:val="10"/>
  </w:num>
  <w:num w:numId="23">
    <w:abstractNumId w:val="0"/>
  </w:num>
  <w:num w:numId="24">
    <w:abstractNumId w:val="24"/>
  </w:num>
  <w:num w:numId="25">
    <w:abstractNumId w:val="2"/>
  </w:num>
  <w:num w:numId="26">
    <w:abstractNumId w:val="12"/>
  </w:num>
  <w:num w:numId="27">
    <w:abstractNumId w:val="17"/>
  </w:num>
  <w:num w:numId="28">
    <w:abstractNumId w:val="8"/>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oNotTrackMoves/>
  <w:defaultTabStop w:val="720"/>
  <w:characterSpacingControl w:val="doNotCompress"/>
  <w:footnotePr>
    <w:footnote w:id="0"/>
    <w:footnote w:id="1"/>
  </w:foot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rruptionNotice" w:val="30/03/2026"/>
    <w:docVar w:name="ForteTempFile" w:val="C:\Users\a-rkora\AppData\Local\Temp\27\c94a2ce9-7219-4b43-b3c7-433685d2e81c.docx"/>
    <w:docVar w:name="zzmp10LastTrailerInserted" w:val="^`~#mp!@ HU#&quot;┛┬;7@śm†åQÉH⌕‭×¦p3}(={jÄ⌗(,!)Ñ⌏⌗vQp⁀&lt;†ſ¸@(ØÿäÀ⌛Æ¥⌛×XK⌖Ú~ùóK6:oºªà°«a¹uÝu4ÿ¯¬⌜⌚á2X­ZáÄu´Èz!»Ý‡⌇ëF·JF․ûb±Ü®iÆ¨lƆÒïƚÊŨÊ_ÞpHWW­″⌞⁂Õ,Ö˟Ñ⁁IƄ¿@!ÑƚM⌠lc⌠g⌇íºãÔ}e»}JWÌ6,;f&lt;+Ýnß&lt;″íè4‟ß=⌒¼ÇtÖ#⌗yÞ{ ⁂⌘tˤ.ý+³ÑÏBãi°⌞¸⌝‽⌌․=á⌚8Þś⌡[⌄ÿ⌜²1Yq¯@_·Ùxç$&lt;-?E ûõS⌔E UGT0yÔåûjË#,8Ä$Ó2⌒ü ®dØÇíøZë⌝|⌖ÃµñN¬‛xßø⌐º+Æ†x\ ù%`ç^⌂¤⁂szZ&lt;-RPö:¤1⌛Ó_Ðô⌈Ŗ]X¼)k6·&lt;ÆÜ⌡⌈ê⌅⌌ìâ⁂=011"/>
    <w:docVar w:name="zzmp10LastTrailerInserted_2832" w:val="^`~#mp!@ HU#&quot;┛┬;7@śm†åQÉH⌕‭×¦p3}(={jÄ⌗(,!)Ñ⌏⌗vQp⁀&lt;†ſ¸@(ØÿäÀ⌛Æ¥⌛×XK⌖Ú~ùóK6:oºªà°«a¹uÝu4ÿ¯¬⌜⌚á2X­ZáÄu´Èz!»Ý‡⌇ëF·JF․ûb±Ü®iÆ¨lƆÒïƚÊŨÊ_ÞpHWW­″⌞⁂Õ,Ö˟Ñ⁁IƄ¿@!ÑƚM⌠lc⌠g⌇íºãÔ}e»}JWÌ6,;f&lt;+Ýnß&lt;″íè4‟ß=⌒¼ÇtÖ#⌗yÞ{ ⁂⌘tˤ.ý+³ÑÏBãi°⌞¸⌝‽⌌․=á⌚8Þś⌡[⌄ÿ⌜²1Yq¯@_·Ùxç$&lt;-?E ûõS⌔E UGT0yÔåûjË#,8Ä$Ó2⌒ü ®dØÇíøZë⌝|⌖ÃµñN¬‛xßø⌐º+Æ†x\ ù%`ç^⌂¤⁂szZ&lt;-RPö:¤1⌛Ó_Ðô⌈Ŗ]X¼)k6·&lt;ÆÜ⌡⌈ê⌅⌌ìâ⁂=011"/>
    <w:docVar w:name="zzmp10mSEGsValidated" w:val="1"/>
    <w:docVar w:name="zzmpCompatibilityMode" w:val="15"/>
    <w:docVar w:name="zzmpFirm3" w:val="||Firm 3|2|3|1|1|2|33||1|2|1||1|2|32||1|2|32||1|2|32||1|2|32||1|2|32||1|2|32||1|2|32||"/>
    <w:docVar w:name="zzmpFixedCurScheme" w:val="Firm3"/>
    <w:docVar w:name="zzmpFixedCurScheme_9.0" w:val="2zzmpFirm3"/>
    <w:docVar w:name="zzmpLegacyTrailerRemoved" w:val="True"/>
    <w:docVar w:name="zzmpLTFontsClean" w:val="0.2665979"/>
    <w:docVar w:name="zzmpnSession" w:val="0.431225"/>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3"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 w:unhideWhenUsed="1"/>
    <w:lsdException w:name="toc 2" w:semiHidden="1" w:uiPriority="4" w:unhideWhenUsed="1"/>
    <w:lsdException w:name="toc 3" w:semiHidden="1" w:uiPriority="4"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7" w:unhideWhenUsed="1"/>
    <w:lsdException w:name="annotation text" w:semiHidden="1" w:unhideWhenUsed="1"/>
    <w:lsdException w:name="header" w:semiHidden="1" w:unhideWhenUsed="1"/>
    <w:lsdException w:name="footer" w:semiHidden="1" w:uiPriority="7"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7"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7" w:unhideWhenUsed="1"/>
    <w:lsdException w:name="Date" w:semiHidden="1" w:uiPriority="9" w:unhideWhenUsed="1"/>
    <w:lsdException w:name="Body Text First Indent" w:semiHidden="1" w:uiPriority="0"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4"/>
    <w:rsid w:val="00E77422"/>
    <w:pPr>
      <w:spacing w:after="0" w:line="240" w:lineRule="auto"/>
    </w:pPr>
    <w:rPr>
      <w:rFonts w:ascii="Verdana" w:eastAsia="Times New Roman" w:hAnsi="Verdana" w:cs="Times New Roman"/>
      <w:sz w:val="20"/>
      <w:szCs w:val="24"/>
      <w:lang w:val="en-GB"/>
    </w:rPr>
  </w:style>
  <w:style w:type="paragraph" w:styleId="Heading1">
    <w:name w:val="heading 1"/>
    <w:basedOn w:val="BodyText"/>
    <w:next w:val="BodyText"/>
    <w:link w:val="Heading1Char"/>
    <w:uiPriority w:val="3"/>
    <w:qFormat/>
    <w:rsid w:val="0035044D"/>
    <w:pPr>
      <w:keepNext/>
      <w:keepLines/>
      <w:jc w:val="left"/>
      <w:outlineLvl w:val="0"/>
    </w:pPr>
    <w:rPr>
      <w:b/>
      <w:caps/>
    </w:rPr>
  </w:style>
  <w:style w:type="paragraph" w:styleId="Heading2">
    <w:name w:val="heading 2"/>
    <w:basedOn w:val="BodyText"/>
    <w:next w:val="BodyText"/>
    <w:link w:val="Heading2Char"/>
    <w:uiPriority w:val="3"/>
    <w:qFormat/>
    <w:rsid w:val="0035044D"/>
    <w:pPr>
      <w:keepNext/>
      <w:keepLines/>
      <w:jc w:val="left"/>
      <w:outlineLvl w:val="1"/>
    </w:pPr>
    <w:rPr>
      <w:b/>
      <w:smallCaps/>
    </w:rPr>
  </w:style>
  <w:style w:type="paragraph" w:styleId="Heading3">
    <w:name w:val="heading 3"/>
    <w:basedOn w:val="BodyText"/>
    <w:next w:val="BodyText"/>
    <w:link w:val="Heading3Char"/>
    <w:uiPriority w:val="3"/>
    <w:qFormat/>
    <w:rsid w:val="0035044D"/>
    <w:pPr>
      <w:keepNext/>
      <w:keepLines/>
      <w:jc w:val="left"/>
      <w:outlineLvl w:val="2"/>
    </w:pPr>
    <w:rPr>
      <w:b/>
    </w:rPr>
  </w:style>
  <w:style w:type="paragraph" w:styleId="Heading4">
    <w:name w:val="heading 4"/>
    <w:basedOn w:val="Heading3"/>
    <w:next w:val="BodyText"/>
    <w:link w:val="Heading4Char"/>
    <w:uiPriority w:val="3"/>
    <w:qFormat/>
    <w:rsid w:val="0035044D"/>
    <w:pPr>
      <w:outlineLvl w:val="3"/>
    </w:pPr>
  </w:style>
  <w:style w:type="paragraph" w:styleId="Heading5">
    <w:name w:val="heading 5"/>
    <w:basedOn w:val="BodyText"/>
    <w:next w:val="BodyText"/>
    <w:link w:val="Heading5Char"/>
    <w:uiPriority w:val="3"/>
    <w:qFormat/>
    <w:rsid w:val="0035044D"/>
    <w:pPr>
      <w:keepNext/>
      <w:keepLines/>
      <w:jc w:val="center"/>
      <w:outlineLvl w:val="4"/>
    </w:pPr>
    <w:rPr>
      <w:b/>
      <w:caps/>
    </w:rPr>
  </w:style>
  <w:style w:type="paragraph" w:styleId="Heading6">
    <w:name w:val="heading 6"/>
    <w:basedOn w:val="BodyText"/>
    <w:next w:val="BodyText"/>
    <w:link w:val="Heading6Char"/>
    <w:uiPriority w:val="3"/>
    <w:qFormat/>
    <w:rsid w:val="0035044D"/>
    <w:pPr>
      <w:keepNext/>
      <w:jc w:val="center"/>
      <w:outlineLvl w:val="5"/>
    </w:pPr>
    <w:rPr>
      <w:b/>
    </w:rPr>
  </w:style>
  <w:style w:type="paragraph" w:styleId="Heading7">
    <w:name w:val="heading 7"/>
    <w:basedOn w:val="BodyText"/>
    <w:next w:val="BodyText"/>
    <w:link w:val="Heading7Char"/>
    <w:semiHidden/>
    <w:rsid w:val="0035044D"/>
    <w:pPr>
      <w:keepNext/>
      <w:keepLines/>
      <w:outlineLvl w:val="6"/>
    </w:pPr>
  </w:style>
  <w:style w:type="paragraph" w:styleId="Heading8">
    <w:name w:val="heading 8"/>
    <w:basedOn w:val="BodyText"/>
    <w:next w:val="BodyText"/>
    <w:link w:val="Heading8Char"/>
    <w:semiHidden/>
    <w:rsid w:val="0035044D"/>
    <w:pPr>
      <w:jc w:val="left"/>
      <w:outlineLvl w:val="7"/>
    </w:pPr>
  </w:style>
  <w:style w:type="paragraph" w:styleId="Heading9">
    <w:name w:val="heading 9"/>
    <w:basedOn w:val="BodyText"/>
    <w:next w:val="Normal"/>
    <w:link w:val="Heading9Char"/>
    <w:semiHidden/>
    <w:rsid w:val="0035044D"/>
    <w:p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5044D"/>
    <w:pPr>
      <w:spacing w:after="180" w:line="280" w:lineRule="atLeast"/>
      <w:jc w:val="both"/>
    </w:pPr>
  </w:style>
  <w:style w:type="character" w:customStyle="1" w:styleId="BodyTextChar">
    <w:name w:val="Body Text Char"/>
    <w:basedOn w:val="DefaultParagraphFont"/>
    <w:link w:val="BodyText"/>
    <w:rsid w:val="0035044D"/>
    <w:rPr>
      <w:rFonts w:ascii="Times New Roman" w:eastAsia="Times New Roman" w:hAnsi="Times New Roman" w:cs="Times New Roman"/>
      <w:sz w:val="24"/>
      <w:szCs w:val="24"/>
      <w:lang w:val="en-GB"/>
    </w:rPr>
  </w:style>
  <w:style w:type="paragraph" w:styleId="Footer">
    <w:name w:val="footer"/>
    <w:basedOn w:val="BodyText"/>
    <w:link w:val="FooterChar"/>
    <w:uiPriority w:val="7"/>
    <w:unhideWhenUsed/>
    <w:rsid w:val="0012690D"/>
    <w:pPr>
      <w:tabs>
        <w:tab w:val="right" w:pos="9029"/>
      </w:tabs>
      <w:spacing w:after="0"/>
    </w:pPr>
    <w:rPr>
      <w:sz w:val="14"/>
    </w:rPr>
  </w:style>
  <w:style w:type="character" w:customStyle="1" w:styleId="FooterChar">
    <w:name w:val="Footer Char"/>
    <w:basedOn w:val="DefaultParagraphFont"/>
    <w:link w:val="Footer"/>
    <w:uiPriority w:val="7"/>
    <w:rsid w:val="0012690D"/>
    <w:rPr>
      <w:rFonts w:ascii="Verdana" w:eastAsia="Times New Roman" w:hAnsi="Verdana" w:cs="Times New Roman"/>
      <w:sz w:val="14"/>
      <w:szCs w:val="24"/>
      <w:lang w:val="en-GB"/>
    </w:rPr>
  </w:style>
  <w:style w:type="paragraph" w:styleId="Header">
    <w:name w:val="header"/>
    <w:basedOn w:val="BodyText"/>
    <w:link w:val="HeaderChar"/>
    <w:uiPriority w:val="99"/>
    <w:rsid w:val="0035044D"/>
    <w:pPr>
      <w:tabs>
        <w:tab w:val="right" w:pos="8280"/>
      </w:tabs>
      <w:spacing w:after="0"/>
      <w:jc w:val="right"/>
    </w:pPr>
    <w:rPr>
      <w:sz w:val="16"/>
    </w:rPr>
  </w:style>
  <w:style w:type="character" w:customStyle="1" w:styleId="HeaderChar">
    <w:name w:val="Header Char"/>
    <w:basedOn w:val="DefaultParagraphFont"/>
    <w:link w:val="Header"/>
    <w:uiPriority w:val="99"/>
    <w:rsid w:val="0035044D"/>
    <w:rPr>
      <w:rFonts w:ascii="Times New Roman" w:eastAsia="Times New Roman" w:hAnsi="Times New Roman" w:cs="Times New Roman"/>
      <w:sz w:val="16"/>
      <w:szCs w:val="24"/>
      <w:lang w:val="en-GB"/>
    </w:rPr>
  </w:style>
  <w:style w:type="character" w:customStyle="1" w:styleId="Heading1Char">
    <w:name w:val="Heading 1 Char"/>
    <w:basedOn w:val="DefaultParagraphFont"/>
    <w:link w:val="Heading1"/>
    <w:uiPriority w:val="3"/>
    <w:rsid w:val="0035044D"/>
    <w:rPr>
      <w:rFonts w:ascii="Times New Roman" w:eastAsia="Times New Roman" w:hAnsi="Times New Roman" w:cs="Times New Roman"/>
      <w:b/>
      <w:caps/>
      <w:sz w:val="24"/>
      <w:szCs w:val="24"/>
      <w:lang w:val="en-GB"/>
    </w:rPr>
  </w:style>
  <w:style w:type="character" w:customStyle="1" w:styleId="Heading2Char">
    <w:name w:val="Heading 2 Char"/>
    <w:basedOn w:val="DefaultParagraphFont"/>
    <w:link w:val="Heading2"/>
    <w:uiPriority w:val="3"/>
    <w:rsid w:val="0035044D"/>
    <w:rPr>
      <w:rFonts w:ascii="Times New Roman" w:eastAsia="Times New Roman" w:hAnsi="Times New Roman" w:cs="Times New Roman"/>
      <w:b/>
      <w:smallCaps/>
      <w:sz w:val="24"/>
      <w:szCs w:val="24"/>
      <w:lang w:val="en-GB"/>
    </w:rPr>
  </w:style>
  <w:style w:type="character" w:customStyle="1" w:styleId="Heading3Char">
    <w:name w:val="Heading 3 Char"/>
    <w:basedOn w:val="DefaultParagraphFont"/>
    <w:link w:val="Heading3"/>
    <w:uiPriority w:val="3"/>
    <w:rsid w:val="0035044D"/>
    <w:rPr>
      <w:rFonts w:ascii="Times New Roman" w:eastAsia="Times New Roman" w:hAnsi="Times New Roman" w:cs="Times New Roman"/>
      <w:b/>
      <w:sz w:val="24"/>
      <w:szCs w:val="24"/>
      <w:lang w:val="en-GB"/>
    </w:rPr>
  </w:style>
  <w:style w:type="character" w:customStyle="1" w:styleId="Heading4Char">
    <w:name w:val="Heading 4 Char"/>
    <w:basedOn w:val="DefaultParagraphFont"/>
    <w:link w:val="Heading4"/>
    <w:uiPriority w:val="3"/>
    <w:rsid w:val="0035044D"/>
    <w:rPr>
      <w:rFonts w:ascii="Times New Roman" w:eastAsia="Times New Roman" w:hAnsi="Times New Roman" w:cs="Times New Roman"/>
      <w:b/>
      <w:sz w:val="24"/>
      <w:szCs w:val="24"/>
      <w:lang w:val="en-GB"/>
    </w:rPr>
  </w:style>
  <w:style w:type="character" w:customStyle="1" w:styleId="Heading5Char">
    <w:name w:val="Heading 5 Char"/>
    <w:basedOn w:val="DefaultParagraphFont"/>
    <w:link w:val="Heading5"/>
    <w:uiPriority w:val="3"/>
    <w:rsid w:val="0035044D"/>
    <w:rPr>
      <w:rFonts w:ascii="Times New Roman" w:eastAsia="Times New Roman" w:hAnsi="Times New Roman" w:cs="Times New Roman"/>
      <w:b/>
      <w:caps/>
      <w:sz w:val="24"/>
      <w:szCs w:val="24"/>
      <w:lang w:val="en-GB"/>
    </w:rPr>
  </w:style>
  <w:style w:type="character" w:customStyle="1" w:styleId="Heading6Char">
    <w:name w:val="Heading 6 Char"/>
    <w:basedOn w:val="DefaultParagraphFont"/>
    <w:link w:val="Heading6"/>
    <w:uiPriority w:val="3"/>
    <w:rsid w:val="0035044D"/>
    <w:rPr>
      <w:rFonts w:ascii="Times New Roman" w:eastAsia="Times New Roman" w:hAnsi="Times New Roman" w:cs="Times New Roman"/>
      <w:b/>
      <w:sz w:val="24"/>
      <w:szCs w:val="24"/>
      <w:lang w:val="en-GB"/>
    </w:rPr>
  </w:style>
  <w:style w:type="character" w:customStyle="1" w:styleId="Heading7Char">
    <w:name w:val="Heading 7 Char"/>
    <w:basedOn w:val="DefaultParagraphFont"/>
    <w:link w:val="Heading7"/>
    <w:semiHidden/>
    <w:rsid w:val="0035044D"/>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semiHidden/>
    <w:rsid w:val="0035044D"/>
    <w:rPr>
      <w:rFonts w:ascii="Times New Roman" w:eastAsia="Times New Roman" w:hAnsi="Times New Roman" w:cs="Times New Roman"/>
      <w:sz w:val="24"/>
      <w:szCs w:val="24"/>
      <w:lang w:val="en-GB"/>
    </w:rPr>
  </w:style>
  <w:style w:type="character" w:customStyle="1" w:styleId="Heading9Char">
    <w:name w:val="Heading 9 Char"/>
    <w:basedOn w:val="DefaultParagraphFont"/>
    <w:link w:val="Heading9"/>
    <w:semiHidden/>
    <w:rsid w:val="0035044D"/>
    <w:rPr>
      <w:rFonts w:ascii="Times New Roman" w:eastAsia="Times New Roman" w:hAnsi="Times New Roman" w:cs="Arial"/>
      <w:sz w:val="24"/>
      <w:lang w:val="en-GB"/>
    </w:rPr>
  </w:style>
  <w:style w:type="paragraph" w:customStyle="1" w:styleId="Address">
    <w:name w:val="Address"/>
    <w:basedOn w:val="BodyText"/>
    <w:uiPriority w:val="7"/>
    <w:unhideWhenUsed/>
    <w:rsid w:val="0035044D"/>
    <w:pPr>
      <w:spacing w:after="720"/>
    </w:pPr>
    <w:rPr>
      <w:noProof/>
    </w:rPr>
  </w:style>
  <w:style w:type="paragraph" w:styleId="Date">
    <w:name w:val="Date"/>
    <w:basedOn w:val="Normal"/>
    <w:next w:val="Normal"/>
    <w:link w:val="DateChar"/>
    <w:uiPriority w:val="9"/>
    <w:unhideWhenUsed/>
    <w:rsid w:val="0035044D"/>
  </w:style>
  <w:style w:type="character" w:customStyle="1" w:styleId="DateChar">
    <w:name w:val="Date Char"/>
    <w:basedOn w:val="DefaultParagraphFont"/>
    <w:link w:val="Date"/>
    <w:uiPriority w:val="9"/>
    <w:rsid w:val="0035044D"/>
    <w:rPr>
      <w:rFonts w:ascii="Times New Roman" w:eastAsia="Times New Roman" w:hAnsi="Times New Roman" w:cs="Times New Roman"/>
      <w:sz w:val="24"/>
      <w:szCs w:val="24"/>
      <w:lang w:val="en-GB"/>
    </w:rPr>
  </w:style>
  <w:style w:type="character" w:styleId="FootnoteReference">
    <w:name w:val="footnote reference"/>
    <w:basedOn w:val="DefaultParagraphFont"/>
    <w:uiPriority w:val="7"/>
    <w:unhideWhenUsed/>
    <w:rsid w:val="00061A47"/>
    <w:rPr>
      <w:rFonts w:ascii="Verdana" w:hAnsi="Verdana"/>
      <w:sz w:val="16"/>
      <w:vertAlign w:val="superscript"/>
      <w:lang w:val="en-GB"/>
    </w:rPr>
  </w:style>
  <w:style w:type="paragraph" w:customStyle="1" w:styleId="FootNoteSeparator">
    <w:name w:val="FootNote Separator"/>
    <w:basedOn w:val="Normal"/>
    <w:uiPriority w:val="7"/>
    <w:unhideWhenUsed/>
    <w:rsid w:val="0035044D"/>
    <w:pPr>
      <w:pBdr>
        <w:top w:val="single" w:sz="4" w:space="1" w:color="auto"/>
      </w:pBdr>
    </w:pPr>
  </w:style>
  <w:style w:type="paragraph" w:styleId="FootnoteText">
    <w:name w:val="footnote text"/>
    <w:aliases w:val="Car,Footnote Text Char Char Char Char1,Footnote Text Char1 Char Char1,Footnote Text Char1 Char Char1 Char Char Char1,Footnote Text Char2 Char,Footnote Text Char2 Char1,Footnote Text Char2 Char1 Char Char Char,fn,~FootnoteText"/>
    <w:basedOn w:val="BodyText"/>
    <w:link w:val="FootnoteTextChar"/>
    <w:uiPriority w:val="7"/>
    <w:rsid w:val="00664D38"/>
    <w:pPr>
      <w:spacing w:after="120" w:line="240" w:lineRule="auto"/>
      <w:ind w:left="187" w:hanging="187"/>
    </w:pPr>
    <w:rPr>
      <w:sz w:val="14"/>
      <w:szCs w:val="20"/>
    </w:rPr>
  </w:style>
  <w:style w:type="character" w:customStyle="1" w:styleId="FootnoteTextChar">
    <w:name w:val="Footnote Text Char"/>
    <w:aliases w:val="Car Char,Footnote Text Char Char Char Char1 Char,Footnote Text Char1 Char Char1 Char,Footnote Text Char1 Char Char1 Char Char Char1 Char,Footnote Text Char2 Char Char,Footnote Text Char2 Char1 Char,fn Char,~FootnoteText Char"/>
    <w:basedOn w:val="DefaultParagraphFont"/>
    <w:link w:val="FootnoteText"/>
    <w:uiPriority w:val="7"/>
    <w:rsid w:val="00664D38"/>
    <w:rPr>
      <w:rFonts w:ascii="Verdana" w:eastAsia="Times New Roman" w:hAnsi="Verdana" w:cs="Times New Roman"/>
      <w:sz w:val="14"/>
      <w:szCs w:val="20"/>
      <w:lang w:val="en-GB"/>
    </w:rPr>
  </w:style>
  <w:style w:type="paragraph" w:customStyle="1" w:styleId="FsTable">
    <w:name w:val="FsTable"/>
    <w:basedOn w:val="BodyText"/>
    <w:uiPriority w:val="1"/>
    <w:qFormat/>
    <w:rsid w:val="0035044D"/>
    <w:pPr>
      <w:spacing w:before="120" w:after="120"/>
      <w:jc w:val="left"/>
    </w:pPr>
  </w:style>
  <w:style w:type="paragraph" w:customStyle="1" w:styleId="FsTableHeading">
    <w:name w:val="FsTableHeading"/>
    <w:basedOn w:val="BodyText"/>
    <w:next w:val="FsTable"/>
    <w:uiPriority w:val="1"/>
    <w:qFormat/>
    <w:rsid w:val="0035044D"/>
    <w:pPr>
      <w:keepNext/>
      <w:keepLines/>
      <w:spacing w:before="120" w:after="120"/>
      <w:jc w:val="left"/>
    </w:pPr>
    <w:rPr>
      <w:b/>
    </w:rPr>
  </w:style>
  <w:style w:type="paragraph" w:customStyle="1" w:styleId="FWRecitals">
    <w:name w:val="FWRecitals"/>
    <w:basedOn w:val="Normal"/>
    <w:link w:val="FWRecitalsChar"/>
    <w:qFormat/>
    <w:rsid w:val="0035044D"/>
    <w:pPr>
      <w:numPr>
        <w:numId w:val="1"/>
      </w:numPr>
      <w:spacing w:after="180" w:line="280" w:lineRule="atLeast"/>
      <w:jc w:val="both"/>
    </w:pPr>
    <w:rPr>
      <w:rFonts w:eastAsia="SimSun"/>
      <w:szCs w:val="20"/>
    </w:rPr>
  </w:style>
  <w:style w:type="paragraph" w:customStyle="1" w:styleId="HeaderFPCSLogo">
    <w:name w:val="HeaderFPCSLogo"/>
    <w:basedOn w:val="Header"/>
    <w:semiHidden/>
    <w:rsid w:val="0035044D"/>
    <w:pPr>
      <w:tabs>
        <w:tab w:val="clear" w:pos="8280"/>
      </w:tabs>
      <w:jc w:val="center"/>
    </w:pPr>
  </w:style>
  <w:style w:type="paragraph" w:customStyle="1" w:styleId="HeaderCPCSLogo">
    <w:name w:val="HeaderCPCSLogo"/>
    <w:basedOn w:val="HeaderFPCSLogo"/>
    <w:semiHidden/>
    <w:rsid w:val="0035044D"/>
    <w:pPr>
      <w:spacing w:before="360"/>
    </w:pPr>
  </w:style>
  <w:style w:type="paragraph" w:customStyle="1" w:styleId="HeaderCPN">
    <w:name w:val="HeaderCPN"/>
    <w:basedOn w:val="BodyText"/>
    <w:semiHidden/>
    <w:rsid w:val="0035044D"/>
    <w:pPr>
      <w:spacing w:before="360" w:after="0"/>
      <w:jc w:val="right"/>
    </w:pPr>
  </w:style>
  <w:style w:type="paragraph" w:customStyle="1" w:styleId="HeaderFPN">
    <w:name w:val="HeaderFPN"/>
    <w:basedOn w:val="HeaderCPN"/>
    <w:semiHidden/>
    <w:rsid w:val="0035044D"/>
    <w:pPr>
      <w:spacing w:before="0"/>
    </w:pPr>
  </w:style>
  <w:style w:type="paragraph" w:customStyle="1" w:styleId="MarginalNote">
    <w:name w:val="Marginal Note"/>
    <w:basedOn w:val="BodyText"/>
    <w:next w:val="BodyText"/>
    <w:uiPriority w:val="2"/>
    <w:rsid w:val="0035044D"/>
    <w:pPr>
      <w:keepNext/>
      <w:keepLines/>
      <w:framePr w:w="1152" w:hSpace="144" w:wrap="around" w:vAnchor="text" w:hAnchor="page" w:y="1"/>
      <w:spacing w:before="40" w:line="180" w:lineRule="exact"/>
    </w:pPr>
    <w:rPr>
      <w:b/>
      <w:sz w:val="16"/>
    </w:rPr>
  </w:style>
  <w:style w:type="character" w:styleId="PageNumber">
    <w:name w:val="page number"/>
    <w:basedOn w:val="DefaultParagraphFont"/>
    <w:uiPriority w:val="7"/>
    <w:unhideWhenUsed/>
    <w:rsid w:val="00664D38"/>
    <w:rPr>
      <w:rFonts w:ascii="Verdana" w:hAnsi="Verdana"/>
      <w:sz w:val="14"/>
      <w:lang w:val="en-GB"/>
    </w:rPr>
  </w:style>
  <w:style w:type="paragraph" w:customStyle="1" w:styleId="ParaHeading">
    <w:name w:val="ParaHeading"/>
    <w:basedOn w:val="BodyText"/>
    <w:next w:val="BodyText"/>
    <w:qFormat/>
    <w:rsid w:val="0035044D"/>
    <w:pPr>
      <w:keepNext/>
      <w:keepLines/>
    </w:pPr>
    <w:rPr>
      <w:b/>
    </w:rPr>
  </w:style>
  <w:style w:type="paragraph" w:styleId="Salutation">
    <w:name w:val="Salutation"/>
    <w:basedOn w:val="BodyText"/>
    <w:next w:val="Normal"/>
    <w:link w:val="SalutationChar"/>
    <w:uiPriority w:val="7"/>
    <w:unhideWhenUsed/>
    <w:rsid w:val="0035044D"/>
  </w:style>
  <w:style w:type="character" w:customStyle="1" w:styleId="SalutationChar">
    <w:name w:val="Salutation Char"/>
    <w:basedOn w:val="DefaultParagraphFont"/>
    <w:link w:val="Salutation"/>
    <w:uiPriority w:val="7"/>
    <w:rsid w:val="0035044D"/>
    <w:rPr>
      <w:rFonts w:ascii="Times New Roman" w:eastAsia="Times New Roman" w:hAnsi="Times New Roman" w:cs="Times New Roman"/>
      <w:sz w:val="24"/>
      <w:szCs w:val="24"/>
      <w:lang w:val="en-GB"/>
    </w:rPr>
  </w:style>
  <w:style w:type="paragraph" w:customStyle="1" w:styleId="Sealing">
    <w:name w:val="Sealing"/>
    <w:basedOn w:val="BodyText"/>
    <w:uiPriority w:val="2"/>
    <w:rsid w:val="0035044D"/>
    <w:pPr>
      <w:keepLines/>
      <w:tabs>
        <w:tab w:val="left" w:pos="1728"/>
        <w:tab w:val="left" w:pos="4320"/>
      </w:tabs>
      <w:spacing w:after="480"/>
    </w:pPr>
  </w:style>
  <w:style w:type="paragraph" w:styleId="TOAHeading">
    <w:name w:val="toa heading"/>
    <w:basedOn w:val="Normal"/>
    <w:next w:val="Normal"/>
    <w:semiHidden/>
    <w:rsid w:val="0035044D"/>
    <w:pPr>
      <w:spacing w:before="120"/>
    </w:pPr>
    <w:rPr>
      <w:rFonts w:ascii="Arial" w:hAnsi="Arial" w:cs="Arial"/>
      <w:b/>
      <w:bCs/>
    </w:rPr>
  </w:style>
  <w:style w:type="paragraph" w:styleId="TOC1">
    <w:name w:val="toc 1"/>
    <w:basedOn w:val="BodyText"/>
    <w:next w:val="BodyText"/>
    <w:uiPriority w:val="4"/>
    <w:rsid w:val="0035044D"/>
    <w:pPr>
      <w:keepLines/>
      <w:tabs>
        <w:tab w:val="right" w:leader="dot" w:pos="8309"/>
      </w:tabs>
      <w:spacing w:before="120" w:after="0"/>
      <w:ind w:left="720" w:right="720" w:hanging="720"/>
      <w:jc w:val="left"/>
    </w:pPr>
    <w:rPr>
      <w:caps/>
    </w:rPr>
  </w:style>
  <w:style w:type="paragraph" w:styleId="TOC2">
    <w:name w:val="toc 2"/>
    <w:basedOn w:val="BodyText"/>
    <w:next w:val="BodyText"/>
    <w:uiPriority w:val="4"/>
    <w:rsid w:val="0035044D"/>
    <w:pPr>
      <w:tabs>
        <w:tab w:val="left" w:pos="357"/>
        <w:tab w:val="left" w:pos="720"/>
        <w:tab w:val="right" w:leader="dot" w:pos="8307"/>
      </w:tabs>
      <w:spacing w:before="120" w:after="0"/>
      <w:ind w:left="720" w:right="720" w:hanging="360"/>
      <w:jc w:val="left"/>
    </w:pPr>
    <w:rPr>
      <w:smallCaps/>
      <w:noProof/>
    </w:rPr>
  </w:style>
  <w:style w:type="paragraph" w:styleId="TOC3">
    <w:name w:val="toc 3"/>
    <w:basedOn w:val="BodyText"/>
    <w:next w:val="BodyText"/>
    <w:uiPriority w:val="4"/>
    <w:rsid w:val="0035044D"/>
    <w:pPr>
      <w:tabs>
        <w:tab w:val="right" w:leader="dot" w:pos="8307"/>
      </w:tabs>
      <w:spacing w:after="0"/>
      <w:ind w:left="720" w:right="720"/>
    </w:pPr>
  </w:style>
  <w:style w:type="paragraph" w:styleId="TOC4">
    <w:name w:val="toc 4"/>
    <w:basedOn w:val="BodyText"/>
    <w:next w:val="BodyText"/>
    <w:semiHidden/>
    <w:rsid w:val="0035044D"/>
    <w:pPr>
      <w:tabs>
        <w:tab w:val="right" w:leader="dot" w:pos="8309"/>
      </w:tabs>
      <w:spacing w:after="0"/>
      <w:ind w:left="1440" w:right="720"/>
    </w:pPr>
  </w:style>
  <w:style w:type="paragraph" w:styleId="TOC5">
    <w:name w:val="toc 5"/>
    <w:basedOn w:val="BodyText"/>
    <w:semiHidden/>
    <w:rsid w:val="0035044D"/>
    <w:pPr>
      <w:tabs>
        <w:tab w:val="right" w:leader="dot" w:pos="8309"/>
      </w:tabs>
      <w:spacing w:before="120" w:after="120"/>
      <w:ind w:left="720" w:right="720" w:hanging="720"/>
    </w:pPr>
    <w:rPr>
      <w:caps/>
    </w:rPr>
  </w:style>
  <w:style w:type="paragraph" w:styleId="TOC6">
    <w:name w:val="toc 6"/>
    <w:basedOn w:val="BodyText"/>
    <w:semiHidden/>
    <w:rsid w:val="0035044D"/>
    <w:pPr>
      <w:tabs>
        <w:tab w:val="right" w:leader="dot" w:pos="8309"/>
      </w:tabs>
      <w:ind w:left="720" w:right="720"/>
    </w:pPr>
  </w:style>
  <w:style w:type="paragraph" w:styleId="TOC7">
    <w:name w:val="toc 7"/>
    <w:basedOn w:val="BodyText"/>
    <w:semiHidden/>
    <w:rsid w:val="0035044D"/>
    <w:pPr>
      <w:tabs>
        <w:tab w:val="right" w:leader="dot" w:pos="8309"/>
      </w:tabs>
      <w:ind w:left="1080" w:right="720"/>
    </w:pPr>
    <w:rPr>
      <w:i/>
    </w:rPr>
  </w:style>
  <w:style w:type="paragraph" w:styleId="TOC8">
    <w:name w:val="toc 8"/>
    <w:basedOn w:val="BodyText"/>
    <w:semiHidden/>
    <w:rsid w:val="0035044D"/>
    <w:pPr>
      <w:tabs>
        <w:tab w:val="right" w:leader="dot" w:pos="8309"/>
      </w:tabs>
      <w:ind w:left="1440" w:right="720"/>
    </w:pPr>
    <w:rPr>
      <w:i/>
    </w:rPr>
  </w:style>
  <w:style w:type="paragraph" w:styleId="TOC9">
    <w:name w:val="toc 9"/>
    <w:basedOn w:val="BodyText"/>
    <w:next w:val="Normal"/>
    <w:semiHidden/>
    <w:rsid w:val="0035044D"/>
    <w:pPr>
      <w:tabs>
        <w:tab w:val="right" w:leader="dot" w:pos="8309"/>
      </w:tabs>
      <w:ind w:left="1440"/>
    </w:pPr>
    <w:rPr>
      <w:i/>
    </w:rPr>
  </w:style>
  <w:style w:type="character" w:styleId="Emphasis">
    <w:name w:val="Emphasis"/>
    <w:basedOn w:val="DefaultParagraphFont"/>
    <w:qFormat/>
    <w:rsid w:val="00061A47"/>
    <w:rPr>
      <w:rFonts w:ascii="Verdana" w:hAnsi="Verdana"/>
      <w:i/>
      <w:iCs/>
      <w:sz w:val="20"/>
      <w:lang w:val="en-GB"/>
    </w:rPr>
  </w:style>
  <w:style w:type="character" w:customStyle="1" w:styleId="FsHidden">
    <w:name w:val="FsHidden"/>
    <w:basedOn w:val="DefaultParagraphFont"/>
    <w:uiPriority w:val="1"/>
    <w:rsid w:val="0035044D"/>
    <w:rPr>
      <w:vanish/>
      <w:color w:val="FFC000" w:themeColor="accent4"/>
      <w:lang w:val="en-GB"/>
    </w:rPr>
  </w:style>
  <w:style w:type="paragraph" w:styleId="NoSpacing">
    <w:name w:val="No Spacing"/>
    <w:uiPriority w:val="2"/>
    <w:rsid w:val="0035044D"/>
    <w:pPr>
      <w:spacing w:after="0" w:line="240" w:lineRule="auto"/>
    </w:pPr>
    <w:rPr>
      <w:rFonts w:ascii="Times New Roman" w:eastAsia="Times New Roman" w:hAnsi="Times New Roman" w:cs="Times New Roman"/>
      <w:sz w:val="24"/>
      <w:szCs w:val="24"/>
      <w:lang w:val="en-GB"/>
    </w:rPr>
  </w:style>
  <w:style w:type="table" w:styleId="TableGrid">
    <w:name w:val="Table Grid"/>
    <w:basedOn w:val="TableNormal"/>
    <w:uiPriority w:val="39"/>
    <w:rsid w:val="0035044D"/>
    <w:pPr>
      <w:spacing w:after="0" w:line="240" w:lineRule="auto"/>
    </w:pPr>
    <w:rPr>
      <w:rFonts w:ascii="Times New Roman" w:hAnsi="Times New Roman"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WRecitalsChar">
    <w:name w:val="FWRecitals Char"/>
    <w:link w:val="FWRecitals"/>
    <w:rsid w:val="0035044D"/>
    <w:rPr>
      <w:rFonts w:ascii="Verdana" w:eastAsia="SimSun" w:hAnsi="Verdana" w:cs="Times New Roman"/>
      <w:sz w:val="20"/>
      <w:szCs w:val="20"/>
      <w:lang w:val="en-GB"/>
    </w:rPr>
  </w:style>
  <w:style w:type="numbering" w:styleId="111111">
    <w:name w:val="Outline List 2"/>
    <w:basedOn w:val="NoList"/>
    <w:uiPriority w:val="99"/>
    <w:semiHidden/>
    <w:unhideWhenUsed/>
    <w:rsid w:val="0035044D"/>
  </w:style>
  <w:style w:type="numbering" w:styleId="1ai">
    <w:name w:val="Outline List 1"/>
    <w:basedOn w:val="NoList"/>
    <w:uiPriority w:val="99"/>
    <w:semiHidden/>
    <w:unhideWhenUsed/>
    <w:rsid w:val="0035044D"/>
  </w:style>
  <w:style w:type="numbering" w:styleId="ArticleSection">
    <w:name w:val="Outline List 3"/>
    <w:basedOn w:val="NoList"/>
    <w:uiPriority w:val="99"/>
    <w:semiHidden/>
    <w:unhideWhenUsed/>
    <w:rsid w:val="0035044D"/>
  </w:style>
  <w:style w:type="paragraph" w:styleId="BalloonText">
    <w:name w:val="Balloon Text"/>
    <w:basedOn w:val="Normal"/>
    <w:link w:val="BalloonTextChar"/>
    <w:uiPriority w:val="99"/>
    <w:semiHidden/>
    <w:rsid w:val="0035044D"/>
    <w:rPr>
      <w:rFonts w:ascii="Tahoma" w:hAnsi="Tahoma" w:cs="Tahoma"/>
      <w:sz w:val="16"/>
      <w:szCs w:val="16"/>
    </w:rPr>
  </w:style>
  <w:style w:type="character" w:customStyle="1" w:styleId="BalloonTextChar">
    <w:name w:val="Balloon Text Char"/>
    <w:basedOn w:val="DefaultParagraphFont"/>
    <w:link w:val="BalloonText"/>
    <w:uiPriority w:val="99"/>
    <w:semiHidden/>
    <w:rsid w:val="0035044D"/>
    <w:rPr>
      <w:rFonts w:ascii="Tahoma" w:eastAsia="Times New Roman" w:hAnsi="Tahoma" w:cs="Tahoma"/>
      <w:sz w:val="16"/>
      <w:szCs w:val="16"/>
      <w:lang w:val="en-GB"/>
    </w:rPr>
  </w:style>
  <w:style w:type="paragraph" w:styleId="Bibliography">
    <w:name w:val="Bibliography"/>
    <w:basedOn w:val="Normal"/>
    <w:next w:val="Normal"/>
    <w:uiPriority w:val="37"/>
    <w:semiHidden/>
    <w:rsid w:val="0035044D"/>
  </w:style>
  <w:style w:type="paragraph" w:styleId="BlockText">
    <w:name w:val="Block Text"/>
    <w:basedOn w:val="Normal"/>
    <w:uiPriority w:val="99"/>
    <w:semiHidden/>
    <w:rsid w:val="0035044D"/>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rsid w:val="0035044D"/>
    <w:pPr>
      <w:spacing w:after="120" w:line="480" w:lineRule="auto"/>
    </w:pPr>
  </w:style>
  <w:style w:type="character" w:customStyle="1" w:styleId="BodyText2Char">
    <w:name w:val="Body Text 2 Char"/>
    <w:basedOn w:val="DefaultParagraphFont"/>
    <w:link w:val="BodyText2"/>
    <w:uiPriority w:val="99"/>
    <w:semiHidden/>
    <w:rsid w:val="0035044D"/>
    <w:rPr>
      <w:rFonts w:ascii="Times New Roman" w:eastAsia="Times New Roman" w:hAnsi="Times New Roman" w:cs="Times New Roman"/>
      <w:sz w:val="24"/>
      <w:szCs w:val="24"/>
      <w:lang w:val="en-GB"/>
    </w:rPr>
  </w:style>
  <w:style w:type="paragraph" w:styleId="BodyText3">
    <w:name w:val="Body Text 3"/>
    <w:basedOn w:val="Normal"/>
    <w:link w:val="BodyText3Char"/>
    <w:uiPriority w:val="99"/>
    <w:semiHidden/>
    <w:rsid w:val="0035044D"/>
    <w:pPr>
      <w:spacing w:after="120"/>
    </w:pPr>
    <w:rPr>
      <w:sz w:val="16"/>
      <w:szCs w:val="16"/>
    </w:rPr>
  </w:style>
  <w:style w:type="character" w:customStyle="1" w:styleId="BodyText3Char">
    <w:name w:val="Body Text 3 Char"/>
    <w:basedOn w:val="DefaultParagraphFont"/>
    <w:link w:val="BodyText3"/>
    <w:uiPriority w:val="99"/>
    <w:semiHidden/>
    <w:rsid w:val="0035044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semiHidden/>
    <w:rsid w:val="0035044D"/>
    <w:pPr>
      <w:spacing w:after="0" w:line="240" w:lineRule="auto"/>
      <w:ind w:firstLine="360"/>
      <w:jc w:val="left"/>
    </w:pPr>
  </w:style>
  <w:style w:type="character" w:customStyle="1" w:styleId="BodyTextFirstIndentChar">
    <w:name w:val="Body Text First Indent Char"/>
    <w:basedOn w:val="BodyTextChar"/>
    <w:link w:val="BodyTextFirstIndent"/>
    <w:semiHidden/>
    <w:rsid w:val="0035044D"/>
    <w:rPr>
      <w:rFonts w:ascii="Times New Roman" w:eastAsia="Times New Roman" w:hAnsi="Times New Roman" w:cs="Times New Roman"/>
      <w:sz w:val="24"/>
      <w:szCs w:val="24"/>
      <w:lang w:val="en-GB"/>
    </w:rPr>
  </w:style>
  <w:style w:type="paragraph" w:styleId="BodyTextIndent">
    <w:name w:val="Body Text Indent"/>
    <w:basedOn w:val="Normal"/>
    <w:link w:val="BodyTextIndentChar"/>
    <w:uiPriority w:val="99"/>
    <w:semiHidden/>
    <w:rsid w:val="0035044D"/>
    <w:pPr>
      <w:spacing w:after="120"/>
      <w:ind w:left="360"/>
    </w:pPr>
  </w:style>
  <w:style w:type="character" w:customStyle="1" w:styleId="BodyTextIndentChar">
    <w:name w:val="Body Text Indent Char"/>
    <w:basedOn w:val="DefaultParagraphFont"/>
    <w:link w:val="BodyTextIndent"/>
    <w:uiPriority w:val="99"/>
    <w:semiHidden/>
    <w:rsid w:val="0035044D"/>
    <w:rPr>
      <w:rFonts w:ascii="Times New Roman" w:eastAsia="Times New Roman" w:hAnsi="Times New Roman" w:cs="Times New Roman"/>
      <w:sz w:val="24"/>
      <w:szCs w:val="24"/>
      <w:lang w:val="en-GB"/>
    </w:rPr>
  </w:style>
  <w:style w:type="paragraph" w:styleId="BodyTextFirstIndent2">
    <w:name w:val="Body Text First Indent 2"/>
    <w:basedOn w:val="BodyTextIndent"/>
    <w:link w:val="BodyTextFirstIndent2Char"/>
    <w:uiPriority w:val="99"/>
    <w:semiHidden/>
    <w:rsid w:val="0035044D"/>
    <w:pPr>
      <w:spacing w:after="0"/>
      <w:ind w:firstLine="360"/>
    </w:pPr>
  </w:style>
  <w:style w:type="character" w:customStyle="1" w:styleId="BodyTextFirstIndent2Char">
    <w:name w:val="Body Text First Indent 2 Char"/>
    <w:basedOn w:val="BodyTextIndentChar"/>
    <w:link w:val="BodyTextFirstIndent2"/>
    <w:uiPriority w:val="99"/>
    <w:semiHidden/>
    <w:rsid w:val="0035044D"/>
    <w:rPr>
      <w:rFonts w:ascii="Times New Roman" w:eastAsia="Times New Roman" w:hAnsi="Times New Roman" w:cs="Times New Roman"/>
      <w:sz w:val="24"/>
      <w:szCs w:val="24"/>
      <w:lang w:val="en-GB"/>
    </w:rPr>
  </w:style>
  <w:style w:type="paragraph" w:styleId="BodyTextIndent2">
    <w:name w:val="Body Text Indent 2"/>
    <w:basedOn w:val="Normal"/>
    <w:link w:val="BodyTextIndent2Char"/>
    <w:uiPriority w:val="99"/>
    <w:semiHidden/>
    <w:rsid w:val="0035044D"/>
    <w:pPr>
      <w:spacing w:after="120" w:line="480" w:lineRule="auto"/>
      <w:ind w:left="360"/>
    </w:pPr>
  </w:style>
  <w:style w:type="character" w:customStyle="1" w:styleId="BodyTextIndent2Char">
    <w:name w:val="Body Text Indent 2 Char"/>
    <w:basedOn w:val="DefaultParagraphFont"/>
    <w:link w:val="BodyTextIndent2"/>
    <w:uiPriority w:val="99"/>
    <w:semiHidden/>
    <w:rsid w:val="0035044D"/>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semiHidden/>
    <w:rsid w:val="0035044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5044D"/>
    <w:rPr>
      <w:rFonts w:ascii="Times New Roman" w:eastAsia="Times New Roman" w:hAnsi="Times New Roman" w:cs="Times New Roman"/>
      <w:sz w:val="16"/>
      <w:szCs w:val="16"/>
      <w:lang w:val="en-GB"/>
    </w:rPr>
  </w:style>
  <w:style w:type="character" w:styleId="BookTitle">
    <w:name w:val="Book Title"/>
    <w:basedOn w:val="DefaultParagraphFont"/>
    <w:uiPriority w:val="33"/>
    <w:rsid w:val="0035044D"/>
    <w:rPr>
      <w:b/>
      <w:bCs/>
      <w:smallCaps/>
      <w:spacing w:val="5"/>
      <w:lang w:val="en-GB"/>
    </w:rPr>
  </w:style>
  <w:style w:type="paragraph" w:styleId="Caption">
    <w:name w:val="caption"/>
    <w:basedOn w:val="Normal"/>
    <w:next w:val="Normal"/>
    <w:uiPriority w:val="35"/>
    <w:semiHidden/>
    <w:rsid w:val="0035044D"/>
    <w:pPr>
      <w:spacing w:after="200"/>
    </w:pPr>
    <w:rPr>
      <w:b/>
      <w:bCs/>
      <w:color w:val="4472C4" w:themeColor="accent1"/>
      <w:sz w:val="18"/>
      <w:szCs w:val="18"/>
    </w:rPr>
  </w:style>
  <w:style w:type="paragraph" w:styleId="Closing">
    <w:name w:val="Closing"/>
    <w:basedOn w:val="Normal"/>
    <w:link w:val="ClosingChar"/>
    <w:uiPriority w:val="99"/>
    <w:semiHidden/>
    <w:rsid w:val="0035044D"/>
    <w:pPr>
      <w:ind w:left="4320"/>
    </w:pPr>
  </w:style>
  <w:style w:type="character" w:customStyle="1" w:styleId="ClosingChar">
    <w:name w:val="Closing Char"/>
    <w:basedOn w:val="DefaultParagraphFont"/>
    <w:link w:val="Closing"/>
    <w:uiPriority w:val="99"/>
    <w:semiHidden/>
    <w:rsid w:val="0035044D"/>
    <w:rPr>
      <w:rFonts w:ascii="Times New Roman" w:eastAsia="Times New Roman" w:hAnsi="Times New Roman" w:cs="Times New Roman"/>
      <w:sz w:val="24"/>
      <w:szCs w:val="24"/>
      <w:lang w:val="en-GB"/>
    </w:rPr>
  </w:style>
  <w:style w:type="table" w:styleId="ColorfulGrid">
    <w:name w:val="Colorful Grid"/>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35044D"/>
    <w:rPr>
      <w:sz w:val="16"/>
      <w:szCs w:val="16"/>
      <w:lang w:val="en-GB"/>
    </w:rPr>
  </w:style>
  <w:style w:type="paragraph" w:styleId="CommentText">
    <w:name w:val="annotation text"/>
    <w:basedOn w:val="Normal"/>
    <w:link w:val="CommentTextChar"/>
    <w:uiPriority w:val="99"/>
    <w:semiHidden/>
    <w:rsid w:val="0035044D"/>
    <w:rPr>
      <w:szCs w:val="20"/>
    </w:rPr>
  </w:style>
  <w:style w:type="character" w:customStyle="1" w:styleId="CommentTextChar">
    <w:name w:val="Comment Text Char"/>
    <w:basedOn w:val="DefaultParagraphFont"/>
    <w:link w:val="CommentText"/>
    <w:uiPriority w:val="99"/>
    <w:semiHidden/>
    <w:rsid w:val="0035044D"/>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rsid w:val="0035044D"/>
    <w:rPr>
      <w:b/>
      <w:bCs/>
    </w:rPr>
  </w:style>
  <w:style w:type="character" w:customStyle="1" w:styleId="CommentSubjectChar">
    <w:name w:val="Comment Subject Char"/>
    <w:basedOn w:val="CommentTextChar"/>
    <w:link w:val="CommentSubject"/>
    <w:uiPriority w:val="99"/>
    <w:semiHidden/>
    <w:rsid w:val="0035044D"/>
    <w:rPr>
      <w:rFonts w:ascii="Times New Roman" w:eastAsia="Times New Roman" w:hAnsi="Times New Roman" w:cs="Times New Roman"/>
      <w:b/>
      <w:bCs/>
      <w:sz w:val="20"/>
      <w:szCs w:val="20"/>
      <w:lang w:val="en-GB"/>
    </w:rPr>
  </w:style>
  <w:style w:type="table" w:styleId="DarkList">
    <w:name w:val="Dark List"/>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ocumentMap">
    <w:name w:val="Document Map"/>
    <w:basedOn w:val="Normal"/>
    <w:link w:val="DocumentMapChar"/>
    <w:uiPriority w:val="99"/>
    <w:semiHidden/>
    <w:rsid w:val="0035044D"/>
    <w:rPr>
      <w:rFonts w:ascii="Tahoma" w:hAnsi="Tahoma" w:cs="Tahoma"/>
      <w:sz w:val="16"/>
      <w:szCs w:val="16"/>
    </w:rPr>
  </w:style>
  <w:style w:type="character" w:customStyle="1" w:styleId="DocumentMapChar">
    <w:name w:val="Document Map Char"/>
    <w:basedOn w:val="DefaultParagraphFont"/>
    <w:link w:val="DocumentMap"/>
    <w:uiPriority w:val="99"/>
    <w:semiHidden/>
    <w:rsid w:val="0035044D"/>
    <w:rPr>
      <w:rFonts w:ascii="Tahoma" w:eastAsia="Times New Roman" w:hAnsi="Tahoma" w:cs="Tahoma"/>
      <w:sz w:val="16"/>
      <w:szCs w:val="16"/>
      <w:lang w:val="en-GB"/>
    </w:rPr>
  </w:style>
  <w:style w:type="paragraph" w:styleId="E-mailSignature">
    <w:name w:val="E-mail Signature"/>
    <w:basedOn w:val="Normal"/>
    <w:link w:val="E-mailSignatureChar"/>
    <w:uiPriority w:val="99"/>
    <w:semiHidden/>
    <w:rsid w:val="0035044D"/>
  </w:style>
  <w:style w:type="character" w:customStyle="1" w:styleId="E-mailSignatureChar">
    <w:name w:val="E-mail Signature Char"/>
    <w:basedOn w:val="DefaultParagraphFont"/>
    <w:link w:val="E-mailSignature"/>
    <w:uiPriority w:val="99"/>
    <w:semiHidden/>
    <w:rsid w:val="0035044D"/>
    <w:rPr>
      <w:rFonts w:ascii="Times New Roman" w:eastAsia="Times New Roman" w:hAnsi="Times New Roman" w:cs="Times New Roman"/>
      <w:sz w:val="24"/>
      <w:szCs w:val="24"/>
      <w:lang w:val="en-GB"/>
    </w:rPr>
  </w:style>
  <w:style w:type="character" w:styleId="EndnoteReference">
    <w:name w:val="endnote reference"/>
    <w:basedOn w:val="DefaultParagraphFont"/>
    <w:uiPriority w:val="99"/>
    <w:semiHidden/>
    <w:rsid w:val="0035044D"/>
    <w:rPr>
      <w:vertAlign w:val="superscript"/>
      <w:lang w:val="en-GB"/>
    </w:rPr>
  </w:style>
  <w:style w:type="paragraph" w:styleId="EndnoteText">
    <w:name w:val="endnote text"/>
    <w:basedOn w:val="Normal"/>
    <w:link w:val="EndnoteTextChar"/>
    <w:uiPriority w:val="99"/>
    <w:semiHidden/>
    <w:rsid w:val="0035044D"/>
    <w:rPr>
      <w:szCs w:val="20"/>
    </w:rPr>
  </w:style>
  <w:style w:type="character" w:customStyle="1" w:styleId="EndnoteTextChar">
    <w:name w:val="Endnote Text Char"/>
    <w:basedOn w:val="DefaultParagraphFont"/>
    <w:link w:val="EndnoteText"/>
    <w:uiPriority w:val="99"/>
    <w:semiHidden/>
    <w:rsid w:val="0035044D"/>
    <w:rPr>
      <w:rFonts w:ascii="Times New Roman" w:eastAsia="Times New Roman" w:hAnsi="Times New Roman" w:cs="Times New Roman"/>
      <w:sz w:val="20"/>
      <w:szCs w:val="20"/>
      <w:lang w:val="en-GB"/>
    </w:rPr>
  </w:style>
  <w:style w:type="paragraph" w:styleId="EnvelopeAddress">
    <w:name w:val="envelope address"/>
    <w:basedOn w:val="Normal"/>
    <w:uiPriority w:val="99"/>
    <w:semiHidden/>
    <w:rsid w:val="0035044D"/>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rsid w:val="0035044D"/>
    <w:rPr>
      <w:rFonts w:asciiTheme="majorHAnsi" w:eastAsiaTheme="majorEastAsia" w:hAnsiTheme="majorHAnsi" w:cstheme="majorBidi"/>
      <w:szCs w:val="20"/>
    </w:rPr>
  </w:style>
  <w:style w:type="character" w:styleId="FollowedHyperlink">
    <w:name w:val="FollowedHyperlink"/>
    <w:basedOn w:val="DefaultParagraphFont"/>
    <w:uiPriority w:val="99"/>
    <w:semiHidden/>
    <w:rsid w:val="0035044D"/>
    <w:rPr>
      <w:color w:val="954F72" w:themeColor="followedHyperlink"/>
      <w:u w:val="single"/>
      <w:lang w:val="en-GB"/>
    </w:rPr>
  </w:style>
  <w:style w:type="character" w:styleId="HTMLAcronym">
    <w:name w:val="HTML Acronym"/>
    <w:basedOn w:val="DefaultParagraphFont"/>
    <w:uiPriority w:val="99"/>
    <w:semiHidden/>
    <w:rsid w:val="0035044D"/>
    <w:rPr>
      <w:lang w:val="en-GB"/>
    </w:rPr>
  </w:style>
  <w:style w:type="paragraph" w:styleId="HTMLAddress">
    <w:name w:val="HTML Address"/>
    <w:basedOn w:val="Normal"/>
    <w:link w:val="HTMLAddressChar"/>
    <w:uiPriority w:val="99"/>
    <w:semiHidden/>
    <w:rsid w:val="0035044D"/>
    <w:rPr>
      <w:i/>
      <w:iCs/>
    </w:rPr>
  </w:style>
  <w:style w:type="character" w:customStyle="1" w:styleId="HTMLAddressChar">
    <w:name w:val="HTML Address Char"/>
    <w:basedOn w:val="DefaultParagraphFont"/>
    <w:link w:val="HTMLAddress"/>
    <w:uiPriority w:val="99"/>
    <w:semiHidden/>
    <w:rsid w:val="0035044D"/>
    <w:rPr>
      <w:rFonts w:ascii="Times New Roman" w:eastAsia="Times New Roman" w:hAnsi="Times New Roman" w:cs="Times New Roman"/>
      <w:i/>
      <w:iCs/>
      <w:sz w:val="24"/>
      <w:szCs w:val="24"/>
      <w:lang w:val="en-GB"/>
    </w:rPr>
  </w:style>
  <w:style w:type="character" w:styleId="HTMLCite">
    <w:name w:val="HTML Cite"/>
    <w:basedOn w:val="DefaultParagraphFont"/>
    <w:uiPriority w:val="99"/>
    <w:semiHidden/>
    <w:rsid w:val="0035044D"/>
    <w:rPr>
      <w:i/>
      <w:iCs/>
      <w:lang w:val="en-GB"/>
    </w:rPr>
  </w:style>
  <w:style w:type="character" w:styleId="HTMLCode">
    <w:name w:val="HTML Code"/>
    <w:basedOn w:val="DefaultParagraphFont"/>
    <w:uiPriority w:val="99"/>
    <w:semiHidden/>
    <w:rsid w:val="0035044D"/>
    <w:rPr>
      <w:rFonts w:ascii="Consolas" w:hAnsi="Consolas" w:cs="Consolas"/>
      <w:sz w:val="20"/>
      <w:szCs w:val="20"/>
      <w:lang w:val="en-GB"/>
    </w:rPr>
  </w:style>
  <w:style w:type="character" w:styleId="HTMLDefinition">
    <w:name w:val="HTML Definition"/>
    <w:basedOn w:val="DefaultParagraphFont"/>
    <w:uiPriority w:val="99"/>
    <w:semiHidden/>
    <w:rsid w:val="0035044D"/>
    <w:rPr>
      <w:i/>
      <w:iCs/>
      <w:lang w:val="en-GB"/>
    </w:rPr>
  </w:style>
  <w:style w:type="character" w:styleId="HTMLKeyboard">
    <w:name w:val="HTML Keyboard"/>
    <w:basedOn w:val="DefaultParagraphFont"/>
    <w:uiPriority w:val="99"/>
    <w:semiHidden/>
    <w:rsid w:val="0035044D"/>
    <w:rPr>
      <w:rFonts w:ascii="Consolas" w:hAnsi="Consolas" w:cs="Consolas"/>
      <w:sz w:val="20"/>
      <w:szCs w:val="20"/>
      <w:lang w:val="en-GB"/>
    </w:rPr>
  </w:style>
  <w:style w:type="paragraph" w:styleId="HTMLPreformatted">
    <w:name w:val="HTML Preformatted"/>
    <w:basedOn w:val="Normal"/>
    <w:link w:val="HTMLPreformattedChar"/>
    <w:uiPriority w:val="99"/>
    <w:semiHidden/>
    <w:rsid w:val="0035044D"/>
    <w:rPr>
      <w:rFonts w:ascii="Consolas" w:hAnsi="Consolas" w:cs="Consolas"/>
      <w:szCs w:val="20"/>
    </w:rPr>
  </w:style>
  <w:style w:type="character" w:customStyle="1" w:styleId="HTMLPreformattedChar">
    <w:name w:val="HTML Preformatted Char"/>
    <w:basedOn w:val="DefaultParagraphFont"/>
    <w:link w:val="HTMLPreformatted"/>
    <w:uiPriority w:val="99"/>
    <w:semiHidden/>
    <w:rsid w:val="0035044D"/>
    <w:rPr>
      <w:rFonts w:ascii="Consolas" w:eastAsia="Times New Roman" w:hAnsi="Consolas" w:cs="Consolas"/>
      <w:sz w:val="20"/>
      <w:szCs w:val="20"/>
      <w:lang w:val="en-GB"/>
    </w:rPr>
  </w:style>
  <w:style w:type="character" w:styleId="HTMLSample">
    <w:name w:val="HTML Sample"/>
    <w:basedOn w:val="DefaultParagraphFont"/>
    <w:uiPriority w:val="99"/>
    <w:semiHidden/>
    <w:rsid w:val="0035044D"/>
    <w:rPr>
      <w:rFonts w:ascii="Consolas" w:hAnsi="Consolas" w:cs="Consolas"/>
      <w:sz w:val="24"/>
      <w:szCs w:val="24"/>
      <w:lang w:val="en-GB"/>
    </w:rPr>
  </w:style>
  <w:style w:type="character" w:styleId="HTMLTypewriter">
    <w:name w:val="HTML Typewriter"/>
    <w:basedOn w:val="DefaultParagraphFont"/>
    <w:uiPriority w:val="99"/>
    <w:semiHidden/>
    <w:rsid w:val="0035044D"/>
    <w:rPr>
      <w:rFonts w:ascii="Consolas" w:hAnsi="Consolas" w:cs="Consolas"/>
      <w:sz w:val="20"/>
      <w:szCs w:val="20"/>
      <w:lang w:val="en-GB"/>
    </w:rPr>
  </w:style>
  <w:style w:type="character" w:styleId="HTMLVariable">
    <w:name w:val="HTML Variable"/>
    <w:basedOn w:val="DefaultParagraphFont"/>
    <w:uiPriority w:val="99"/>
    <w:semiHidden/>
    <w:rsid w:val="0035044D"/>
    <w:rPr>
      <w:i/>
      <w:iCs/>
      <w:lang w:val="en-GB"/>
    </w:rPr>
  </w:style>
  <w:style w:type="character" w:styleId="Hyperlink">
    <w:name w:val="Hyperlink"/>
    <w:basedOn w:val="DefaultParagraphFont"/>
    <w:uiPriority w:val="99"/>
    <w:semiHidden/>
    <w:rsid w:val="0035044D"/>
    <w:rPr>
      <w:color w:val="0563C1" w:themeColor="hyperlink"/>
      <w:u w:val="single"/>
      <w:lang w:val="en-GB"/>
    </w:rPr>
  </w:style>
  <w:style w:type="paragraph" w:styleId="Index1">
    <w:name w:val="index 1"/>
    <w:basedOn w:val="Normal"/>
    <w:next w:val="Normal"/>
    <w:autoRedefine/>
    <w:uiPriority w:val="99"/>
    <w:semiHidden/>
    <w:unhideWhenUsed/>
    <w:rsid w:val="0035044D"/>
    <w:pPr>
      <w:ind w:left="240" w:hanging="240"/>
    </w:pPr>
  </w:style>
  <w:style w:type="paragraph" w:styleId="IndexHeading">
    <w:name w:val="index heading"/>
    <w:basedOn w:val="Normal"/>
    <w:next w:val="Normal"/>
    <w:semiHidden/>
    <w:unhideWhenUsed/>
    <w:rsid w:val="0035044D"/>
    <w:rPr>
      <w:rFonts w:asciiTheme="majorHAnsi" w:eastAsiaTheme="majorEastAsia" w:hAnsiTheme="majorHAnsi" w:cstheme="majorBidi"/>
      <w:b/>
      <w:bCs/>
    </w:rPr>
  </w:style>
  <w:style w:type="character" w:styleId="IntenseEmphasis">
    <w:name w:val="Intense Emphasis"/>
    <w:basedOn w:val="DefaultParagraphFont"/>
    <w:uiPriority w:val="21"/>
    <w:rsid w:val="0035044D"/>
    <w:rPr>
      <w:b/>
      <w:bCs/>
      <w:i/>
      <w:iCs/>
      <w:color w:val="4472C4" w:themeColor="accent1"/>
      <w:lang w:val="en-GB"/>
    </w:rPr>
  </w:style>
  <w:style w:type="paragraph" w:styleId="IntenseQuote">
    <w:name w:val="Intense Quote"/>
    <w:basedOn w:val="Normal"/>
    <w:next w:val="Normal"/>
    <w:link w:val="IntenseQuoteChar"/>
    <w:uiPriority w:val="30"/>
    <w:rsid w:val="0035044D"/>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35044D"/>
    <w:rPr>
      <w:rFonts w:ascii="Times New Roman" w:eastAsia="Times New Roman" w:hAnsi="Times New Roman" w:cs="Times New Roman"/>
      <w:b/>
      <w:bCs/>
      <w:i/>
      <w:iCs/>
      <w:color w:val="4472C4" w:themeColor="accent1"/>
      <w:sz w:val="24"/>
      <w:szCs w:val="24"/>
      <w:lang w:val="en-GB"/>
    </w:rPr>
  </w:style>
  <w:style w:type="character" w:styleId="IntenseReference">
    <w:name w:val="Intense Reference"/>
    <w:basedOn w:val="DefaultParagraphFont"/>
    <w:uiPriority w:val="32"/>
    <w:rsid w:val="0035044D"/>
    <w:rPr>
      <w:b/>
      <w:bCs/>
      <w:smallCaps/>
      <w:color w:val="ED7D31" w:themeColor="accent2"/>
      <w:spacing w:val="5"/>
      <w:u w:val="single"/>
      <w:lang w:val="en-GB"/>
    </w:rPr>
  </w:style>
  <w:style w:type="table" w:styleId="LightGrid">
    <w:name w:val="Light Grid"/>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rsid w:val="0035044D"/>
    <w:pPr>
      <w:spacing w:after="0" w:line="240" w:lineRule="auto"/>
    </w:pPr>
    <w:rPr>
      <w:rFonts w:ascii="Times New Roman" w:hAnsi="Times New Roman" w:cs="Times New Roman"/>
      <w:color w:val="000000" w:themeColor="text1" w:themeShade="BF"/>
      <w:sz w:val="24"/>
      <w:szCs w:val="24"/>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5044D"/>
    <w:pPr>
      <w:spacing w:after="0" w:line="240" w:lineRule="auto"/>
    </w:pPr>
    <w:rPr>
      <w:rFonts w:ascii="Times New Roman" w:hAnsi="Times New Roman" w:cs="Times New Roman"/>
      <w:color w:val="2F5496" w:themeColor="accent1" w:themeShade="BF"/>
      <w:sz w:val="24"/>
      <w:szCs w:val="24"/>
      <w:lang w:val="en-GB"/>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5044D"/>
    <w:pPr>
      <w:spacing w:after="0" w:line="240" w:lineRule="auto"/>
    </w:pPr>
    <w:rPr>
      <w:rFonts w:ascii="Times New Roman" w:hAnsi="Times New Roman" w:cs="Times New Roman"/>
      <w:color w:val="C45911" w:themeColor="accent2" w:themeShade="BF"/>
      <w:sz w:val="24"/>
      <w:szCs w:val="24"/>
      <w:lang w:val="en-GB"/>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5044D"/>
    <w:pPr>
      <w:spacing w:after="0" w:line="240" w:lineRule="auto"/>
    </w:pPr>
    <w:rPr>
      <w:rFonts w:ascii="Times New Roman" w:hAnsi="Times New Roman" w:cs="Times New Roman"/>
      <w:color w:val="7B7B7B" w:themeColor="accent3" w:themeShade="BF"/>
      <w:sz w:val="24"/>
      <w:szCs w:val="24"/>
      <w:lang w:val="en-GB"/>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5044D"/>
    <w:pPr>
      <w:spacing w:after="0" w:line="240" w:lineRule="auto"/>
    </w:pPr>
    <w:rPr>
      <w:rFonts w:ascii="Times New Roman" w:hAnsi="Times New Roman" w:cs="Times New Roman"/>
      <w:color w:val="BF8F00" w:themeColor="accent4" w:themeShade="BF"/>
      <w:sz w:val="24"/>
      <w:szCs w:val="24"/>
      <w:lang w:val="en-GB"/>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5044D"/>
    <w:pPr>
      <w:spacing w:after="0" w:line="240" w:lineRule="auto"/>
    </w:pPr>
    <w:rPr>
      <w:rFonts w:ascii="Times New Roman" w:hAnsi="Times New Roman" w:cs="Times New Roman"/>
      <w:color w:val="2E74B5" w:themeColor="accent5" w:themeShade="BF"/>
      <w:sz w:val="24"/>
      <w:szCs w:val="24"/>
      <w:lang w:val="en-GB"/>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5044D"/>
    <w:pPr>
      <w:spacing w:after="0" w:line="240" w:lineRule="auto"/>
    </w:pPr>
    <w:rPr>
      <w:rFonts w:ascii="Times New Roman" w:hAnsi="Times New Roman" w:cs="Times New Roman"/>
      <w:color w:val="538135" w:themeColor="accent6" w:themeShade="BF"/>
      <w:sz w:val="24"/>
      <w:szCs w:val="24"/>
      <w:lang w:val="en-GB"/>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35044D"/>
    <w:rPr>
      <w:lang w:val="en-GB"/>
    </w:rPr>
  </w:style>
  <w:style w:type="paragraph" w:styleId="Macro">
    <w:name w:val="macro"/>
    <w:link w:val="MacroTextChar"/>
    <w:uiPriority w:val="99"/>
    <w:semiHidden/>
    <w:rsid w:val="0035044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sz w:val="20"/>
      <w:szCs w:val="20"/>
      <w:lang w:val="en-GB"/>
    </w:rPr>
  </w:style>
  <w:style w:type="character" w:customStyle="1" w:styleId="MacroTextChar">
    <w:name w:val="Macro Text Char"/>
    <w:basedOn w:val="DefaultParagraphFont"/>
    <w:link w:val="Macro"/>
    <w:uiPriority w:val="99"/>
    <w:semiHidden/>
    <w:rsid w:val="0035044D"/>
    <w:rPr>
      <w:rFonts w:ascii="Consolas" w:eastAsia="Times New Roman" w:hAnsi="Consolas" w:cs="Consolas"/>
      <w:sz w:val="20"/>
      <w:szCs w:val="20"/>
      <w:lang w:val="en-GB"/>
    </w:rPr>
  </w:style>
  <w:style w:type="table" w:styleId="MediumGrid1">
    <w:name w:val="Medium Grid 1"/>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5044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3504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5044D"/>
  </w:style>
  <w:style w:type="paragraph" w:styleId="NormalIndent">
    <w:name w:val="Normal Indent"/>
    <w:basedOn w:val="Normal"/>
    <w:uiPriority w:val="99"/>
    <w:semiHidden/>
    <w:rsid w:val="0035044D"/>
    <w:pPr>
      <w:ind w:left="720"/>
    </w:pPr>
  </w:style>
  <w:style w:type="paragraph" w:customStyle="1" w:styleId="NoteHeading1">
    <w:name w:val="Note Heading1"/>
    <w:basedOn w:val="Normal"/>
    <w:next w:val="Normal"/>
    <w:link w:val="NoteHeadingChar"/>
    <w:uiPriority w:val="99"/>
    <w:semiHidden/>
    <w:rsid w:val="0035044D"/>
  </w:style>
  <w:style w:type="character" w:customStyle="1" w:styleId="NoteHeadingChar">
    <w:name w:val="Note Heading Char"/>
    <w:basedOn w:val="DefaultParagraphFont"/>
    <w:link w:val="NoteHeading1"/>
    <w:uiPriority w:val="99"/>
    <w:semiHidden/>
    <w:rsid w:val="0035044D"/>
    <w:rPr>
      <w:rFonts w:ascii="Times New Roman" w:eastAsia="Times New Roman" w:hAnsi="Times New Roman" w:cs="Times New Roman"/>
      <w:sz w:val="24"/>
      <w:szCs w:val="24"/>
      <w:lang w:val="en-GB"/>
    </w:rPr>
  </w:style>
  <w:style w:type="character" w:styleId="PlaceholderText">
    <w:name w:val="Placeholder Text"/>
    <w:basedOn w:val="DefaultParagraphFont"/>
    <w:uiPriority w:val="99"/>
    <w:semiHidden/>
    <w:rsid w:val="0035044D"/>
    <w:rPr>
      <w:color w:val="808080"/>
      <w:lang w:val="en-GB"/>
    </w:rPr>
  </w:style>
  <w:style w:type="paragraph" w:styleId="PlainText">
    <w:name w:val="Plain Text"/>
    <w:basedOn w:val="Normal"/>
    <w:link w:val="PlainTextChar"/>
    <w:uiPriority w:val="99"/>
    <w:semiHidden/>
    <w:rsid w:val="0035044D"/>
    <w:rPr>
      <w:rFonts w:ascii="Consolas" w:hAnsi="Consolas" w:cs="Consolas"/>
      <w:sz w:val="21"/>
      <w:szCs w:val="21"/>
    </w:rPr>
  </w:style>
  <w:style w:type="character" w:customStyle="1" w:styleId="PlainTextChar">
    <w:name w:val="Plain Text Char"/>
    <w:basedOn w:val="DefaultParagraphFont"/>
    <w:link w:val="PlainText"/>
    <w:uiPriority w:val="99"/>
    <w:semiHidden/>
    <w:rsid w:val="0035044D"/>
    <w:rPr>
      <w:rFonts w:ascii="Consolas" w:eastAsia="Times New Roman" w:hAnsi="Consolas" w:cs="Consolas"/>
      <w:sz w:val="21"/>
      <w:szCs w:val="21"/>
      <w:lang w:val="en-GB"/>
    </w:rPr>
  </w:style>
  <w:style w:type="paragraph" w:styleId="Quote">
    <w:name w:val="Quote"/>
    <w:basedOn w:val="Normal"/>
    <w:next w:val="Normal"/>
    <w:link w:val="QuoteChar"/>
    <w:uiPriority w:val="29"/>
    <w:rsid w:val="0035044D"/>
    <w:rPr>
      <w:i/>
      <w:iCs/>
      <w:color w:val="000000" w:themeColor="text1"/>
    </w:rPr>
  </w:style>
  <w:style w:type="character" w:customStyle="1" w:styleId="QuoteChar">
    <w:name w:val="Quote Char"/>
    <w:basedOn w:val="DefaultParagraphFont"/>
    <w:link w:val="Quote"/>
    <w:uiPriority w:val="29"/>
    <w:rsid w:val="0035044D"/>
    <w:rPr>
      <w:rFonts w:ascii="Times New Roman" w:eastAsia="Times New Roman" w:hAnsi="Times New Roman" w:cs="Times New Roman"/>
      <w:i/>
      <w:iCs/>
      <w:color w:val="000000" w:themeColor="text1"/>
      <w:sz w:val="24"/>
      <w:szCs w:val="24"/>
      <w:lang w:val="en-GB"/>
    </w:rPr>
  </w:style>
  <w:style w:type="paragraph" w:styleId="Signature">
    <w:name w:val="Signature"/>
    <w:basedOn w:val="Normal"/>
    <w:link w:val="SignatureChar"/>
    <w:uiPriority w:val="99"/>
    <w:semiHidden/>
    <w:rsid w:val="0035044D"/>
    <w:pPr>
      <w:ind w:left="4320"/>
    </w:pPr>
  </w:style>
  <w:style w:type="character" w:customStyle="1" w:styleId="SignatureChar">
    <w:name w:val="Signature Char"/>
    <w:basedOn w:val="DefaultParagraphFont"/>
    <w:link w:val="Signature"/>
    <w:uiPriority w:val="99"/>
    <w:semiHidden/>
    <w:rsid w:val="0035044D"/>
    <w:rPr>
      <w:rFonts w:ascii="Times New Roman" w:eastAsia="Times New Roman" w:hAnsi="Times New Roman" w:cs="Times New Roman"/>
      <w:sz w:val="24"/>
      <w:szCs w:val="24"/>
      <w:lang w:val="en-GB"/>
    </w:rPr>
  </w:style>
  <w:style w:type="character" w:styleId="Strong">
    <w:name w:val="Strong"/>
    <w:basedOn w:val="DefaultParagraphFont"/>
    <w:uiPriority w:val="22"/>
    <w:rsid w:val="0035044D"/>
    <w:rPr>
      <w:b/>
      <w:bCs/>
      <w:lang w:val="en-GB"/>
    </w:rPr>
  </w:style>
  <w:style w:type="paragraph" w:styleId="Subtitle">
    <w:name w:val="Subtitle"/>
    <w:basedOn w:val="Normal"/>
    <w:next w:val="Normal"/>
    <w:link w:val="SubtitleChar"/>
    <w:uiPriority w:val="11"/>
    <w:rsid w:val="0035044D"/>
    <w:pPr>
      <w:numPr>
        <w:ilvl w:val="1"/>
      </w:numPr>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35044D"/>
    <w:rPr>
      <w:rFonts w:asciiTheme="majorHAnsi" w:eastAsiaTheme="majorEastAsia" w:hAnsiTheme="majorHAnsi" w:cstheme="majorBidi"/>
      <w:i/>
      <w:iCs/>
      <w:color w:val="4472C4" w:themeColor="accent1"/>
      <w:spacing w:val="15"/>
      <w:sz w:val="24"/>
      <w:szCs w:val="24"/>
      <w:lang w:val="en-GB"/>
    </w:rPr>
  </w:style>
  <w:style w:type="character" w:styleId="SubtleEmphasis">
    <w:name w:val="Subtle Emphasis"/>
    <w:basedOn w:val="DefaultParagraphFont"/>
    <w:uiPriority w:val="19"/>
    <w:rsid w:val="0035044D"/>
    <w:rPr>
      <w:i/>
      <w:iCs/>
      <w:color w:val="808080" w:themeColor="text1" w:themeTint="7F"/>
      <w:lang w:val="en-GB"/>
    </w:rPr>
  </w:style>
  <w:style w:type="character" w:styleId="SubtleReference">
    <w:name w:val="Subtle Reference"/>
    <w:basedOn w:val="DefaultParagraphFont"/>
    <w:uiPriority w:val="31"/>
    <w:rsid w:val="0035044D"/>
    <w:rPr>
      <w:smallCaps/>
      <w:color w:val="ED7D31" w:themeColor="accent2"/>
      <w:u w:val="single"/>
      <w:lang w:val="en-GB"/>
    </w:rPr>
  </w:style>
  <w:style w:type="table" w:styleId="Table3Deffects1">
    <w:name w:val="Table 3D effects 1"/>
    <w:basedOn w:val="TableNormal"/>
    <w:uiPriority w:val="99"/>
    <w:semiHidden/>
    <w:unhideWhenUsed/>
    <w:rsid w:val="0035044D"/>
    <w:pPr>
      <w:spacing w:after="0" w:line="240" w:lineRule="auto"/>
    </w:pPr>
    <w:rPr>
      <w:rFonts w:ascii="Times New Roman" w:hAnsi="Times New Roman" w:cs="Times New Roman"/>
      <w:sz w:val="24"/>
      <w:szCs w:val="24"/>
      <w:lang w:val="en-GB"/>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2">
    <w:name w:val="Table 3D effects 2"/>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Pr>
    <w:tcPr>
      <w:shd w:val="solid" w:color="C0C0C0" w:fill="FFFFFF"/>
    </w:tcPr>
    <w:tblStylePr w:type="firstRow">
      <w:rPr>
        <w:b/>
        <w:bCs/>
      </w:r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StyleColBandSize w:val="1"/>
    </w:tblPr>
    <w:tblStylePr w:type="firstRow">
      <w:rPr>
        <w:b/>
        <w:bCs/>
      </w:r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uiPriority w:val="99"/>
    <w:semiHidden/>
    <w:unhideWhenUsed/>
    <w:rsid w:val="0035044D"/>
    <w:pPr>
      <w:spacing w:after="0" w:line="240" w:lineRule="auto"/>
    </w:pPr>
    <w:rPr>
      <w:rFonts w:ascii="Times New Roman" w:hAnsi="Times New Roman" w:cs="Times New Roman"/>
      <w:color w:val="000080"/>
      <w:sz w:val="24"/>
      <w:szCs w:val="24"/>
      <w:lang w:val="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35044D"/>
    <w:pPr>
      <w:spacing w:after="0" w:line="240" w:lineRule="auto"/>
    </w:pPr>
    <w:rPr>
      <w:rFonts w:ascii="Times New Roman" w:hAnsi="Times New Roman" w:cs="Times New Roman"/>
      <w:color w:val="FFFFFF"/>
      <w:sz w:val="24"/>
      <w:szCs w:val="24"/>
      <w:lang w:val="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uiPriority w:val="99"/>
    <w:semiHidden/>
    <w:unhideWhenUsed/>
    <w:rsid w:val="0035044D"/>
    <w:pPr>
      <w:spacing w:after="0" w:line="240" w:lineRule="auto"/>
    </w:pPr>
    <w:rPr>
      <w:rFonts w:ascii="Times New Roman" w:hAnsi="Times New Roman" w:cs="Times New Roman"/>
      <w:b/>
      <w:bCs/>
      <w:sz w:val="24"/>
      <w:szCs w:val="24"/>
      <w:lang w:val="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uiPriority w:val="99"/>
    <w:semiHidden/>
    <w:unhideWhenUsed/>
    <w:rsid w:val="0035044D"/>
    <w:pPr>
      <w:spacing w:after="0" w:line="240" w:lineRule="auto"/>
    </w:pPr>
    <w:rPr>
      <w:rFonts w:ascii="Times New Roman" w:hAnsi="Times New Roman" w:cs="Times New Roman"/>
      <w:b/>
      <w:bCs/>
      <w:sz w:val="24"/>
      <w:szCs w:val="24"/>
      <w:lang w:val="en-GB"/>
    </w:rPr>
    <w:tblPr>
      <w:tblStyleColBandSize w:val="1"/>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35044D"/>
    <w:pPr>
      <w:spacing w:after="0" w:line="240" w:lineRule="auto"/>
    </w:pPr>
    <w:rPr>
      <w:rFonts w:ascii="Times New Roman" w:hAnsi="Times New Roman" w:cs="Times New Roman"/>
      <w:b/>
      <w:bCs/>
      <w:sz w:val="24"/>
      <w:szCs w:val="24"/>
      <w:lang w:val="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uiPriority w:val="99"/>
    <w:semiHidden/>
    <w:unhideWhenUsed/>
    <w:rsid w:val="0035044D"/>
    <w:pPr>
      <w:spacing w:after="0" w:line="240" w:lineRule="auto"/>
    </w:pPr>
    <w:rPr>
      <w:rFonts w:ascii="Times New Roman" w:hAnsi="Times New Roman" w:cs="Times New Roman"/>
      <w:sz w:val="24"/>
      <w:szCs w:val="24"/>
      <w:lang w:val="en-GB"/>
    </w:rPr>
    <w:tblPr>
      <w:tblStyleColBandSize w:val="1"/>
    </w:tblPr>
    <w:tblStylePr w:type="firstRow">
      <w:rPr>
        <w:color w:val="FFFFFF"/>
      </w:rPr>
      <w:tblPr/>
      <w:tcPr>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5044D"/>
    <w:pPr>
      <w:spacing w:after="0" w:line="240" w:lineRule="auto"/>
    </w:pPr>
    <w:rPr>
      <w:rFonts w:ascii="Times New Roman" w:hAnsi="Times New Roman" w:cs="Times New Roman"/>
      <w:sz w:val="24"/>
      <w:szCs w:val="24"/>
      <w:lang w:val="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TableGrid1">
    <w:name w:val="Table Grid 1"/>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TableGrid4">
    <w:name w:val="Table Grid 4"/>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35044D"/>
    <w:pPr>
      <w:spacing w:after="0" w:line="240" w:lineRule="auto"/>
    </w:pPr>
    <w:rPr>
      <w:rFonts w:ascii="Times New Roman" w:hAnsi="Times New Roman" w:cs="Times New Roman"/>
      <w:b/>
      <w:bCs/>
      <w:sz w:val="24"/>
      <w:szCs w:val="24"/>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6">
    <w:name w:val="Table List 6"/>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paragraph" w:styleId="TableofAuthorities">
    <w:name w:val="table of authorities"/>
    <w:basedOn w:val="Normal"/>
    <w:next w:val="Normal"/>
    <w:uiPriority w:val="99"/>
    <w:semiHidden/>
    <w:rsid w:val="0035044D"/>
    <w:pPr>
      <w:ind w:left="240" w:hanging="240"/>
    </w:pPr>
  </w:style>
  <w:style w:type="paragraph" w:styleId="TableofFigures">
    <w:name w:val="table of figures"/>
    <w:basedOn w:val="Normal"/>
    <w:next w:val="Normal"/>
    <w:uiPriority w:val="99"/>
    <w:semiHidden/>
    <w:rsid w:val="0035044D"/>
  </w:style>
  <w:style w:type="table" w:styleId="TableProfessional">
    <w:name w:val="Table Professional"/>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TableSimple1">
    <w:name w:val="Table Simple 1"/>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35044D"/>
    <w:pPr>
      <w:spacing w:after="0" w:line="240" w:lineRule="auto"/>
    </w:pPr>
    <w:rPr>
      <w:rFonts w:ascii="Times New Roman" w:hAnsi="Times New Roman" w:cs="Times New Roman"/>
      <w:sz w:val="24"/>
      <w:szCs w:val="24"/>
      <w:lang w:val="en-GB"/>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5044D"/>
    <w:pPr>
      <w:spacing w:after="0" w:line="240" w:lineRule="auto"/>
    </w:pPr>
    <w:rPr>
      <w:rFonts w:ascii="Times New Roman" w:hAnsi="Times New Roman" w:cs="Times New Roman"/>
      <w:sz w:val="24"/>
      <w:szCs w:val="24"/>
      <w:lang w:val="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StylePr>
  </w:style>
  <w:style w:type="table" w:styleId="TableWeb2">
    <w:name w:val="Table Web 2"/>
    <w:basedOn w:val="TableNormal"/>
    <w:uiPriority w:val="99"/>
    <w:semiHidden/>
    <w:unhideWhenUsed/>
    <w:rsid w:val="0035044D"/>
    <w:pPr>
      <w:spacing w:after="0" w:line="240" w:lineRule="auto"/>
    </w:pPr>
    <w:rPr>
      <w:rFonts w:ascii="Times New Roman" w:hAnsi="Times New Roman" w:cs="Times New Roman"/>
      <w:sz w:val="24"/>
      <w:szCs w:val="24"/>
      <w:lang w:val="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StylePr>
  </w:style>
  <w:style w:type="table" w:styleId="TableWeb3">
    <w:name w:val="Table Web 3"/>
    <w:basedOn w:val="TableNormal"/>
    <w:uiPriority w:val="99"/>
    <w:semiHidden/>
    <w:unhideWhenUsed/>
    <w:rsid w:val="0035044D"/>
    <w:pPr>
      <w:spacing w:after="0" w:line="240" w:lineRule="auto"/>
    </w:pPr>
    <w:rPr>
      <w:rFonts w:ascii="Times New Roman" w:hAnsi="Times New Roman" w:cs="Times New Roman"/>
      <w:sz w:val="24"/>
      <w:szCs w:val="24"/>
      <w:lang w:val="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StylePr>
  </w:style>
  <w:style w:type="paragraph" w:styleId="Title">
    <w:name w:val="Title"/>
    <w:basedOn w:val="Normal"/>
    <w:next w:val="Normal"/>
    <w:link w:val="TitleChar"/>
    <w:uiPriority w:val="10"/>
    <w:rsid w:val="0035044D"/>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5044D"/>
    <w:rPr>
      <w:rFonts w:asciiTheme="majorHAnsi" w:eastAsiaTheme="majorEastAsia" w:hAnsiTheme="majorHAnsi" w:cstheme="majorBidi"/>
      <w:color w:val="323E4F" w:themeColor="text2" w:themeShade="BF"/>
      <w:spacing w:val="5"/>
      <w:kern w:val="28"/>
      <w:sz w:val="52"/>
      <w:szCs w:val="52"/>
      <w:lang w:val="en-GB"/>
    </w:rPr>
  </w:style>
  <w:style w:type="paragraph" w:styleId="TOCHeading">
    <w:name w:val="TOC Heading"/>
    <w:basedOn w:val="Heading1"/>
    <w:next w:val="Normal"/>
    <w:uiPriority w:val="39"/>
    <w:semiHidden/>
    <w:rsid w:val="0035044D"/>
    <w:pPr>
      <w:spacing w:before="480" w:after="0" w:line="240" w:lineRule="auto"/>
      <w:outlineLvl w:val="9"/>
    </w:pPr>
    <w:rPr>
      <w:rFonts w:asciiTheme="majorHAnsi" w:eastAsiaTheme="majorEastAsia" w:hAnsiTheme="majorHAnsi" w:cstheme="majorBidi"/>
      <w:bCs/>
      <w:caps w:val="0"/>
      <w:color w:val="2F5496" w:themeColor="accent1" w:themeShade="BF"/>
      <w:sz w:val="28"/>
      <w:szCs w:val="28"/>
    </w:rPr>
  </w:style>
  <w:style w:type="character" w:customStyle="1" w:styleId="BoldEmphasis">
    <w:name w:val="Bold Emphasis"/>
    <w:basedOn w:val="DefaultParagraphFont"/>
    <w:qFormat/>
    <w:rsid w:val="00061A47"/>
    <w:rPr>
      <w:rFonts w:ascii="Verdana" w:hAnsi="Verdana"/>
      <w:b/>
      <w:i/>
      <w:sz w:val="20"/>
      <w:lang w:val="en-GB"/>
    </w:rPr>
  </w:style>
  <w:style w:type="paragraph" w:customStyle="1" w:styleId="MarginNo">
    <w:name w:val="MarginNo"/>
    <w:basedOn w:val="Normal"/>
    <w:link w:val="MarginNoChar"/>
    <w:qFormat/>
    <w:rsid w:val="0035044D"/>
    <w:pPr>
      <w:numPr>
        <w:numId w:val="3"/>
      </w:numPr>
      <w:spacing w:after="180" w:line="280" w:lineRule="atLeast"/>
      <w:jc w:val="both"/>
    </w:pPr>
    <w:rPr>
      <w:rFonts w:eastAsia="SimSun"/>
      <w:szCs w:val="20"/>
    </w:rPr>
  </w:style>
  <w:style w:type="character" w:customStyle="1" w:styleId="MarginNoChar">
    <w:name w:val="MarginNo Char"/>
    <w:link w:val="MarginNo"/>
    <w:rsid w:val="0035044D"/>
    <w:rPr>
      <w:rFonts w:ascii="Verdana" w:eastAsia="SimSun" w:hAnsi="Verdana" w:cs="Times New Roman"/>
      <w:sz w:val="20"/>
      <w:szCs w:val="20"/>
      <w:lang w:val="en-GB"/>
    </w:rPr>
  </w:style>
  <w:style w:type="paragraph" w:customStyle="1" w:styleId="FWParties">
    <w:name w:val="FWParties"/>
    <w:basedOn w:val="Normal"/>
    <w:link w:val="FWPartiesChar"/>
    <w:qFormat/>
    <w:rsid w:val="0035044D"/>
    <w:pPr>
      <w:numPr>
        <w:numId w:val="2"/>
      </w:numPr>
      <w:spacing w:after="180" w:line="280" w:lineRule="atLeast"/>
      <w:jc w:val="both"/>
    </w:pPr>
    <w:rPr>
      <w:rFonts w:eastAsia="SimSun"/>
      <w:szCs w:val="20"/>
    </w:rPr>
  </w:style>
  <w:style w:type="character" w:customStyle="1" w:styleId="FWPartiesChar">
    <w:name w:val="FWParties Char"/>
    <w:link w:val="FWParties"/>
    <w:rsid w:val="0035044D"/>
    <w:rPr>
      <w:rFonts w:ascii="Verdana" w:eastAsia="SimSun" w:hAnsi="Verdana" w:cs="Times New Roman"/>
      <w:sz w:val="20"/>
      <w:szCs w:val="20"/>
      <w:lang w:val="en-GB"/>
    </w:rPr>
  </w:style>
  <w:style w:type="paragraph" w:styleId="ListParagraph">
    <w:name w:val="List Paragraph"/>
    <w:basedOn w:val="Normal"/>
    <w:uiPriority w:val="34"/>
    <w:qFormat/>
    <w:rsid w:val="0035044D"/>
    <w:pPr>
      <w:ind w:left="720"/>
      <w:contextualSpacing/>
    </w:pPr>
  </w:style>
  <w:style w:type="paragraph" w:styleId="ListBullet5">
    <w:name w:val="List Bullet 5"/>
    <w:basedOn w:val="Normal"/>
    <w:unhideWhenUsed/>
    <w:rsid w:val="0035044D"/>
    <w:pPr>
      <w:numPr>
        <w:ilvl w:val="4"/>
        <w:numId w:val="4"/>
      </w:numPr>
      <w:contextualSpacing/>
    </w:pPr>
  </w:style>
  <w:style w:type="paragraph" w:styleId="ListBullet2">
    <w:name w:val="List Bullet 2"/>
    <w:basedOn w:val="Normal"/>
    <w:unhideWhenUsed/>
    <w:rsid w:val="0035044D"/>
    <w:pPr>
      <w:contextualSpacing/>
    </w:pPr>
  </w:style>
  <w:style w:type="paragraph" w:styleId="ListBullet3">
    <w:name w:val="List Bullet 3"/>
    <w:basedOn w:val="Normal"/>
    <w:unhideWhenUsed/>
    <w:rsid w:val="0035044D"/>
    <w:pPr>
      <w:numPr>
        <w:ilvl w:val="2"/>
        <w:numId w:val="4"/>
      </w:numPr>
      <w:contextualSpacing/>
    </w:pPr>
  </w:style>
  <w:style w:type="paragraph" w:styleId="ListBullet4">
    <w:name w:val="List Bullet 4"/>
    <w:basedOn w:val="Normal"/>
    <w:unhideWhenUsed/>
    <w:rsid w:val="0035044D"/>
    <w:pPr>
      <w:numPr>
        <w:ilvl w:val="3"/>
        <w:numId w:val="4"/>
      </w:numPr>
      <w:contextualSpacing/>
    </w:pPr>
  </w:style>
  <w:style w:type="paragraph" w:customStyle="1" w:styleId="ListBullet6">
    <w:name w:val="List Bullet 6"/>
    <w:basedOn w:val="Normal"/>
    <w:rsid w:val="0035044D"/>
    <w:pPr>
      <w:numPr>
        <w:ilvl w:val="5"/>
        <w:numId w:val="4"/>
      </w:numPr>
    </w:pPr>
  </w:style>
  <w:style w:type="paragraph" w:customStyle="1" w:styleId="ListBullet7">
    <w:name w:val="List Bullet 7"/>
    <w:basedOn w:val="Normal"/>
    <w:rsid w:val="0035044D"/>
    <w:pPr>
      <w:numPr>
        <w:ilvl w:val="6"/>
        <w:numId w:val="4"/>
      </w:numPr>
    </w:pPr>
  </w:style>
  <w:style w:type="paragraph" w:customStyle="1" w:styleId="ListBullet8">
    <w:name w:val="List Bullet 8"/>
    <w:basedOn w:val="Normal"/>
    <w:rsid w:val="0035044D"/>
    <w:pPr>
      <w:numPr>
        <w:ilvl w:val="7"/>
        <w:numId w:val="4"/>
      </w:numPr>
    </w:pPr>
  </w:style>
  <w:style w:type="paragraph" w:customStyle="1" w:styleId="ListBullet9">
    <w:name w:val="List Bullet 9"/>
    <w:basedOn w:val="Normal"/>
    <w:rsid w:val="0035044D"/>
    <w:pPr>
      <w:numPr>
        <w:ilvl w:val="8"/>
        <w:numId w:val="4"/>
      </w:numPr>
    </w:pPr>
  </w:style>
  <w:style w:type="paragraph" w:styleId="ListBullet">
    <w:name w:val="List Bullet"/>
    <w:basedOn w:val="Normal"/>
    <w:unhideWhenUsed/>
    <w:rsid w:val="0035044D"/>
    <w:pPr>
      <w:ind w:left="720" w:hanging="720"/>
      <w:contextualSpacing/>
    </w:pPr>
  </w:style>
  <w:style w:type="paragraph" w:customStyle="1" w:styleId="Randziffer">
    <w:name w:val="Randziffer"/>
    <w:basedOn w:val="Normal"/>
    <w:qFormat/>
    <w:rsid w:val="0035044D"/>
    <w:pPr>
      <w:numPr>
        <w:numId w:val="5"/>
      </w:numPr>
      <w:spacing w:after="180" w:line="280" w:lineRule="atLeast"/>
    </w:pPr>
  </w:style>
  <w:style w:type="character" w:customStyle="1" w:styleId="UnresolvedMention1">
    <w:name w:val="Unresolved Mention1"/>
    <w:basedOn w:val="DefaultParagraphFont"/>
    <w:uiPriority w:val="99"/>
    <w:semiHidden/>
    <w:unhideWhenUsed/>
    <w:rsid w:val="00A167D6"/>
    <w:rPr>
      <w:color w:val="605E5C"/>
      <w:shd w:val="clear" w:color="auto" w:fill="E1DFDD"/>
    </w:rPr>
  </w:style>
  <w:style w:type="paragraph" w:customStyle="1" w:styleId="MacPacTrailer">
    <w:name w:val="MacPac Trailer"/>
    <w:basedOn w:val="BodyText"/>
    <w:rsid w:val="00DD0BF5"/>
    <w:pPr>
      <w:widowControl w:val="0"/>
      <w:spacing w:after="0" w:line="170" w:lineRule="exact"/>
      <w:jc w:val="left"/>
    </w:pPr>
    <w:rPr>
      <w:sz w:val="14"/>
      <w:szCs w:val="22"/>
    </w:rPr>
  </w:style>
  <w:style w:type="character" w:customStyle="1" w:styleId="Mention1">
    <w:name w:val="Mention1"/>
    <w:basedOn w:val="DefaultParagraphFont"/>
    <w:uiPriority w:val="99"/>
    <w:unhideWhenUsed/>
    <w:rsid w:val="00C22A03"/>
    <w:rPr>
      <w:color w:val="2B579A"/>
      <w:shd w:val="clear" w:color="auto" w:fill="E1DFDD"/>
    </w:rPr>
  </w:style>
  <w:style w:type="paragraph" w:customStyle="1" w:styleId="Firm3L1">
    <w:name w:val="Firm3_L1"/>
    <w:basedOn w:val="Normal"/>
    <w:next w:val="Firm3L2"/>
    <w:link w:val="Firm3L1Char"/>
    <w:rsid w:val="002A6EF5"/>
    <w:pPr>
      <w:keepNext/>
      <w:numPr>
        <w:numId w:val="12"/>
      </w:numPr>
      <w:spacing w:before="240" w:after="180" w:line="280" w:lineRule="atLeast"/>
      <w:jc w:val="both"/>
      <w:outlineLvl w:val="0"/>
    </w:pPr>
    <w:rPr>
      <w:rFonts w:eastAsia="SimSun"/>
      <w:b/>
      <w:szCs w:val="20"/>
    </w:rPr>
  </w:style>
  <w:style w:type="paragraph" w:customStyle="1" w:styleId="Firm3L2">
    <w:name w:val="Firm3_L2"/>
    <w:basedOn w:val="Firm3L1"/>
    <w:link w:val="Firm3L2Char"/>
    <w:rsid w:val="002A6EF5"/>
    <w:pPr>
      <w:keepNext w:val="0"/>
      <w:numPr>
        <w:ilvl w:val="1"/>
      </w:numPr>
      <w:spacing w:before="0"/>
      <w:outlineLvl w:val="1"/>
    </w:pPr>
    <w:rPr>
      <w:b w:val="0"/>
    </w:rPr>
  </w:style>
  <w:style w:type="paragraph" w:customStyle="1" w:styleId="Firm3L3">
    <w:name w:val="Firm3_L3"/>
    <w:basedOn w:val="Firm3L2"/>
    <w:link w:val="Firm3L3Char"/>
    <w:rsid w:val="002A6EF5"/>
    <w:pPr>
      <w:numPr>
        <w:ilvl w:val="2"/>
      </w:numPr>
      <w:outlineLvl w:val="2"/>
    </w:pPr>
  </w:style>
  <w:style w:type="paragraph" w:customStyle="1" w:styleId="Firm3L4">
    <w:name w:val="Firm3_L4"/>
    <w:basedOn w:val="Firm3L3"/>
    <w:link w:val="Firm3L4Char"/>
    <w:rsid w:val="002A6EF5"/>
    <w:pPr>
      <w:numPr>
        <w:ilvl w:val="3"/>
      </w:numPr>
      <w:outlineLvl w:val="3"/>
    </w:pPr>
  </w:style>
  <w:style w:type="paragraph" w:customStyle="1" w:styleId="Firm3L5">
    <w:name w:val="Firm3_L5"/>
    <w:basedOn w:val="Firm3L4"/>
    <w:link w:val="Firm3L5Char"/>
    <w:rsid w:val="002A6EF5"/>
    <w:pPr>
      <w:numPr>
        <w:ilvl w:val="4"/>
      </w:numPr>
      <w:outlineLvl w:val="4"/>
    </w:pPr>
  </w:style>
  <w:style w:type="paragraph" w:customStyle="1" w:styleId="Firm3L6">
    <w:name w:val="Firm3_L6"/>
    <w:basedOn w:val="Firm3L5"/>
    <w:link w:val="Firm3L6Char"/>
    <w:rsid w:val="002A6EF5"/>
    <w:pPr>
      <w:numPr>
        <w:ilvl w:val="5"/>
      </w:numPr>
      <w:outlineLvl w:val="5"/>
    </w:pPr>
  </w:style>
  <w:style w:type="paragraph" w:customStyle="1" w:styleId="Firm3L7">
    <w:name w:val="Firm3_L7"/>
    <w:basedOn w:val="Firm3L6"/>
    <w:link w:val="Firm3L7Char"/>
    <w:rsid w:val="002A6EF5"/>
    <w:pPr>
      <w:numPr>
        <w:ilvl w:val="6"/>
      </w:numPr>
      <w:outlineLvl w:val="6"/>
    </w:pPr>
  </w:style>
  <w:style w:type="paragraph" w:customStyle="1" w:styleId="Firm3L8">
    <w:name w:val="Firm3_L8"/>
    <w:basedOn w:val="Firm3L7"/>
    <w:link w:val="Firm3L8Char"/>
    <w:rsid w:val="002A6EF5"/>
    <w:pPr>
      <w:numPr>
        <w:ilvl w:val="7"/>
      </w:numPr>
      <w:outlineLvl w:val="7"/>
    </w:pPr>
  </w:style>
  <w:style w:type="paragraph" w:customStyle="1" w:styleId="Firm3L9">
    <w:name w:val="Firm3_L9"/>
    <w:basedOn w:val="Firm3L8"/>
    <w:link w:val="Firm3L9Char"/>
    <w:rsid w:val="002A6EF5"/>
    <w:pPr>
      <w:numPr>
        <w:ilvl w:val="8"/>
      </w:numPr>
      <w:outlineLvl w:val="8"/>
    </w:pPr>
  </w:style>
  <w:style w:type="paragraph" w:customStyle="1" w:styleId="Default">
    <w:name w:val="Default"/>
    <w:rsid w:val="00D46840"/>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Revision">
    <w:name w:val="Revision"/>
    <w:hidden/>
    <w:uiPriority w:val="99"/>
    <w:semiHidden/>
    <w:rsid w:val="00480888"/>
    <w:pPr>
      <w:spacing w:after="0" w:line="240" w:lineRule="auto"/>
    </w:pPr>
    <w:rPr>
      <w:rFonts w:ascii="Verdana" w:eastAsia="Times New Roman" w:hAnsi="Verdana" w:cs="Times New Roman"/>
      <w:sz w:val="20"/>
      <w:szCs w:val="24"/>
      <w:lang w:val="en-GB"/>
    </w:rPr>
  </w:style>
  <w:style w:type="paragraph" w:customStyle="1" w:styleId="Firm3Cont1">
    <w:name w:val="Firm3 Cont 1"/>
    <w:basedOn w:val="Normal"/>
    <w:link w:val="Firm3Cont1Char"/>
    <w:rsid w:val="003B3C3E"/>
    <w:pPr>
      <w:spacing w:before="240" w:after="180" w:line="280" w:lineRule="atLeast"/>
      <w:ind w:left="720"/>
      <w:jc w:val="both"/>
    </w:pPr>
    <w:rPr>
      <w:rFonts w:eastAsia="SimSun"/>
      <w:szCs w:val="20"/>
    </w:rPr>
  </w:style>
  <w:style w:type="character" w:customStyle="1" w:styleId="Firm3Cont1Char">
    <w:name w:val="Firm3 Cont 1 Char"/>
    <w:link w:val="Firm3Cont1"/>
    <w:rsid w:val="003B3C3E"/>
    <w:rPr>
      <w:rFonts w:ascii="Verdana" w:eastAsia="SimSun" w:hAnsi="Verdana" w:cs="Times New Roman"/>
      <w:sz w:val="20"/>
      <w:szCs w:val="20"/>
      <w:lang w:val="en-GB"/>
    </w:rPr>
  </w:style>
  <w:style w:type="paragraph" w:customStyle="1" w:styleId="Firm3Cont2">
    <w:name w:val="Firm3 Cont 2"/>
    <w:basedOn w:val="Firm3Cont1"/>
    <w:link w:val="Firm3Cont2Char"/>
    <w:rsid w:val="003B3C3E"/>
    <w:pPr>
      <w:spacing w:before="0"/>
    </w:pPr>
  </w:style>
  <w:style w:type="character" w:customStyle="1" w:styleId="Firm3Cont2Char">
    <w:name w:val="Firm3 Cont 2 Char"/>
    <w:link w:val="Firm3Cont2"/>
    <w:rsid w:val="003B3C3E"/>
    <w:rPr>
      <w:rFonts w:ascii="Verdana" w:eastAsia="SimSun" w:hAnsi="Verdana" w:cs="Times New Roman"/>
      <w:sz w:val="20"/>
      <w:szCs w:val="20"/>
      <w:lang w:val="en-GB"/>
    </w:rPr>
  </w:style>
  <w:style w:type="paragraph" w:customStyle="1" w:styleId="Firm3Cont3">
    <w:name w:val="Firm3 Cont 3"/>
    <w:basedOn w:val="Firm3Cont2"/>
    <w:link w:val="Firm3Cont3Char"/>
    <w:rsid w:val="003B3C3E"/>
    <w:pPr>
      <w:ind w:left="1440"/>
    </w:pPr>
  </w:style>
  <w:style w:type="character" w:customStyle="1" w:styleId="Firm3Cont3Char">
    <w:name w:val="Firm3 Cont 3 Char"/>
    <w:link w:val="Firm3Cont3"/>
    <w:rsid w:val="003B3C3E"/>
    <w:rPr>
      <w:rFonts w:ascii="Verdana" w:eastAsia="SimSun" w:hAnsi="Verdana" w:cs="Times New Roman"/>
      <w:sz w:val="20"/>
      <w:szCs w:val="20"/>
      <w:lang w:val="en-GB"/>
    </w:rPr>
  </w:style>
  <w:style w:type="paragraph" w:customStyle="1" w:styleId="Firm3Cont4">
    <w:name w:val="Firm3 Cont 4"/>
    <w:basedOn w:val="Firm3Cont3"/>
    <w:link w:val="Firm3Cont4Char"/>
    <w:rsid w:val="003B3C3E"/>
    <w:pPr>
      <w:ind w:left="2160"/>
    </w:pPr>
  </w:style>
  <w:style w:type="character" w:customStyle="1" w:styleId="Firm3Cont4Char">
    <w:name w:val="Firm3 Cont 4 Char"/>
    <w:link w:val="Firm3Cont4"/>
    <w:rsid w:val="003B3C3E"/>
    <w:rPr>
      <w:rFonts w:ascii="Verdana" w:eastAsia="SimSun" w:hAnsi="Verdana" w:cs="Times New Roman"/>
      <w:sz w:val="20"/>
      <w:szCs w:val="20"/>
      <w:lang w:val="en-GB"/>
    </w:rPr>
  </w:style>
  <w:style w:type="paragraph" w:customStyle="1" w:styleId="Firm3Cont5">
    <w:name w:val="Firm3 Cont 5"/>
    <w:basedOn w:val="Firm3Cont4"/>
    <w:link w:val="Firm3Cont5Char"/>
    <w:rsid w:val="003B3C3E"/>
    <w:pPr>
      <w:ind w:left="2880"/>
    </w:pPr>
  </w:style>
  <w:style w:type="character" w:customStyle="1" w:styleId="Firm3Cont5Char">
    <w:name w:val="Firm3 Cont 5 Char"/>
    <w:link w:val="Firm3Cont5"/>
    <w:rsid w:val="003B3C3E"/>
    <w:rPr>
      <w:rFonts w:ascii="Verdana" w:eastAsia="SimSun" w:hAnsi="Verdana" w:cs="Times New Roman"/>
      <w:sz w:val="20"/>
      <w:szCs w:val="20"/>
      <w:lang w:val="en-GB"/>
    </w:rPr>
  </w:style>
  <w:style w:type="paragraph" w:customStyle="1" w:styleId="Firm3Cont6">
    <w:name w:val="Firm3 Cont 6"/>
    <w:basedOn w:val="Firm3Cont5"/>
    <w:link w:val="Firm3Cont6Char"/>
    <w:rsid w:val="003B3C3E"/>
    <w:pPr>
      <w:ind w:left="3600"/>
    </w:pPr>
  </w:style>
  <w:style w:type="character" w:customStyle="1" w:styleId="Firm3Cont6Char">
    <w:name w:val="Firm3 Cont 6 Char"/>
    <w:link w:val="Firm3Cont6"/>
    <w:rsid w:val="003B3C3E"/>
    <w:rPr>
      <w:rFonts w:ascii="Verdana" w:eastAsia="SimSun" w:hAnsi="Verdana" w:cs="Times New Roman"/>
      <w:sz w:val="20"/>
      <w:szCs w:val="20"/>
      <w:lang w:val="en-GB"/>
    </w:rPr>
  </w:style>
  <w:style w:type="paragraph" w:customStyle="1" w:styleId="Firm3Cont7">
    <w:name w:val="Firm3 Cont 7"/>
    <w:basedOn w:val="Firm3Cont6"/>
    <w:link w:val="Firm3Cont7Char"/>
    <w:rsid w:val="003B3C3E"/>
    <w:pPr>
      <w:ind w:left="4320"/>
    </w:pPr>
  </w:style>
  <w:style w:type="character" w:customStyle="1" w:styleId="Firm3Cont7Char">
    <w:name w:val="Firm3 Cont 7 Char"/>
    <w:link w:val="Firm3Cont7"/>
    <w:rsid w:val="003B3C3E"/>
    <w:rPr>
      <w:rFonts w:ascii="Verdana" w:eastAsia="SimSun" w:hAnsi="Verdana" w:cs="Times New Roman"/>
      <w:sz w:val="20"/>
      <w:szCs w:val="20"/>
      <w:lang w:val="en-GB"/>
    </w:rPr>
  </w:style>
  <w:style w:type="paragraph" w:customStyle="1" w:styleId="Firm3Cont8">
    <w:name w:val="Firm3 Cont 8"/>
    <w:basedOn w:val="Firm3Cont7"/>
    <w:link w:val="Firm3Cont8Char"/>
    <w:rsid w:val="003B3C3E"/>
    <w:pPr>
      <w:ind w:left="720"/>
    </w:pPr>
  </w:style>
  <w:style w:type="character" w:customStyle="1" w:styleId="Firm3Cont8Char">
    <w:name w:val="Firm3 Cont 8 Char"/>
    <w:link w:val="Firm3Cont8"/>
    <w:rsid w:val="003B3C3E"/>
    <w:rPr>
      <w:rFonts w:ascii="Verdana" w:eastAsia="SimSun" w:hAnsi="Verdana" w:cs="Times New Roman"/>
      <w:sz w:val="20"/>
      <w:szCs w:val="20"/>
      <w:lang w:val="en-GB"/>
    </w:rPr>
  </w:style>
  <w:style w:type="paragraph" w:customStyle="1" w:styleId="Firm3Cont9">
    <w:name w:val="Firm3 Cont 9"/>
    <w:basedOn w:val="Firm3Cont8"/>
    <w:link w:val="Firm3Cont9Char"/>
    <w:rsid w:val="003B3C3E"/>
    <w:pPr>
      <w:ind w:left="1440"/>
    </w:pPr>
  </w:style>
  <w:style w:type="character" w:customStyle="1" w:styleId="Firm3Cont9Char">
    <w:name w:val="Firm3 Cont 9 Char"/>
    <w:link w:val="Firm3Cont9"/>
    <w:rsid w:val="003B3C3E"/>
    <w:rPr>
      <w:rFonts w:ascii="Verdana" w:eastAsia="SimSun" w:hAnsi="Verdana" w:cs="Times New Roman"/>
      <w:sz w:val="20"/>
      <w:szCs w:val="20"/>
      <w:lang w:val="en-GB"/>
    </w:rPr>
  </w:style>
  <w:style w:type="character" w:customStyle="1" w:styleId="Firm3L1Char">
    <w:name w:val="Firm3_L1 Char"/>
    <w:link w:val="Firm3L1"/>
    <w:rsid w:val="002A6EF5"/>
    <w:rPr>
      <w:rFonts w:ascii="Verdana" w:eastAsia="SimSun" w:hAnsi="Verdana" w:cs="Times New Roman"/>
      <w:b/>
      <w:sz w:val="20"/>
      <w:szCs w:val="20"/>
      <w:lang w:val="en-GB"/>
    </w:rPr>
  </w:style>
  <w:style w:type="character" w:customStyle="1" w:styleId="Firm3L2Char">
    <w:name w:val="Firm3_L2 Char"/>
    <w:link w:val="Firm3L2"/>
    <w:rsid w:val="002A6EF5"/>
    <w:rPr>
      <w:rFonts w:ascii="Verdana" w:eastAsia="SimSun" w:hAnsi="Verdana" w:cs="Times New Roman"/>
      <w:sz w:val="20"/>
      <w:szCs w:val="20"/>
      <w:lang w:val="en-GB"/>
    </w:rPr>
  </w:style>
  <w:style w:type="character" w:customStyle="1" w:styleId="Firm3L3Char">
    <w:name w:val="Firm3_L3 Char"/>
    <w:link w:val="Firm3L3"/>
    <w:rsid w:val="002A6EF5"/>
    <w:rPr>
      <w:rFonts w:ascii="Verdana" w:eastAsia="SimSun" w:hAnsi="Verdana" w:cs="Times New Roman"/>
      <w:sz w:val="20"/>
      <w:szCs w:val="20"/>
      <w:lang w:val="en-GB"/>
    </w:rPr>
  </w:style>
  <w:style w:type="character" w:customStyle="1" w:styleId="Firm3L4Char">
    <w:name w:val="Firm3_L4 Char"/>
    <w:link w:val="Firm3L4"/>
    <w:rsid w:val="002A6EF5"/>
    <w:rPr>
      <w:rFonts w:ascii="Verdana" w:eastAsia="SimSun" w:hAnsi="Verdana" w:cs="Times New Roman"/>
      <w:sz w:val="20"/>
      <w:szCs w:val="20"/>
      <w:lang w:val="en-GB"/>
    </w:rPr>
  </w:style>
  <w:style w:type="character" w:customStyle="1" w:styleId="Firm3L5Char">
    <w:name w:val="Firm3_L5 Char"/>
    <w:link w:val="Firm3L5"/>
    <w:rsid w:val="002A6EF5"/>
    <w:rPr>
      <w:rFonts w:ascii="Verdana" w:eastAsia="SimSun" w:hAnsi="Verdana" w:cs="Times New Roman"/>
      <w:sz w:val="20"/>
      <w:szCs w:val="20"/>
      <w:lang w:val="en-GB"/>
    </w:rPr>
  </w:style>
  <w:style w:type="character" w:customStyle="1" w:styleId="Firm3L6Char">
    <w:name w:val="Firm3_L6 Char"/>
    <w:link w:val="Firm3L6"/>
    <w:rsid w:val="002A6EF5"/>
    <w:rPr>
      <w:rFonts w:ascii="Verdana" w:eastAsia="SimSun" w:hAnsi="Verdana" w:cs="Times New Roman"/>
      <w:sz w:val="20"/>
      <w:szCs w:val="20"/>
      <w:lang w:val="en-GB"/>
    </w:rPr>
  </w:style>
  <w:style w:type="character" w:customStyle="1" w:styleId="Firm3L7Char">
    <w:name w:val="Firm3_L7 Char"/>
    <w:link w:val="Firm3L7"/>
    <w:rsid w:val="002A6EF5"/>
    <w:rPr>
      <w:rFonts w:ascii="Verdana" w:eastAsia="SimSun" w:hAnsi="Verdana" w:cs="Times New Roman"/>
      <w:sz w:val="20"/>
      <w:szCs w:val="20"/>
      <w:lang w:val="en-GB"/>
    </w:rPr>
  </w:style>
  <w:style w:type="character" w:customStyle="1" w:styleId="Firm3L8Char">
    <w:name w:val="Firm3_L8 Char"/>
    <w:link w:val="Firm3L8"/>
    <w:rsid w:val="002A6EF5"/>
    <w:rPr>
      <w:rFonts w:ascii="Verdana" w:eastAsia="SimSun" w:hAnsi="Verdana" w:cs="Times New Roman"/>
      <w:sz w:val="20"/>
      <w:szCs w:val="20"/>
      <w:lang w:val="en-GB"/>
    </w:rPr>
  </w:style>
  <w:style w:type="character" w:customStyle="1" w:styleId="Firm3L9Char">
    <w:name w:val="Firm3_L9 Char"/>
    <w:link w:val="Firm3L9"/>
    <w:rsid w:val="002A6EF5"/>
    <w:rPr>
      <w:rFonts w:ascii="Verdana" w:eastAsia="SimSun" w:hAnsi="Verdana" w:cs="Times New Roman"/>
      <w:sz w:val="20"/>
      <w:szCs w:val="20"/>
      <w:lang w:val="en-GB"/>
    </w:rPr>
  </w:style>
  <w:style w:type="paragraph" w:customStyle="1" w:styleId="Style1">
    <w:name w:val="Style1"/>
    <w:basedOn w:val="Firm3L3"/>
    <w:uiPriority w:val="4"/>
    <w:rsid w:val="0016156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Program%20Files%20(x86)\Litera\Forte\Templates\Blank_A4_Portrait.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4F8A9BC2FC840E8956DEC04F383EBC5"/>
        <w:category>
          <w:name w:val="General"/>
          <w:gallery w:val="placeholder"/>
        </w:category>
        <w:types>
          <w:type w:val="bbPlcHdr"/>
        </w:types>
        <w:behaviors>
          <w:behavior w:val="content"/>
        </w:behaviors>
        <w:guid w:val="{FF4E24E9-C955-4779-BBD9-E001A00640C0}"/>
      </w:docPartPr>
      <w:docPartBody>
        <w:p w:rsidR="002B14E5" w:rsidP="009A149B">
          <w:pPr>
            <w:pStyle w:val="64F8A9BC2FC840E8956DEC04F383EBC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F8A9BC2FC840E8956DEC04F383EBC5">
    <w:name w:val="64F8A9BC2FC840E8956DEC04F383EBC5"/>
    <w:rsid w:val="009A14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3FB49-AF19-48B3-BB47-60B58C9768C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CHI0043</dc:title>
  <cp:revision>0</cp:revision>
</cp:coreProperties>
</file>