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tbl>
      <w:tblPr>
        <w:tblStyle w:val="TableGrid"/>
        <w:tblW w:w="5000" w:type="pct"/>
        <w:tblBorders>
          <w:top w:val="nil"/>
          <w:left w:val="nil"/>
          <w:bottom w:val="nil"/>
          <w:right w:val="nil"/>
          <w:insideH w:val="nil"/>
          <w:insideV w:val="nil"/>
        </w:tblBorders>
        <w:tblCellMar>
          <w:left w:w="0" w:type="dxa"/>
          <w:right w:w="0" w:type="dxa"/>
        </w:tblCellMar>
        <w:tblLook w:val="0600"/>
      </w:tblPr>
      <w:tblGrid>
        <w:gridCol w:w="5954"/>
        <w:gridCol w:w="4512"/>
      </w:tblGrid>
      <w:tr w:rsidTr="00342CCF">
        <w:tblPrEx>
          <w:tblW w:w="5000" w:type="pct"/>
          <w:tblBorders>
            <w:top w:val="nil"/>
            <w:left w:val="nil"/>
            <w:bottom w:val="nil"/>
            <w:right w:val="nil"/>
            <w:insideH w:val="nil"/>
            <w:insideV w:val="nil"/>
          </w:tblBorders>
          <w:tblCellMar>
            <w:left w:w="0" w:type="dxa"/>
            <w:right w:w="0" w:type="dxa"/>
          </w:tblCellMar>
          <w:tblLook w:val="0600"/>
        </w:tblPrEx>
        <w:trPr>
          <w:trHeight w:val="716"/>
        </w:trPr>
        <w:tc>
          <w:tcPr>
            <w:tcW w:w="5954" w:type="dxa"/>
          </w:tcPr>
          <w:p w:rsidR="002437F5" w:rsidP="00B70582">
            <w:r>
              <w:rPr>
                <w:noProof/>
              </w:rPr>
              <w:drawing>
                <wp:inline distT="0" distB="0" distL="0" distR="0">
                  <wp:extent cx="2181600" cy="288000"/>
                  <wp:effectExtent l="0" t="0" r="0" b="0"/>
                  <wp:docPr id="692798307" name="Picture 2" descr="A blue and black rect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798307" name="Picture 2" descr="A blue and black rectangles&#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2181600" cy="288000"/>
                          </a:xfrm>
                          <a:prstGeom prst="rect">
                            <a:avLst/>
                          </a:prstGeom>
                        </pic:spPr>
                      </pic:pic>
                    </a:graphicData>
                  </a:graphic>
                </wp:inline>
              </w:drawing>
            </w:r>
          </w:p>
        </w:tc>
        <w:tc>
          <w:tcPr>
            <w:tcW w:w="4513" w:type="dxa"/>
          </w:tcPr>
          <w:p w:rsidR="002437F5" w:rsidRPr="00B269F5" w:rsidP="00B70582">
            <w:pPr>
              <w:spacing w:after="96" w:line="240" w:lineRule="auto"/>
              <w:rPr>
                <w:color w:val="1C59B5" w:themeColor="accent2"/>
                <w:sz w:val="24"/>
                <w:szCs w:val="24"/>
              </w:rPr>
            </w:pPr>
            <w:r w:rsidRPr="00B269F5">
              <w:rPr>
                <w:color w:val="1C59B5" w:themeColor="accent2"/>
                <w:sz w:val="24"/>
                <w:szCs w:val="24"/>
              </w:rPr>
              <w:t xml:space="preserve">Business or Operating Unit/ </w:t>
            </w:r>
            <w:r w:rsidRPr="00B269F5">
              <w:rPr>
                <w:color w:val="1C59B5" w:themeColor="accent2"/>
                <w:sz w:val="24"/>
                <w:szCs w:val="24"/>
              </w:rPr>
              <w:br/>
              <w:t>Franchise or Department</w:t>
            </w:r>
          </w:p>
        </w:tc>
      </w:tr>
      <w:tr w:rsidTr="00342CCF">
        <w:tblPrEx>
          <w:tblW w:w="5000" w:type="pct"/>
          <w:tblCellMar>
            <w:left w:w="0" w:type="dxa"/>
            <w:right w:w="0" w:type="dxa"/>
          </w:tblCellMar>
          <w:tblLook w:val="0600"/>
        </w:tblPrEx>
        <w:trPr>
          <w:trHeight w:hRule="exact" w:val="8505"/>
        </w:trPr>
        <w:tc>
          <w:tcPr>
            <w:tcW w:w="5954" w:type="dxa"/>
          </w:tcPr>
          <w:p w:rsidR="002437F5" w:rsidP="00B70582">
            <w:pPr>
              <w:rPr>
                <w:noProof/>
              </w:rPr>
            </w:pPr>
          </w:p>
        </w:tc>
        <w:tc>
          <w:tcPr>
            <w:tcW w:w="4513" w:type="dxa"/>
          </w:tcPr>
          <w:p w:rsidR="002437F5" w:rsidP="00B70582"/>
        </w:tc>
      </w:tr>
    </w:tbl>
    <w:p w:rsidR="002437F5" w:rsidP="00121F7F">
      <w:pPr>
        <w:spacing w:line="240" w:lineRule="auto"/>
      </w:pPr>
      <w:r>
        <w:rPr>
          <w:noProof/>
        </w:rPr>
        <mc:AlternateContent>
          <mc:Choice Requires="wps">
            <w:drawing>
              <wp:anchor distT="0" distB="0" distL="114300" distR="114300" simplePos="0" relativeHeight="251658240" behindDoc="1" locked="1" layoutInCell="1" allowOverlap="1">
                <wp:simplePos x="0" y="0"/>
                <wp:positionH relativeFrom="page">
                  <wp:align>left</wp:align>
                </wp:positionH>
                <wp:positionV relativeFrom="page">
                  <wp:align>top</wp:align>
                </wp:positionV>
                <wp:extent cx="7560000" cy="10692000"/>
                <wp:effectExtent l="0" t="0" r="3175" b="0"/>
                <wp:wrapNone/>
                <wp:docPr id="294976972" name="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7560000" cy="1069200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o:spid="_x0000_s1025" style="height:841.9pt;margin-left:0;margin-top:0;mso-height-percent:0;mso-height-relative:margin;mso-position-horizontal:left;mso-position-horizontal-relative:page;mso-position-vertical:top;mso-position-vertical-relative:page;mso-width-percent:0;mso-width-relative:margin;mso-wrap-distance-bottom:0;mso-wrap-distance-left:9pt;mso-wrap-distance-right:9pt;mso-wrap-distance-top:0;mso-wrap-style:square;position:absolute;v-text-anchor:middle;visibility:visible;width:595.3pt;z-index:-251657216" fillcolor="#f1ece9" stroked="f" strokeweight="1pt">
                <w10:wrap anchorx="page" anchory="page"/>
                <w10:anchorlock/>
              </v:rect>
            </w:pict>
          </mc:Fallback>
        </mc:AlternateContent>
      </w:r>
      <w:r>
        <w:rPr>
          <w:noProof/>
        </w:rPr>
        <w:drawing>
          <wp:anchor distT="0" distB="0" distL="114300" distR="114300" simplePos="0" relativeHeight="251660288" behindDoc="1" locked="1" layoutInCell="1" allowOverlap="1">
            <wp:simplePos x="0" y="0"/>
            <wp:positionH relativeFrom="page">
              <wp:align>left</wp:align>
            </wp:positionH>
            <wp:positionV relativeFrom="page">
              <wp:align>top</wp:align>
            </wp:positionV>
            <wp:extent cx="7560000" cy="10692000"/>
            <wp:effectExtent l="0" t="0" r="3175" b="0"/>
            <wp:wrapNone/>
            <wp:docPr id="152669601" name="Picture 1"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69601" name="Picture 1" descr="A blue and black background&#10;&#10;Description automatically generated"/>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anchor>
        </w:drawing>
      </w:r>
    </w:p>
    <w:p w:rsidR="002437F5" w:rsidP="00121F7F">
      <w:pPr>
        <w:spacing w:line="240" w:lineRule="auto"/>
      </w:pPr>
    </w:p>
    <w:p w:rsidR="002437F5" w:rsidP="00121F7F">
      <w:pPr>
        <w:spacing w:line="240" w:lineRule="auto"/>
      </w:pPr>
    </w:p>
    <w:p w:rsidR="002437F5" w:rsidP="00121F7F">
      <w:pPr>
        <w:spacing w:line="240" w:lineRule="auto"/>
      </w:pPr>
    </w:p>
    <w:tbl>
      <w:tblPr>
        <w:tblStyle w:val="TableGrid"/>
        <w:tblW w:w="5000" w:type="pct"/>
        <w:tblBorders>
          <w:top w:val="nil"/>
          <w:left w:val="nil"/>
          <w:bottom w:val="nil"/>
          <w:right w:val="nil"/>
          <w:insideH w:val="nil"/>
          <w:insideV w:val="nil"/>
        </w:tblBorders>
        <w:tblLayout w:type="fixed"/>
        <w:tblCellMar>
          <w:left w:w="0" w:type="dxa"/>
          <w:right w:w="0" w:type="dxa"/>
        </w:tblCellMar>
        <w:tblLook w:val="0600"/>
      </w:tblPr>
      <w:tblGrid>
        <w:gridCol w:w="10466"/>
      </w:tblGrid>
      <w:tr w:rsidTr="00342CCF">
        <w:tblPrEx>
          <w:tblW w:w="5000" w:type="pct"/>
          <w:tblBorders>
            <w:top w:val="nil"/>
            <w:left w:val="nil"/>
            <w:bottom w:val="nil"/>
            <w:right w:val="nil"/>
            <w:insideH w:val="nil"/>
            <w:insideV w:val="nil"/>
          </w:tblBorders>
          <w:tblLayout w:type="fixed"/>
          <w:tblCellMar>
            <w:left w:w="0" w:type="dxa"/>
            <w:right w:w="0" w:type="dxa"/>
          </w:tblCellMar>
          <w:tblLook w:val="0600"/>
        </w:tblPrEx>
        <w:trPr>
          <w:trHeight w:val="3878"/>
        </w:trPr>
        <w:tc>
          <w:tcPr>
            <w:tcW w:w="10466" w:type="dxa"/>
            <w:vAlign w:val="bottom"/>
          </w:tcPr>
          <w:p w:rsidR="002437F5" w:rsidRPr="0061478E" w:rsidP="00B70582">
            <w:pPr>
              <w:pStyle w:val="Documenttitle"/>
              <w:ind w:right="3092"/>
              <w:rPr>
                <w:sz w:val="52"/>
                <w:szCs w:val="52"/>
              </w:rPr>
            </w:pPr>
            <w:r>
              <w:rPr>
                <w:sz w:val="52"/>
                <w:szCs w:val="52"/>
              </w:rPr>
              <w:t>Sandoz submission to Business and Trade Select Committee</w:t>
            </w:r>
            <w:r w:rsidRPr="0061478E">
              <w:rPr>
                <w:sz w:val="52"/>
                <w:szCs w:val="52"/>
              </w:rPr>
              <w:t xml:space="preserve">: China and the UK economy </w:t>
            </w:r>
          </w:p>
        </w:tc>
      </w:tr>
    </w:tbl>
    <w:p w:rsidR="002437F5" w:rsidP="00121F7F">
      <w:pPr>
        <w:pStyle w:val="Documentdate"/>
      </w:pPr>
      <w:r>
        <w:t>10 April 2026</w:t>
      </w:r>
    </w:p>
    <w:p w:rsidR="002437F5" w:rsidP="00121F7F"/>
    <w:p w:rsidR="002437F5" w:rsidP="00121F7F">
      <w:pPr>
        <w:sectPr w:rsidSect="00602F92">
          <w:headerReference w:type="default" r:id="rId11"/>
          <w:headerReference w:type="first" r:id="rId12"/>
          <w:pgSz w:w="11906" w:h="16838" w:code="9"/>
          <w:pgMar w:top="720" w:right="720" w:bottom="720" w:left="720" w:header="454" w:footer="454" w:gutter="0"/>
          <w:cols w:space="708"/>
          <w:docGrid w:linePitch="360"/>
        </w:sectPr>
      </w:pPr>
    </w:p>
    <w:p w:rsidR="002437F5" w:rsidP="00A517E9">
      <w:pPr>
        <w:pStyle w:val="Heading1"/>
        <w:numPr>
          <w:ilvl w:val="0"/>
          <w:numId w:val="21"/>
        </w:numPr>
        <w:ind w:left="0" w:firstLine="0"/>
      </w:pPr>
      <w:r>
        <w:t>Summary</w:t>
      </w:r>
    </w:p>
    <w:p w:rsidR="002437F5" w:rsidRPr="009A464D" w:rsidP="0061478E">
      <w:pPr>
        <w:rPr>
          <w:rFonts w:ascii="Arial" w:hAnsi="Arial" w:cs="Arial"/>
          <w:color w:val="001C4A" w:themeColor="accent1"/>
        </w:rPr>
      </w:pPr>
      <w:r w:rsidRPr="009A464D">
        <w:rPr>
          <w:rFonts w:ascii="Arial" w:hAnsi="Arial" w:cs="Arial"/>
        </w:rPr>
        <w:t xml:space="preserve">Antibiotics are indispensable to modern </w:t>
      </w:r>
      <w:r w:rsidRPr="009A464D">
        <w:rPr>
          <w:rFonts w:ascii="Arial" w:hAnsi="Arial" w:cs="Arial"/>
          <w:color w:val="001C4A" w:themeColor="accent1"/>
        </w:rPr>
        <w:t>healthcare. Even brief supply disruptions would force UK hospitals to cancel surgeries, halt chemotherapy, delay organ transplants, and cope with rising mortality from treatable infections. Such a shock would quickly cascade into economic and social disruption.</w:t>
      </w:r>
    </w:p>
    <w:p w:rsidR="002437F5" w:rsidRPr="009A464D" w:rsidP="0061478E">
      <w:pPr>
        <w:rPr>
          <w:rFonts w:ascii="Arial" w:hAnsi="Arial" w:cs="Arial"/>
          <w:color w:val="001C4A" w:themeColor="accent1"/>
        </w:rPr>
      </w:pPr>
    </w:p>
    <w:p w:rsidR="002437F5" w:rsidRPr="009A464D" w:rsidP="0061478E">
      <w:pPr>
        <w:rPr>
          <w:rFonts w:ascii="Arial" w:hAnsi="Arial" w:cs="Arial"/>
          <w:color w:val="001C4A" w:themeColor="accent1"/>
        </w:rPr>
      </w:pPr>
      <w:r w:rsidRPr="009A464D">
        <w:rPr>
          <w:rFonts w:ascii="Arial" w:hAnsi="Arial" w:cs="Arial"/>
          <w:color w:val="001C4A" w:themeColor="accent1"/>
        </w:rPr>
        <w:t>However, the UK depends on highly concentrated global supply chains for the key starting materials that underpin penicillin</w:t>
      </w:r>
      <w:r w:rsidRPr="009A464D">
        <w:rPr>
          <w:rFonts w:ascii="Arial" w:hAnsi="Arial" w:cs="Arial"/>
          <w:color w:val="001C4A" w:themeColor="accent1"/>
        </w:rPr>
        <w:noBreakHyphen/>
        <w:t>class antibiotics. Production of 6</w:t>
      </w:r>
      <w:r w:rsidRPr="009A464D">
        <w:rPr>
          <w:rFonts w:ascii="Arial" w:hAnsi="Arial" w:cs="Arial"/>
          <w:color w:val="001C4A" w:themeColor="accent1"/>
        </w:rPr>
        <w:noBreakHyphen/>
        <w:t>APA, the essential starting material for penicillin APIs, is overwhelmingly located in China, while much finished</w:t>
      </w:r>
      <w:r w:rsidRPr="009A464D">
        <w:rPr>
          <w:rFonts w:ascii="Arial" w:hAnsi="Arial" w:cs="Arial"/>
          <w:color w:val="001C4A" w:themeColor="accent1"/>
        </w:rPr>
        <w:noBreakHyphen/>
        <w:t>dose production is based in India. This creates structural exposure to geopolitical tension, export restrictions, price shocks, and coercive leverage.</w:t>
      </w:r>
    </w:p>
    <w:p w:rsidR="002437F5" w:rsidRPr="009A464D" w:rsidP="0061478E">
      <w:pPr>
        <w:rPr>
          <w:rFonts w:ascii="Arial" w:hAnsi="Arial" w:cs="Arial"/>
          <w:color w:val="001C4A" w:themeColor="accent1"/>
        </w:rPr>
      </w:pPr>
      <w:r w:rsidRPr="009A464D">
        <w:rPr>
          <w:rFonts w:ascii="Arial" w:hAnsi="Arial" w:cs="Arial"/>
          <w:color w:val="001C4A" w:themeColor="accent1"/>
        </w:rPr>
        <w:t xml:space="preserve">Europe’s last major fully integrated penicillin manufacturing network—in Kundl (Austria), </w:t>
      </w:r>
      <w:r w:rsidRPr="009A464D">
        <w:rPr>
          <w:rFonts w:ascii="Arial" w:hAnsi="Arial" w:cs="Arial"/>
          <w:color w:val="001C4A" w:themeColor="accent1"/>
        </w:rPr>
        <w:t>Lendava</w:t>
      </w:r>
      <w:r w:rsidRPr="009A464D">
        <w:rPr>
          <w:rFonts w:ascii="Arial" w:hAnsi="Arial" w:cs="Arial"/>
          <w:color w:val="001C4A" w:themeColor="accent1"/>
        </w:rPr>
        <w:t xml:space="preserve"> (Slovenia) and </w:t>
      </w:r>
      <w:r w:rsidRPr="009A464D">
        <w:rPr>
          <w:rFonts w:ascii="Arial" w:hAnsi="Arial" w:cs="Arial"/>
          <w:color w:val="001C4A" w:themeColor="accent1"/>
        </w:rPr>
        <w:t>Palafolls</w:t>
      </w:r>
      <w:r w:rsidRPr="009A464D">
        <w:rPr>
          <w:rFonts w:ascii="Arial" w:hAnsi="Arial" w:cs="Arial"/>
          <w:color w:val="001C4A" w:themeColor="accent1"/>
        </w:rPr>
        <w:t xml:space="preserve"> (Spain)—</w:t>
      </w:r>
      <w:r w:rsidRPr="009A464D">
        <w:rPr>
          <w:rFonts w:ascii="Arial" w:hAnsi="Arial" w:cs="Arial"/>
          <w:color w:val="001C4A" w:themeColor="accent1"/>
        </w:rPr>
        <w:t>is capable of meeting</w:t>
      </w:r>
      <w:r w:rsidRPr="009A464D">
        <w:rPr>
          <w:rFonts w:ascii="Arial" w:hAnsi="Arial" w:cs="Arial"/>
          <w:color w:val="001C4A" w:themeColor="accent1"/>
        </w:rPr>
        <w:t xml:space="preserve"> 100% of Europe’s demand for the most important oral penicillin medicines, and 50% of Europe’s sterile penicillin needs. Yet this strategically essential capability is under threat because procurement systems reward lowest price rather than resilience or security of supply. </w:t>
      </w:r>
    </w:p>
    <w:p w:rsidR="002437F5" w:rsidRPr="009A464D" w:rsidP="0061478E">
      <w:pPr>
        <w:rPr>
          <w:rFonts w:ascii="Arial" w:hAnsi="Arial" w:cs="Arial"/>
          <w:color w:val="001C4A" w:themeColor="accent1"/>
        </w:rPr>
      </w:pPr>
    </w:p>
    <w:p w:rsidR="002437F5" w:rsidRPr="009A464D" w:rsidP="0061478E">
      <w:pPr>
        <w:rPr>
          <w:rFonts w:ascii="Arial" w:hAnsi="Arial" w:cs="Arial"/>
          <w:color w:val="001C4A" w:themeColor="accent1"/>
        </w:rPr>
      </w:pPr>
      <w:r w:rsidRPr="009A464D">
        <w:rPr>
          <w:rFonts w:ascii="Arial" w:hAnsi="Arial" w:cs="Arial"/>
          <w:color w:val="001C4A" w:themeColor="accent1"/>
        </w:rPr>
        <w:t>The UK must modernise procurement to safeguard access to essential antibiotics and reduce exposure to adversarial dependency.</w:t>
      </w:r>
    </w:p>
    <w:p w:rsidR="002437F5" w:rsidP="00A517E9"/>
    <w:p w:rsidR="002437F5" w:rsidP="00A517E9">
      <w:pPr>
        <w:pStyle w:val="Heading2"/>
        <w:numPr>
          <w:ilvl w:val="1"/>
          <w:numId w:val="21"/>
        </w:numPr>
        <w:ind w:left="0" w:firstLine="0"/>
      </w:pPr>
      <w:r>
        <w:t>About Sandoz</w:t>
      </w:r>
    </w:p>
    <w:p w:rsidR="002437F5" w:rsidP="00A517E9"/>
    <w:p w:rsidR="002437F5" w:rsidRPr="007A0F2A" w:rsidP="0061478E">
      <w:pPr>
        <w:spacing w:after="160" w:line="278" w:lineRule="auto"/>
        <w:rPr>
          <w:rFonts w:ascii="Arial" w:hAnsi="Arial" w:cs="Arial"/>
        </w:rPr>
      </w:pPr>
      <w:r w:rsidRPr="007A0F2A">
        <w:rPr>
          <w:rFonts w:ascii="Arial" w:hAnsi="Arial" w:cs="Arial"/>
        </w:rPr>
        <w:t>Sandoz is a global leader in generic and biosimilar medicines, with a portfolio of around 1,300 products designed to expand</w:t>
      </w:r>
      <w:r w:rsidRPr="003F7240">
        <w:rPr>
          <w:rFonts w:ascii="Arial" w:hAnsi="Arial" w:cs="Arial"/>
        </w:rPr>
        <w:t xml:space="preserve"> patient</w:t>
      </w:r>
      <w:r w:rsidRPr="007A0F2A">
        <w:rPr>
          <w:rFonts w:ascii="Arial" w:hAnsi="Arial" w:cs="Arial"/>
        </w:rPr>
        <w:t xml:space="preserve"> access to essential treatments. In 2024, Sandoz provided over 900 million patient treatments worldwide. By offering affordable generics and pioneering biosimilars, Sandoz helps reduce healthcare expenditure and improve system sustainability, generating more than USD 19 billion in direct savings for US and European health systems in a single year. Its mission is to broaden access while supporting resilient, high</w:t>
      </w:r>
      <w:r w:rsidRPr="007A0F2A">
        <w:rPr>
          <w:rFonts w:ascii="Arial" w:hAnsi="Arial" w:cs="Arial"/>
        </w:rPr>
        <w:noBreakHyphen/>
        <w:t>value healthcare delivery across multiple therapeutic areas</w:t>
      </w:r>
      <w:r w:rsidRPr="003F7240">
        <w:rPr>
          <w:rFonts w:ascii="Arial" w:hAnsi="Arial" w:cs="Arial"/>
        </w:rPr>
        <w:t>.</w:t>
      </w:r>
    </w:p>
    <w:p w:rsidR="002437F5" w:rsidP="0061478E">
      <w:pPr>
        <w:spacing w:line="300" w:lineRule="atLeast"/>
        <w:rPr>
          <w:rFonts w:ascii="Arial" w:eastAsia="Times New Roman" w:hAnsi="Arial" w:cs="Arial"/>
          <w:lang w:eastAsia="en-GB"/>
        </w:rPr>
      </w:pPr>
      <w:r w:rsidRPr="003B68B7">
        <w:rPr>
          <w:rFonts w:ascii="Arial" w:eastAsia="Times New Roman" w:hAnsi="Arial" w:cs="Arial"/>
          <w:lang w:eastAsia="en-GB"/>
        </w:rPr>
        <w:t>Sandoz has invested heavily in modernisation, energy efficiency and environmentally advanced production, including major upgrades to reduce CO</w:t>
      </w:r>
      <w:r w:rsidRPr="003B68B7">
        <w:rPr>
          <w:rFonts w:ascii="Cambria Math" w:eastAsia="Times New Roman" w:hAnsi="Cambria Math" w:cs="Cambria Math"/>
          <w:lang w:eastAsia="en-GB"/>
        </w:rPr>
        <w:t>₂</w:t>
      </w:r>
      <w:r w:rsidRPr="003B68B7">
        <w:rPr>
          <w:rFonts w:ascii="Arial" w:eastAsia="Times New Roman" w:hAnsi="Arial" w:cs="Arial"/>
          <w:lang w:eastAsia="en-GB"/>
        </w:rPr>
        <w:t xml:space="preserve"> emissions, waste and resource use. Its capabilities make Sandoz a key contributor to Europe’s secure and sustainable supply of essential medicines</w:t>
      </w:r>
      <w:r w:rsidRPr="003F7240">
        <w:rPr>
          <w:rFonts w:ascii="Arial" w:eastAsia="Times New Roman" w:hAnsi="Arial" w:cs="Arial"/>
          <w:lang w:eastAsia="en-GB"/>
        </w:rPr>
        <w:t>.</w:t>
      </w:r>
    </w:p>
    <w:p w:rsidR="002437F5" w:rsidP="0061478E">
      <w:pPr>
        <w:spacing w:line="300" w:lineRule="atLeast"/>
        <w:rPr>
          <w:rFonts w:ascii="Arial" w:eastAsia="Times New Roman" w:hAnsi="Arial" w:cs="Arial"/>
          <w:lang w:eastAsia="en-GB"/>
        </w:rPr>
      </w:pPr>
    </w:p>
    <w:p w:rsidR="002437F5" w:rsidP="0061478E">
      <w:pPr>
        <w:pStyle w:val="Heading1"/>
      </w:pPr>
      <w:r>
        <w:t>Sandoz submission: China and the UK economy — antibiotic supply chain security</w:t>
      </w:r>
    </w:p>
    <w:p w:rsidR="002437F5" w:rsidRPr="009A464D" w:rsidP="0061478E">
      <w:pPr>
        <w:rPr>
          <w:rFonts w:ascii="Arial" w:hAnsi="Arial" w:cs="Arial"/>
          <w:b/>
          <w:bCs/>
        </w:rPr>
      </w:pPr>
      <w:r w:rsidRPr="009A464D">
        <w:rPr>
          <w:rFonts w:ascii="Arial" w:hAnsi="Arial" w:cs="Arial"/>
          <w:b/>
          <w:bCs/>
        </w:rPr>
        <w:t>Question 1</w:t>
      </w:r>
    </w:p>
    <w:p w:rsidR="002437F5" w:rsidRPr="009A464D" w:rsidP="0061478E">
      <w:pPr>
        <w:rPr>
          <w:rFonts w:ascii="Arial" w:hAnsi="Arial" w:cs="Arial"/>
          <w:b/>
          <w:bCs/>
        </w:rPr>
      </w:pPr>
      <w:r w:rsidRPr="009A464D">
        <w:rPr>
          <w:rFonts w:ascii="Arial" w:hAnsi="Arial" w:cs="Arial"/>
          <w:b/>
          <w:bCs/>
        </w:rPr>
        <w:t>Engagement with China: the prize and the price</w:t>
      </w:r>
    </w:p>
    <w:p w:rsidR="002437F5" w:rsidRPr="009A464D" w:rsidP="0061478E">
      <w:pPr>
        <w:rPr>
          <w:rFonts w:ascii="Arial" w:hAnsi="Arial" w:cs="Arial"/>
        </w:rPr>
      </w:pPr>
      <w:r w:rsidRPr="009A464D">
        <w:rPr>
          <w:rFonts w:ascii="Arial" w:hAnsi="Arial" w:cs="Arial"/>
          <w:b/>
          <w:bCs/>
        </w:rPr>
        <w:br/>
      </w:r>
      <w:r w:rsidRPr="009A464D">
        <w:rPr>
          <w:rFonts w:ascii="Arial" w:hAnsi="Arial" w:cs="Arial"/>
        </w:rPr>
        <w:t>China’s state</w:t>
      </w:r>
      <w:r w:rsidRPr="009A464D">
        <w:rPr>
          <w:rFonts w:ascii="Arial" w:hAnsi="Arial" w:cs="Arial"/>
        </w:rPr>
        <w:noBreakHyphen/>
        <w:t>supported scale in fermentation, 6</w:t>
      </w:r>
      <w:r w:rsidRPr="009A464D">
        <w:rPr>
          <w:rFonts w:ascii="Arial" w:hAnsi="Arial" w:cs="Arial"/>
        </w:rPr>
        <w:noBreakHyphen/>
      </w:r>
      <w:r w:rsidRPr="009A464D">
        <w:rPr>
          <w:rFonts w:ascii="Arial" w:hAnsi="Arial" w:cs="Arial"/>
        </w:rPr>
        <w:t>APA manufacturing and API production has driven global prices of high</w:t>
      </w:r>
      <w:r w:rsidRPr="009A464D">
        <w:rPr>
          <w:rFonts w:ascii="Arial" w:hAnsi="Arial" w:cs="Arial"/>
        </w:rPr>
        <w:noBreakHyphen/>
        <w:t>volume penicillin antibiotics to historically low levels. In the short term, this has helped health systems manage medicine budgets.</w:t>
      </w:r>
    </w:p>
    <w:p w:rsidR="002437F5" w:rsidRPr="009A464D" w:rsidP="0061478E">
      <w:pPr>
        <w:rPr>
          <w:rFonts w:ascii="Arial" w:hAnsi="Arial" w:cs="Arial"/>
        </w:rPr>
      </w:pPr>
    </w:p>
    <w:p w:rsidR="002437F5" w:rsidRPr="009A464D" w:rsidP="0061478E">
      <w:pPr>
        <w:rPr>
          <w:rFonts w:ascii="Arial" w:hAnsi="Arial" w:cs="Arial"/>
        </w:rPr>
      </w:pPr>
      <w:r w:rsidRPr="009A464D">
        <w:rPr>
          <w:rFonts w:ascii="Arial" w:hAnsi="Arial" w:cs="Arial"/>
        </w:rPr>
        <w:t>But the long</w:t>
      </w:r>
      <w:r w:rsidRPr="009A464D">
        <w:rPr>
          <w:rFonts w:ascii="Arial" w:hAnsi="Arial" w:cs="Arial"/>
        </w:rPr>
        <w:noBreakHyphen/>
        <w:t>term price has been the erosion of global diversity in supply.</w:t>
      </w:r>
    </w:p>
    <w:p w:rsidR="002437F5" w:rsidRPr="009A464D" w:rsidP="0061478E">
      <w:pPr>
        <w:rPr>
          <w:rFonts w:ascii="Arial" w:hAnsi="Arial" w:cs="Arial"/>
        </w:rPr>
      </w:pPr>
    </w:p>
    <w:p w:rsidR="002437F5" w:rsidRPr="009A464D" w:rsidP="0061478E">
      <w:pPr>
        <w:rPr>
          <w:rFonts w:ascii="Arial" w:hAnsi="Arial" w:cs="Arial"/>
        </w:rPr>
      </w:pPr>
      <w:r w:rsidRPr="009A464D">
        <w:rPr>
          <w:rFonts w:ascii="Arial" w:hAnsi="Arial" w:cs="Arial"/>
        </w:rPr>
        <w:t>China now controls around 90% of 6</w:t>
      </w:r>
      <w:r w:rsidRPr="009A464D">
        <w:rPr>
          <w:rFonts w:ascii="Arial" w:hAnsi="Arial" w:cs="Arial"/>
        </w:rPr>
        <w:noBreakHyphen/>
        <w:t>APA, the critical precursor used to produce penicillin APIs. This dominance mirrors patterns seen in other strategically important materials, such as rare earth elements.</w:t>
      </w:r>
      <w:r>
        <w:rPr>
          <w:rStyle w:val="EndnoteReference"/>
          <w:rFonts w:ascii="Arial" w:hAnsi="Arial" w:cs="Arial"/>
        </w:rPr>
        <w:endnoteReference w:id="2"/>
      </w:r>
      <w:r w:rsidRPr="009A464D">
        <w:rPr>
          <w:rFonts w:ascii="Arial" w:hAnsi="Arial" w:cs="Arial"/>
        </w:rPr>
        <w:t xml:space="preserve"> </w:t>
      </w:r>
      <w:r w:rsidRPr="009A464D">
        <w:rPr>
          <w:rFonts w:ascii="Arial" w:hAnsi="Arial" w:cs="Arial"/>
        </w:rPr>
        <w:t xml:space="preserve">Sustained price depression coupled with higher input costs have pushed European and UK producers out of the market. </w:t>
      </w:r>
    </w:p>
    <w:p w:rsidR="002437F5" w:rsidRPr="009A464D" w:rsidP="0061478E">
      <w:pPr>
        <w:rPr>
          <w:rFonts w:ascii="Arial" w:hAnsi="Arial" w:cs="Arial"/>
        </w:rPr>
      </w:pPr>
    </w:p>
    <w:p w:rsidR="002437F5" w:rsidRPr="009A464D" w:rsidP="0061478E">
      <w:pPr>
        <w:rPr>
          <w:rFonts w:ascii="Arial" w:hAnsi="Arial" w:cs="Arial"/>
        </w:rPr>
      </w:pPr>
      <w:r w:rsidRPr="009A464D">
        <w:rPr>
          <w:rFonts w:ascii="Arial" w:hAnsi="Arial" w:cs="Arial"/>
        </w:rPr>
        <w:t>As a result, only one site in EU/NATO territory—Sandoz Kundl—still performs the crucial 6</w:t>
      </w:r>
      <w:r w:rsidRPr="009A464D">
        <w:rPr>
          <w:rFonts w:ascii="Arial" w:hAnsi="Arial" w:cs="Arial"/>
        </w:rPr>
        <w:noBreakHyphen/>
        <w:t>APA fermentation step. With a near</w:t>
      </w:r>
      <w:r w:rsidRPr="009A464D">
        <w:rPr>
          <w:rFonts w:ascii="Arial" w:hAnsi="Arial" w:cs="Arial"/>
        </w:rPr>
        <w:noBreakHyphen/>
        <w:t>monopoly outside Europe, China’s control of the penicillin supply chain carries inherent strategic risk. Supply or pricing shocks—whether market</w:t>
      </w:r>
      <w:r w:rsidRPr="009A464D">
        <w:rPr>
          <w:rFonts w:ascii="Arial" w:hAnsi="Arial" w:cs="Arial"/>
        </w:rPr>
        <w:noBreakHyphen/>
        <w:t xml:space="preserve">driven or geopolitical—would immediately threaten public health and critical national infrastructure.  </w:t>
      </w:r>
    </w:p>
    <w:p w:rsidR="002437F5" w:rsidRPr="009A464D" w:rsidP="0061478E">
      <w:pPr>
        <w:rPr>
          <w:rFonts w:ascii="Arial" w:hAnsi="Arial" w:cs="Arial"/>
        </w:rPr>
      </w:pPr>
      <w:r w:rsidRPr="009A464D">
        <w:rPr>
          <w:rFonts w:ascii="Arial" w:hAnsi="Arial" w:cs="Arial"/>
        </w:rPr>
        <w:t>Because antibiotics enable safe surgery, intensive care, chemotherapy and infection control, any disruption becomes a national security issue, not just a public health problem.</w:t>
      </w:r>
    </w:p>
    <w:p w:rsidR="002437F5" w:rsidRPr="009A464D" w:rsidP="0061478E">
      <w:pPr>
        <w:rPr>
          <w:rFonts w:ascii="Arial" w:hAnsi="Arial" w:cs="Arial"/>
          <w:b/>
          <w:bCs/>
        </w:rPr>
      </w:pPr>
    </w:p>
    <w:p w:rsidR="002437F5" w:rsidRPr="009A464D" w:rsidP="0061478E">
      <w:pPr>
        <w:rPr>
          <w:rFonts w:ascii="Arial" w:hAnsi="Arial" w:cs="Arial"/>
          <w:b/>
          <w:bCs/>
        </w:rPr>
      </w:pPr>
      <w:r w:rsidRPr="009A464D">
        <w:rPr>
          <w:rFonts w:ascii="Arial" w:hAnsi="Arial" w:cs="Arial"/>
          <w:b/>
          <w:bCs/>
        </w:rPr>
        <w:t>Question 2</w:t>
      </w:r>
    </w:p>
    <w:p w:rsidR="002437F5" w:rsidRPr="009A464D" w:rsidP="0061478E">
      <w:pPr>
        <w:rPr>
          <w:rFonts w:ascii="Arial" w:hAnsi="Arial" w:cs="Arial"/>
          <w:b/>
          <w:bCs/>
        </w:rPr>
      </w:pPr>
    </w:p>
    <w:p w:rsidR="002437F5" w:rsidRPr="009A464D" w:rsidP="0061478E">
      <w:pPr>
        <w:rPr>
          <w:rFonts w:ascii="Arial" w:hAnsi="Arial" w:cs="Arial"/>
          <w:b/>
          <w:bCs/>
        </w:rPr>
      </w:pPr>
      <w:r w:rsidRPr="009A464D">
        <w:rPr>
          <w:rFonts w:ascii="Arial" w:hAnsi="Arial" w:cs="Arial"/>
          <w:b/>
          <w:bCs/>
        </w:rPr>
        <w:t>Competition: fair and unfair</w:t>
      </w:r>
    </w:p>
    <w:p w:rsidR="002437F5" w:rsidRPr="009A464D" w:rsidP="0061478E">
      <w:pPr>
        <w:pStyle w:val="NormalWeb"/>
        <w:spacing w:line="300" w:lineRule="atLeast"/>
        <w:rPr>
          <w:rFonts w:ascii="Arial" w:eastAsia="Times New Roman" w:hAnsi="Arial" w:cs="Arial"/>
          <w:color w:val="001C4A" w:themeColor="text2"/>
          <w:kern w:val="0"/>
          <w:sz w:val="22"/>
          <w:szCs w:val="22"/>
          <w:lang w:eastAsia="en-GB"/>
        </w:rPr>
      </w:pPr>
      <w:r w:rsidRPr="009A464D">
        <w:rPr>
          <w:rFonts w:ascii="Arial" w:hAnsi="Arial" w:cs="Arial"/>
          <w:color w:val="001C4A" w:themeColor="text2"/>
          <w:sz w:val="22"/>
          <w:szCs w:val="22"/>
        </w:rPr>
        <w:br/>
      </w:r>
      <w:r w:rsidRPr="009A464D">
        <w:rPr>
          <w:rFonts w:ascii="Arial" w:eastAsia="Times New Roman" w:hAnsi="Arial" w:cs="Arial"/>
          <w:color w:val="001C4A" w:themeColor="text2"/>
          <w:kern w:val="0"/>
          <w:sz w:val="22"/>
          <w:szCs w:val="22"/>
          <w:lang w:eastAsia="en-GB"/>
        </w:rPr>
        <w:t>Older, generic penicillin medicines operate on thin margins and are extremely price</w:t>
      </w:r>
      <w:r w:rsidRPr="009A464D">
        <w:rPr>
          <w:rFonts w:ascii="Arial" w:eastAsia="Times New Roman" w:hAnsi="Arial" w:cs="Arial"/>
          <w:color w:val="001C4A" w:themeColor="text2"/>
          <w:kern w:val="0"/>
          <w:sz w:val="22"/>
          <w:szCs w:val="22"/>
          <w:lang w:eastAsia="en-GB"/>
        </w:rPr>
        <w:noBreakHyphen/>
        <w:t>sensitive. They are therefore highly exposed to market distortions, particularly state</w:t>
      </w:r>
      <w:r w:rsidRPr="009A464D">
        <w:rPr>
          <w:rFonts w:ascii="Arial" w:eastAsia="Times New Roman" w:hAnsi="Arial" w:cs="Arial"/>
          <w:color w:val="001C4A" w:themeColor="text2"/>
          <w:kern w:val="0"/>
          <w:sz w:val="22"/>
          <w:szCs w:val="22"/>
          <w:lang w:eastAsia="en-GB"/>
        </w:rPr>
        <w:noBreakHyphen/>
        <w:t>supported production and price undercutting from China.</w:t>
      </w:r>
    </w:p>
    <w:p w:rsidR="002437F5" w:rsidRPr="009A464D" w:rsidP="0061478E">
      <w:pPr>
        <w:spacing w:before="100" w:beforeAutospacing="1" w:after="100" w:afterAutospacing="1" w:line="300" w:lineRule="atLeast"/>
        <w:rPr>
          <w:rFonts w:ascii="Arial" w:eastAsia="Times New Roman" w:hAnsi="Arial" w:cs="Arial"/>
          <w:lang w:eastAsia="en-GB"/>
        </w:rPr>
      </w:pPr>
      <w:r w:rsidRPr="009A464D">
        <w:rPr>
          <w:rFonts w:ascii="Arial" w:eastAsia="Times New Roman" w:hAnsi="Arial" w:cs="Arial"/>
          <w:lang w:eastAsia="en-GB"/>
        </w:rPr>
        <w:t>This has already produced a drastically narrowed global manufacturing base:</w:t>
      </w:r>
    </w:p>
    <w:p w:rsidR="002437F5" w:rsidRPr="009A464D" w:rsidP="0061478E">
      <w:pPr>
        <w:numPr>
          <w:ilvl w:val="0"/>
          <w:numId w:val="26"/>
        </w:numPr>
        <w:spacing w:before="100" w:beforeAutospacing="1" w:after="100" w:afterAutospacing="1" w:line="300" w:lineRule="atLeast"/>
        <w:rPr>
          <w:rFonts w:ascii="Arial" w:eastAsia="Times New Roman" w:hAnsi="Arial" w:cs="Arial"/>
          <w:lang w:eastAsia="en-GB"/>
        </w:rPr>
      </w:pPr>
      <w:r w:rsidRPr="009A464D">
        <w:rPr>
          <w:rFonts w:ascii="Arial" w:eastAsia="Times New Roman" w:hAnsi="Arial" w:cs="Arial"/>
          <w:lang w:eastAsia="en-GB"/>
        </w:rPr>
        <w:t>Europe now has just one major vertically integrated penicillin facility remaining (Kundl).</w:t>
      </w:r>
    </w:p>
    <w:p w:rsidR="002437F5" w:rsidRPr="009A464D" w:rsidP="0061478E">
      <w:pPr>
        <w:numPr>
          <w:ilvl w:val="0"/>
          <w:numId w:val="26"/>
        </w:numPr>
        <w:spacing w:before="100" w:beforeAutospacing="1" w:after="100" w:afterAutospacing="1" w:line="300" w:lineRule="atLeast"/>
        <w:rPr>
          <w:rFonts w:ascii="Arial" w:eastAsia="Times New Roman" w:hAnsi="Arial" w:cs="Arial"/>
          <w:lang w:eastAsia="en-GB"/>
        </w:rPr>
      </w:pPr>
      <w:r w:rsidRPr="009A464D">
        <w:rPr>
          <w:rFonts w:ascii="Arial" w:eastAsia="Times New Roman" w:hAnsi="Arial" w:cs="Arial"/>
          <w:lang w:eastAsia="en-GB"/>
        </w:rPr>
        <w:t>All other Western producers rely on either Kundl or China for their penicillin</w:t>
      </w:r>
      <w:r w:rsidRPr="009A464D">
        <w:rPr>
          <w:rFonts w:ascii="Arial" w:eastAsia="Times New Roman" w:hAnsi="Arial" w:cs="Arial"/>
          <w:lang w:eastAsia="en-GB"/>
        </w:rPr>
        <w:noBreakHyphen/>
        <w:t>class APIs.</w:t>
      </w:r>
    </w:p>
    <w:p w:rsidR="002437F5" w:rsidRPr="009A464D" w:rsidP="0061478E">
      <w:pPr>
        <w:numPr>
          <w:ilvl w:val="0"/>
          <w:numId w:val="26"/>
        </w:numPr>
        <w:spacing w:before="100" w:beforeAutospacing="1" w:after="100" w:afterAutospacing="1" w:line="300" w:lineRule="atLeast"/>
        <w:rPr>
          <w:rFonts w:ascii="Arial" w:eastAsia="Times New Roman" w:hAnsi="Arial" w:cs="Arial"/>
          <w:lang w:eastAsia="en-GB"/>
        </w:rPr>
      </w:pPr>
      <w:r w:rsidRPr="009A464D">
        <w:rPr>
          <w:rFonts w:ascii="Arial" w:eastAsia="Times New Roman" w:hAnsi="Arial" w:cs="Arial"/>
          <w:lang w:eastAsia="en-GB"/>
        </w:rPr>
        <w:t>Continued “winner</w:t>
      </w:r>
      <w:r w:rsidRPr="009A464D">
        <w:rPr>
          <w:rFonts w:ascii="Arial" w:eastAsia="Times New Roman" w:hAnsi="Arial" w:cs="Arial"/>
          <w:lang w:eastAsia="en-GB"/>
        </w:rPr>
        <w:noBreakHyphen/>
        <w:t>takes</w:t>
      </w:r>
      <w:r w:rsidRPr="009A464D">
        <w:rPr>
          <w:rFonts w:ascii="Arial" w:eastAsia="Times New Roman" w:hAnsi="Arial" w:cs="Arial"/>
          <w:lang w:eastAsia="en-GB"/>
        </w:rPr>
        <w:noBreakHyphen/>
        <w:t xml:space="preserve">all” tendering incentivises the lowest possible price, rather than resilience, quality or security of supply. </w:t>
      </w:r>
      <w:r>
        <w:fldChar w:fldCharType="begin"/>
      </w:r>
      <w:r>
        <w:instrText xml:space="preserve"> HYPERLINK "https://sandozcollab-my.sharepoint.com/personal/campbfi1_sandoz_net/_layouts/15/Doc.aspx?sourcedoc=%7B2ACE89D6-15E1-4042-AEE7-6CFC359390F1%7D&amp;file=Antibiotics%20Narrative_Europe%27s%20strategic%20asset_Final.docx&amp;action=default&amp;mobileredirect=true" </w:instrText>
      </w:r>
      <w:r>
        <w:fldChar w:fldCharType="separate"/>
      </w:r>
      <w:r>
        <w:fldChar w:fldCharType="end"/>
      </w:r>
      <w:r w:rsidRPr="009A464D">
        <w:rPr>
          <w:rFonts w:ascii="Arial" w:eastAsia="Times New Roman" w:hAnsi="Arial" w:cs="Arial"/>
          <w:lang w:eastAsia="en-GB"/>
        </w:rPr>
        <w:t xml:space="preserve"> </w:t>
      </w:r>
    </w:p>
    <w:p w:rsidR="002437F5" w:rsidRPr="009A464D" w:rsidP="0061478E">
      <w:pPr>
        <w:spacing w:before="100" w:beforeAutospacing="1" w:after="100" w:afterAutospacing="1" w:line="300" w:lineRule="atLeast"/>
        <w:rPr>
          <w:rFonts w:ascii="Arial" w:eastAsia="Times New Roman" w:hAnsi="Arial" w:cs="Arial"/>
          <w:lang w:eastAsia="en-GB"/>
        </w:rPr>
      </w:pPr>
      <w:r w:rsidRPr="009A464D">
        <w:rPr>
          <w:rFonts w:ascii="Arial" w:eastAsia="Times New Roman" w:hAnsi="Arial" w:cs="Arial"/>
          <w:lang w:eastAsia="en-GB"/>
        </w:rPr>
        <w:t xml:space="preserve">Although Sandoz could meet 100% of Europe’s demand for key oral </w:t>
      </w:r>
      <w:r w:rsidRPr="009A464D">
        <w:rPr>
          <w:rFonts w:ascii="Arial" w:eastAsia="Times New Roman" w:hAnsi="Arial" w:cs="Arial"/>
          <w:lang w:eastAsia="en-GB"/>
        </w:rPr>
        <w:t>penicillins</w:t>
      </w:r>
      <w:r w:rsidRPr="009A464D">
        <w:rPr>
          <w:rFonts w:ascii="Arial" w:eastAsia="Times New Roman" w:hAnsi="Arial" w:cs="Arial"/>
          <w:lang w:eastAsia="en-GB"/>
        </w:rPr>
        <w:t>, that capability is not commercially sustainable under purely price</w:t>
      </w:r>
      <w:r w:rsidRPr="009A464D">
        <w:rPr>
          <w:rFonts w:ascii="Arial" w:eastAsia="Times New Roman" w:hAnsi="Arial" w:cs="Arial"/>
          <w:lang w:eastAsia="en-GB"/>
        </w:rPr>
        <w:noBreakHyphen/>
        <w:t xml:space="preserve">based procurement rules. If Kundl becomes economically unviable, UK and European health systems would lose the only </w:t>
      </w:r>
      <w:r w:rsidRPr="009A464D">
        <w:rPr>
          <w:rFonts w:ascii="Arial" w:eastAsia="Times New Roman" w:hAnsi="Arial" w:cs="Arial"/>
          <w:lang w:eastAsia="en-GB"/>
        </w:rPr>
        <w:t>non</w:t>
      </w:r>
      <w:r w:rsidRPr="009A464D">
        <w:rPr>
          <w:rFonts w:ascii="Arial" w:eastAsia="Times New Roman" w:hAnsi="Arial" w:cs="Arial"/>
          <w:lang w:eastAsia="en-GB"/>
        </w:rPr>
        <w:noBreakHyphen/>
        <w:t>Chinese</w:t>
      </w:r>
      <w:r w:rsidRPr="009A464D">
        <w:rPr>
          <w:rFonts w:ascii="Arial" w:eastAsia="Times New Roman" w:hAnsi="Arial" w:cs="Arial"/>
          <w:lang w:eastAsia="en-GB"/>
        </w:rPr>
        <w:t xml:space="preserve"> source of 6</w:t>
      </w:r>
      <w:r w:rsidRPr="009A464D">
        <w:rPr>
          <w:rFonts w:ascii="Arial" w:eastAsia="Times New Roman" w:hAnsi="Arial" w:cs="Arial"/>
          <w:lang w:eastAsia="en-GB"/>
        </w:rPr>
        <w:noBreakHyphen/>
        <w:t>APA and penicillin APIs, making China the de facto sole producer.</w:t>
      </w:r>
    </w:p>
    <w:p w:rsidR="002437F5" w:rsidRPr="009A464D" w:rsidP="0061478E">
      <w:pPr>
        <w:spacing w:before="100" w:beforeAutospacing="1" w:after="100" w:afterAutospacing="1" w:line="300" w:lineRule="atLeast"/>
        <w:rPr>
          <w:rFonts w:ascii="Arial" w:eastAsia="Times New Roman" w:hAnsi="Arial" w:cs="Arial"/>
          <w:lang w:eastAsia="en-GB"/>
        </w:rPr>
      </w:pPr>
      <w:r w:rsidRPr="009A464D">
        <w:rPr>
          <w:rFonts w:ascii="Arial" w:eastAsia="Times New Roman" w:hAnsi="Arial" w:cs="Arial"/>
          <w:lang w:eastAsia="en-GB"/>
        </w:rPr>
        <w:t>This is a textbook example of strategic vulnerability created by distorted global competition.</w:t>
      </w:r>
    </w:p>
    <w:p w:rsidR="002437F5" w:rsidRPr="009A464D" w:rsidP="0061478E">
      <w:pPr>
        <w:rPr>
          <w:rFonts w:ascii="Arial" w:hAnsi="Arial" w:cs="Arial"/>
          <w:b/>
          <w:bCs/>
        </w:rPr>
      </w:pPr>
      <w:r w:rsidRPr="009A464D">
        <w:rPr>
          <w:rFonts w:ascii="Arial" w:hAnsi="Arial" w:cs="Arial"/>
          <w:b/>
          <w:bCs/>
        </w:rPr>
        <w:t>What measures could and should the UK Government utilise to support UK firms in creating a level playing field with China?</w:t>
      </w:r>
    </w:p>
    <w:p w:rsidR="002437F5" w:rsidRPr="009A464D" w:rsidP="0061478E">
      <w:pPr>
        <w:rPr>
          <w:rFonts w:ascii="Arial" w:hAnsi="Arial" w:cs="Arial"/>
        </w:rPr>
      </w:pPr>
    </w:p>
    <w:p w:rsidR="002437F5" w:rsidRPr="009A464D" w:rsidP="0061478E">
      <w:pPr>
        <w:rPr>
          <w:rFonts w:ascii="Arial" w:hAnsi="Arial" w:cs="Arial"/>
        </w:rPr>
      </w:pPr>
      <w:r w:rsidRPr="009A464D">
        <w:rPr>
          <w:rFonts w:ascii="Arial" w:hAnsi="Arial" w:cs="Arial"/>
        </w:rPr>
        <w:t>The UK Government should treat how it sources key antibiotics as an issue of national security and resilience.  The two most impactful actions would be:</w:t>
      </w:r>
    </w:p>
    <w:p w:rsidR="002437F5" w:rsidRPr="009A464D" w:rsidP="0061478E">
      <w:pPr>
        <w:numPr>
          <w:ilvl w:val="0"/>
          <w:numId w:val="25"/>
        </w:numPr>
        <w:spacing w:after="160" w:line="278" w:lineRule="auto"/>
        <w:rPr>
          <w:rFonts w:ascii="Arial" w:hAnsi="Arial" w:cs="Arial"/>
        </w:rPr>
      </w:pPr>
      <w:r w:rsidRPr="009A464D">
        <w:rPr>
          <w:rFonts w:ascii="Arial" w:hAnsi="Arial" w:cs="Arial"/>
        </w:rPr>
        <w:t>Procure for resilience, not just price</w:t>
      </w:r>
      <w:r w:rsidRPr="009A464D">
        <w:rPr>
          <w:rFonts w:ascii="Arial" w:hAnsi="Arial" w:cs="Arial"/>
        </w:rPr>
        <w:br/>
        <w:t>Introduce multi</w:t>
      </w:r>
      <w:r w:rsidRPr="009A464D">
        <w:rPr>
          <w:rFonts w:ascii="Arial" w:hAnsi="Arial" w:cs="Arial"/>
        </w:rPr>
        <w:noBreakHyphen/>
      </w:r>
      <w:r w:rsidRPr="009A464D">
        <w:rPr>
          <w:rFonts w:ascii="Arial" w:hAnsi="Arial" w:cs="Arial"/>
        </w:rPr>
        <w:t xml:space="preserve">winner awards with resilience and security of supply via </w:t>
      </w:r>
      <w:r w:rsidRPr="009A464D">
        <w:rPr>
          <w:rFonts w:ascii="Arial" w:hAnsi="Arial" w:cs="Arial"/>
        </w:rPr>
        <w:t>end to end</w:t>
      </w:r>
      <w:r w:rsidRPr="009A464D">
        <w:rPr>
          <w:rFonts w:ascii="Arial" w:hAnsi="Arial" w:cs="Arial"/>
        </w:rPr>
        <w:t xml:space="preserve"> production in the EU as a requirement for some of the tender slots. </w:t>
      </w:r>
    </w:p>
    <w:p w:rsidR="002437F5" w:rsidRPr="009A464D" w:rsidP="0061478E">
      <w:pPr>
        <w:numPr>
          <w:ilvl w:val="0"/>
          <w:numId w:val="25"/>
        </w:numPr>
        <w:spacing w:after="160" w:line="278" w:lineRule="auto"/>
        <w:rPr>
          <w:rFonts w:ascii="Arial" w:hAnsi="Arial" w:cs="Arial"/>
        </w:rPr>
      </w:pPr>
      <w:r w:rsidRPr="009A464D">
        <w:rPr>
          <w:rFonts w:ascii="Arial" w:hAnsi="Arial" w:cs="Arial"/>
        </w:rPr>
        <w:t>Anchor trusted capacity</w:t>
      </w:r>
      <w:r w:rsidRPr="009A464D">
        <w:rPr>
          <w:rFonts w:ascii="Arial" w:hAnsi="Arial" w:cs="Arial"/>
        </w:rPr>
        <w:br/>
        <w:t>Back European penicillin capacity via long</w:t>
      </w:r>
      <w:r w:rsidRPr="009A464D">
        <w:rPr>
          <w:rFonts w:ascii="Arial" w:hAnsi="Arial" w:cs="Arial"/>
        </w:rPr>
        <w:noBreakHyphen/>
        <w:t xml:space="preserve">term offtake linked to fair pricing and surge commitments to cushion UK against supply shocks from China </w:t>
      </w:r>
    </w:p>
    <w:p w:rsidR="002437F5" w:rsidRPr="009A464D" w:rsidP="0061478E">
      <w:pPr>
        <w:rPr>
          <w:rFonts w:ascii="Arial" w:hAnsi="Arial" w:cs="Arial"/>
        </w:rPr>
      </w:pPr>
      <w:r w:rsidRPr="009A464D">
        <w:rPr>
          <w:rFonts w:ascii="Arial" w:hAnsi="Arial" w:cs="Arial"/>
        </w:rPr>
        <w:t xml:space="preserve">The sector is not asking for subsidy or direct government investment.  It is asking that governments review a strategy of price-only procurement. </w:t>
      </w:r>
    </w:p>
    <w:p w:rsidR="002437F5" w:rsidRPr="009A464D" w:rsidP="0061478E">
      <w:pPr>
        <w:rPr>
          <w:rFonts w:ascii="Arial" w:hAnsi="Arial" w:cs="Arial"/>
          <w:b/>
          <w:bCs/>
        </w:rPr>
      </w:pPr>
    </w:p>
    <w:p w:rsidR="002437F5" w:rsidRPr="009A464D" w:rsidP="0061478E">
      <w:pPr>
        <w:rPr>
          <w:rFonts w:ascii="Arial" w:hAnsi="Arial" w:cs="Arial"/>
          <w:b/>
          <w:bCs/>
        </w:rPr>
      </w:pPr>
    </w:p>
    <w:p w:rsidR="002437F5" w:rsidRPr="009A464D" w:rsidP="0061478E">
      <w:pPr>
        <w:rPr>
          <w:rFonts w:ascii="Arial" w:hAnsi="Arial" w:cs="Arial"/>
          <w:b/>
          <w:bCs/>
        </w:rPr>
      </w:pPr>
      <w:r w:rsidRPr="009A464D">
        <w:rPr>
          <w:rFonts w:ascii="Arial" w:hAnsi="Arial" w:cs="Arial"/>
          <w:b/>
          <w:bCs/>
        </w:rPr>
        <w:t>Question 3</w:t>
      </w:r>
    </w:p>
    <w:p w:rsidR="002437F5" w:rsidRPr="009A464D" w:rsidP="0061478E">
      <w:pPr>
        <w:rPr>
          <w:rFonts w:ascii="Arial" w:hAnsi="Arial" w:cs="Arial"/>
          <w:b/>
          <w:bCs/>
        </w:rPr>
      </w:pPr>
      <w:r w:rsidRPr="009A464D">
        <w:rPr>
          <w:rFonts w:ascii="Arial" w:hAnsi="Arial" w:cs="Arial"/>
          <w:b/>
          <w:bCs/>
        </w:rPr>
        <w:t>Supply</w:t>
      </w:r>
      <w:r w:rsidRPr="009A464D">
        <w:rPr>
          <w:rFonts w:ascii="Arial" w:hAnsi="Arial" w:cs="Arial"/>
          <w:b/>
          <w:bCs/>
        </w:rPr>
        <w:noBreakHyphen/>
        <w:t>chain security, origin of raw materials, and economic coercion</w:t>
      </w:r>
    </w:p>
    <w:p w:rsidR="002437F5" w:rsidRPr="009A464D" w:rsidP="0061478E">
      <w:pPr>
        <w:rPr>
          <w:rFonts w:ascii="Arial" w:hAnsi="Arial" w:cs="Arial"/>
          <w:b/>
          <w:bCs/>
        </w:rPr>
      </w:pPr>
      <w:r w:rsidRPr="009A464D">
        <w:rPr>
          <w:rFonts w:ascii="Arial" w:hAnsi="Arial" w:cs="Arial"/>
          <w:b/>
          <w:bCs/>
        </w:rPr>
        <w:t>How vulnerable is the UK to coercion?</w:t>
      </w:r>
    </w:p>
    <w:p w:rsidR="002437F5" w:rsidRPr="009A464D" w:rsidP="0061478E">
      <w:pPr>
        <w:rPr>
          <w:rFonts w:ascii="Arial" w:hAnsi="Arial" w:cs="Arial"/>
          <w:bCs/>
        </w:rPr>
      </w:pPr>
      <w:r w:rsidRPr="009A464D">
        <w:rPr>
          <w:rFonts w:ascii="Arial" w:hAnsi="Arial" w:cs="Arial"/>
          <w:bCs/>
        </w:rPr>
        <w:t>Major international analyses—including OECD assessments and multiple independent studies in 2025—have repeatedly warned that Europe’s dependence on concentrated antibiotic production hubs in China and India is a structural supply</w:t>
      </w:r>
      <w:r w:rsidRPr="009A464D">
        <w:rPr>
          <w:rFonts w:ascii="Arial" w:hAnsi="Arial" w:cs="Arial"/>
          <w:bCs/>
        </w:rPr>
        <w:noBreakHyphen/>
        <w:t xml:space="preserve">chain vulnerability. </w:t>
      </w:r>
      <w:r>
        <w:rPr>
          <w:rStyle w:val="EndnoteReference"/>
          <w:rFonts w:ascii="Arial" w:hAnsi="Arial" w:cs="Arial"/>
          <w:bCs/>
        </w:rPr>
        <w:endnoteReference w:id="3"/>
      </w:r>
    </w:p>
    <w:p w:rsidR="002437F5" w:rsidRPr="009A464D" w:rsidP="0061478E">
      <w:pPr>
        <w:rPr>
          <w:rFonts w:ascii="Arial" w:hAnsi="Arial" w:cs="Arial"/>
          <w:bCs/>
        </w:rPr>
      </w:pPr>
    </w:p>
    <w:p w:rsidR="002437F5" w:rsidRPr="009A464D" w:rsidP="0061478E">
      <w:pPr>
        <w:rPr>
          <w:rFonts w:ascii="Arial" w:hAnsi="Arial" w:cs="Arial"/>
          <w:bCs/>
        </w:rPr>
      </w:pPr>
      <w:r w:rsidRPr="009A464D">
        <w:rPr>
          <w:rFonts w:ascii="Arial" w:hAnsi="Arial" w:cs="Arial"/>
          <w:bCs/>
        </w:rPr>
        <w:t>Given China’s near</w:t>
      </w:r>
      <w:r w:rsidRPr="009A464D">
        <w:rPr>
          <w:rFonts w:ascii="Arial" w:hAnsi="Arial" w:cs="Arial"/>
          <w:bCs/>
        </w:rPr>
        <w:noBreakHyphen/>
        <w:t>monopoly on 6</w:t>
      </w:r>
      <w:r w:rsidRPr="009A464D">
        <w:rPr>
          <w:rFonts w:ascii="Arial" w:hAnsi="Arial" w:cs="Arial"/>
          <w:bCs/>
        </w:rPr>
        <w:noBreakHyphen/>
        <w:t xml:space="preserve">APA, antibiotic supply could feasibly become a tool of economic coercion or hybrid warfare, particularly during periods of diplomatic tension. European health leaders have already referred to this dependence as an “Achilles heel” for both healthcare and defence resilience. </w:t>
      </w:r>
      <w:r>
        <w:fldChar w:fldCharType="begin"/>
      </w:r>
      <w:r>
        <w:instrText xml:space="preserve"> HYPERLINK "https://sandozcollab-my.sharepoint.com/personal/campbfi1_sandoz_net/_layouts/15/Doc.aspx?sourcedoc=%7B43799755-52F7-4966-9893-EB8B2DEBC624%7D&amp;file=Factsheet%20Kundl_JAN2026.docx&amp;action=default&amp;mobileredirect=true" </w:instrText>
      </w:r>
      <w:r>
        <w:fldChar w:fldCharType="separate"/>
      </w:r>
      <w:r>
        <w:fldChar w:fldCharType="end"/>
      </w:r>
    </w:p>
    <w:p w:rsidR="002437F5" w:rsidRPr="009A464D" w:rsidP="0061478E">
      <w:pPr>
        <w:rPr>
          <w:rFonts w:ascii="Arial" w:hAnsi="Arial" w:cs="Arial"/>
          <w:bCs/>
        </w:rPr>
      </w:pPr>
    </w:p>
    <w:p w:rsidR="002437F5" w:rsidRPr="009A464D" w:rsidP="0061478E">
      <w:pPr>
        <w:rPr>
          <w:rFonts w:ascii="Arial" w:hAnsi="Arial" w:cs="Arial"/>
          <w:bCs/>
        </w:rPr>
      </w:pPr>
      <w:r w:rsidRPr="009A464D">
        <w:rPr>
          <w:rFonts w:ascii="Arial" w:hAnsi="Arial" w:cs="Arial"/>
          <w:bCs/>
        </w:rPr>
        <w:t>The UK is especially exposed because:</w:t>
      </w:r>
    </w:p>
    <w:p w:rsidR="002437F5" w:rsidRPr="009A464D" w:rsidP="0061478E">
      <w:pPr>
        <w:numPr>
          <w:ilvl w:val="0"/>
          <w:numId w:val="27"/>
        </w:numPr>
        <w:spacing w:after="160" w:line="278" w:lineRule="auto"/>
        <w:rPr>
          <w:rFonts w:ascii="Arial" w:hAnsi="Arial" w:cs="Arial"/>
        </w:rPr>
      </w:pPr>
      <w:r w:rsidRPr="009A464D">
        <w:rPr>
          <w:rFonts w:ascii="Arial" w:hAnsi="Arial" w:cs="Arial"/>
          <w:bCs/>
        </w:rPr>
        <w:t xml:space="preserve">Its </w:t>
      </w:r>
      <w:r w:rsidRPr="009A464D">
        <w:rPr>
          <w:rFonts w:ascii="Arial" w:hAnsi="Arial" w:cs="Arial"/>
        </w:rPr>
        <w:t>last domestic penicillin API facility closed in 2025.</w:t>
      </w:r>
    </w:p>
    <w:p w:rsidR="002437F5" w:rsidRPr="009A464D" w:rsidP="0061478E">
      <w:pPr>
        <w:numPr>
          <w:ilvl w:val="0"/>
          <w:numId w:val="27"/>
        </w:numPr>
        <w:spacing w:after="160" w:line="278" w:lineRule="auto"/>
        <w:rPr>
          <w:rFonts w:ascii="Arial" w:hAnsi="Arial" w:cs="Arial"/>
        </w:rPr>
      </w:pPr>
      <w:r w:rsidRPr="009A464D">
        <w:rPr>
          <w:rFonts w:ascii="Arial" w:hAnsi="Arial" w:cs="Arial"/>
        </w:rPr>
        <w:t>The UK holds antibiotic reserves to manage demand surges but has no strategic agreement guaranteeing access to European production during global shocks.</w:t>
      </w:r>
    </w:p>
    <w:p w:rsidR="002437F5" w:rsidRPr="009A464D" w:rsidP="0061478E">
      <w:pPr>
        <w:numPr>
          <w:ilvl w:val="0"/>
          <w:numId w:val="27"/>
        </w:numPr>
        <w:spacing w:after="160" w:line="278" w:lineRule="auto"/>
        <w:rPr>
          <w:rFonts w:ascii="Arial" w:hAnsi="Arial" w:cs="Arial"/>
        </w:rPr>
      </w:pPr>
      <w:r w:rsidRPr="009A464D">
        <w:rPr>
          <w:rFonts w:ascii="Arial" w:hAnsi="Arial" w:cs="Arial"/>
        </w:rPr>
        <w:t>UK procurement still focuses primarily on lowest price, not security of supply or origin of critical inputs.</w:t>
      </w:r>
    </w:p>
    <w:p w:rsidR="002437F5" w:rsidRPr="009A464D" w:rsidP="0061478E">
      <w:pPr>
        <w:rPr>
          <w:rFonts w:ascii="Arial" w:hAnsi="Arial" w:cs="Arial"/>
          <w:bCs/>
        </w:rPr>
      </w:pPr>
      <w:r w:rsidRPr="009A464D">
        <w:rPr>
          <w:rFonts w:ascii="Arial" w:hAnsi="Arial" w:cs="Arial"/>
          <w:bCs/>
        </w:rPr>
        <w:t>If the Kundl</w:t>
      </w:r>
      <w:r w:rsidRPr="009A464D">
        <w:rPr>
          <w:rFonts w:ascii="Arial" w:hAnsi="Arial" w:cs="Arial"/>
          <w:bCs/>
        </w:rPr>
        <w:noBreakHyphen/>
      </w:r>
      <w:r w:rsidRPr="009A464D">
        <w:rPr>
          <w:rFonts w:ascii="Arial" w:hAnsi="Arial" w:cs="Arial"/>
          <w:bCs/>
        </w:rPr>
        <w:t>Lendava</w:t>
      </w:r>
      <w:r w:rsidRPr="009A464D">
        <w:rPr>
          <w:rFonts w:ascii="Arial" w:hAnsi="Arial" w:cs="Arial"/>
          <w:bCs/>
        </w:rPr>
        <w:noBreakHyphen/>
      </w:r>
      <w:r w:rsidRPr="009A464D">
        <w:rPr>
          <w:rFonts w:ascii="Arial" w:hAnsi="Arial" w:cs="Arial"/>
          <w:bCs/>
        </w:rPr>
        <w:t>Palafolls</w:t>
      </w:r>
      <w:r w:rsidRPr="009A464D">
        <w:rPr>
          <w:rFonts w:ascii="Arial" w:hAnsi="Arial" w:cs="Arial"/>
          <w:bCs/>
        </w:rPr>
        <w:t xml:space="preserve"> network were to close, the UK, EU and NATO would be dependent on China for the backbone of their antibiotic supply.</w:t>
      </w:r>
    </w:p>
    <w:p w:rsidR="002437F5" w:rsidRPr="009A464D" w:rsidP="0061478E">
      <w:pPr>
        <w:rPr>
          <w:rFonts w:ascii="Arial" w:hAnsi="Arial" w:cs="Arial"/>
          <w:bCs/>
        </w:rPr>
      </w:pPr>
    </w:p>
    <w:p w:rsidR="002437F5" w:rsidRPr="009A464D" w:rsidP="0061478E">
      <w:pPr>
        <w:rPr>
          <w:rFonts w:ascii="Arial" w:hAnsi="Arial" w:cs="Arial"/>
          <w:b/>
        </w:rPr>
      </w:pPr>
      <w:r w:rsidRPr="009A464D">
        <w:rPr>
          <w:rFonts w:ascii="Arial" w:hAnsi="Arial" w:cs="Arial"/>
          <w:b/>
        </w:rPr>
        <w:t>Where is the dependence greatest?</w:t>
      </w:r>
    </w:p>
    <w:p w:rsidR="002437F5" w:rsidRPr="009A464D" w:rsidP="0061478E">
      <w:pPr>
        <w:rPr>
          <w:rFonts w:ascii="Arial" w:hAnsi="Arial" w:cs="Arial"/>
          <w:bCs/>
        </w:rPr>
      </w:pPr>
    </w:p>
    <w:p w:rsidR="002437F5" w:rsidRPr="009A464D" w:rsidP="0061478E">
      <w:pPr>
        <w:rPr>
          <w:rFonts w:ascii="Arial" w:hAnsi="Arial" w:cs="Arial"/>
          <w:bCs/>
        </w:rPr>
      </w:pPr>
      <w:r w:rsidRPr="009A464D">
        <w:rPr>
          <w:rFonts w:ascii="Arial" w:hAnsi="Arial" w:cs="Arial"/>
          <w:bCs/>
        </w:rPr>
        <w:t>Dependence is most severe in the amoxicillin/6</w:t>
      </w:r>
      <w:r w:rsidRPr="009A464D">
        <w:rPr>
          <w:rFonts w:ascii="Arial" w:hAnsi="Arial" w:cs="Arial"/>
          <w:bCs/>
        </w:rPr>
        <w:noBreakHyphen/>
        <w:t>APA chain:</w:t>
      </w:r>
    </w:p>
    <w:p w:rsidR="002437F5" w:rsidRPr="009A464D" w:rsidP="0061478E">
      <w:pPr>
        <w:numPr>
          <w:ilvl w:val="0"/>
          <w:numId w:val="28"/>
        </w:numPr>
        <w:spacing w:after="160" w:line="278" w:lineRule="auto"/>
        <w:rPr>
          <w:rFonts w:ascii="Arial" w:hAnsi="Arial" w:cs="Arial"/>
          <w:bCs/>
        </w:rPr>
      </w:pPr>
      <w:r w:rsidRPr="009A464D">
        <w:rPr>
          <w:rFonts w:ascii="Arial" w:hAnsi="Arial" w:cs="Arial"/>
          <w:bCs/>
        </w:rPr>
        <w:t>~90% of global 6</w:t>
      </w:r>
      <w:r w:rsidRPr="009A464D">
        <w:rPr>
          <w:rFonts w:ascii="Arial" w:hAnsi="Arial" w:cs="Arial"/>
          <w:bCs/>
        </w:rPr>
        <w:noBreakHyphen/>
        <w:t>APA comes from China.</w:t>
      </w:r>
    </w:p>
    <w:p w:rsidR="002437F5" w:rsidRPr="009A464D" w:rsidP="0061478E">
      <w:pPr>
        <w:numPr>
          <w:ilvl w:val="0"/>
          <w:numId w:val="28"/>
        </w:numPr>
        <w:spacing w:after="160" w:line="278" w:lineRule="auto"/>
        <w:rPr>
          <w:rFonts w:ascii="Arial" w:hAnsi="Arial" w:cs="Arial"/>
          <w:bCs/>
        </w:rPr>
      </w:pPr>
      <w:r w:rsidRPr="009A464D">
        <w:rPr>
          <w:rFonts w:ascii="Arial" w:hAnsi="Arial" w:cs="Arial"/>
          <w:bCs/>
        </w:rPr>
        <w:t>India’s penicillin production relies heavily on Chinese intermediates, meaning UK reliance on Indian finished doses is indirect reliance on China.</w:t>
      </w:r>
    </w:p>
    <w:p w:rsidR="002437F5" w:rsidRPr="009A464D" w:rsidP="0061478E">
      <w:pPr>
        <w:numPr>
          <w:ilvl w:val="0"/>
          <w:numId w:val="28"/>
        </w:numPr>
        <w:spacing w:after="160" w:line="278" w:lineRule="auto"/>
        <w:rPr>
          <w:rFonts w:ascii="Arial" w:hAnsi="Arial" w:cs="Arial"/>
          <w:bCs/>
        </w:rPr>
      </w:pPr>
      <w:r w:rsidRPr="009A464D">
        <w:rPr>
          <w:rFonts w:ascii="Arial" w:hAnsi="Arial" w:cs="Arial"/>
          <w:bCs/>
        </w:rPr>
        <w:t>Only one facility in EU/Nato territory (Kundl) can produce 6</w:t>
      </w:r>
      <w:r w:rsidRPr="009A464D">
        <w:rPr>
          <w:rFonts w:ascii="Arial" w:hAnsi="Arial" w:cs="Arial"/>
          <w:bCs/>
        </w:rPr>
        <w:noBreakHyphen/>
        <w:t xml:space="preserve">APA at scale. </w:t>
      </w:r>
    </w:p>
    <w:p w:rsidR="002437F5" w:rsidRPr="009A464D" w:rsidP="0061478E">
      <w:pPr>
        <w:numPr>
          <w:ilvl w:val="0"/>
          <w:numId w:val="28"/>
        </w:numPr>
        <w:spacing w:after="160" w:line="278" w:lineRule="auto"/>
        <w:rPr>
          <w:rFonts w:ascii="Arial" w:hAnsi="Arial" w:cs="Arial"/>
          <w:bCs/>
        </w:rPr>
      </w:pPr>
      <w:r w:rsidRPr="009A464D">
        <w:rPr>
          <w:rFonts w:ascii="Arial" w:hAnsi="Arial" w:cs="Arial"/>
          <w:bCs/>
        </w:rPr>
        <w:t>The UK has no remaining domestic capability for 6</w:t>
      </w:r>
      <w:r w:rsidRPr="009A464D">
        <w:rPr>
          <w:rFonts w:ascii="Arial" w:hAnsi="Arial" w:cs="Arial"/>
          <w:bCs/>
        </w:rPr>
        <w:noBreakHyphen/>
        <w:t>APA or penicillin APIs.</w:t>
      </w:r>
    </w:p>
    <w:p w:rsidR="002437F5" w:rsidRPr="009A464D" w:rsidP="0061478E">
      <w:pPr>
        <w:rPr>
          <w:rFonts w:ascii="Arial" w:hAnsi="Arial" w:cs="Arial"/>
          <w:bCs/>
        </w:rPr>
      </w:pPr>
      <w:r w:rsidRPr="009A464D">
        <w:rPr>
          <w:rFonts w:ascii="Arial" w:hAnsi="Arial" w:cs="Arial"/>
          <w:bCs/>
        </w:rPr>
        <w:t>Given antibiotics’ foundational role in the health system, this concentration poses a disproportionate national security risk.</w:t>
      </w:r>
    </w:p>
    <w:p w:rsidR="002437F5" w:rsidRPr="009A464D" w:rsidP="0061478E">
      <w:pPr>
        <w:rPr>
          <w:rFonts w:ascii="Arial" w:hAnsi="Arial" w:cs="Arial"/>
          <w:bCs/>
        </w:rPr>
      </w:pPr>
    </w:p>
    <w:p w:rsidR="002437F5" w:rsidRPr="009A464D" w:rsidP="0061478E">
      <w:pPr>
        <w:rPr>
          <w:rFonts w:ascii="Arial" w:hAnsi="Arial" w:cs="Arial"/>
          <w:b/>
          <w:bCs/>
        </w:rPr>
      </w:pPr>
      <w:r w:rsidRPr="009A464D">
        <w:rPr>
          <w:rFonts w:ascii="Arial" w:hAnsi="Arial" w:cs="Arial"/>
          <w:b/>
          <w:bCs/>
        </w:rPr>
        <w:t xml:space="preserve">What </w:t>
      </w:r>
      <w:r w:rsidRPr="009A464D">
        <w:rPr>
          <w:rFonts w:ascii="Arial" w:hAnsi="Arial" w:cs="Arial"/>
          <w:b/>
          <w:bCs/>
        </w:rPr>
        <w:t>are</w:t>
      </w:r>
      <w:r w:rsidRPr="009A464D">
        <w:rPr>
          <w:rFonts w:ascii="Arial" w:hAnsi="Arial" w:cs="Arial"/>
          <w:b/>
          <w:bCs/>
        </w:rPr>
        <w:t xml:space="preserve"> UK/EU businesses and governments doing—and is it working?</w:t>
      </w:r>
    </w:p>
    <w:p w:rsidR="002437F5" w:rsidRPr="009A464D" w:rsidP="0061478E">
      <w:pPr>
        <w:rPr>
          <w:rFonts w:ascii="Arial" w:hAnsi="Arial" w:cs="Arial"/>
          <w:b/>
          <w:bCs/>
        </w:rPr>
      </w:pPr>
    </w:p>
    <w:p w:rsidR="002437F5" w:rsidRPr="009A464D" w:rsidP="0061478E">
      <w:pPr>
        <w:numPr>
          <w:ilvl w:val="0"/>
          <w:numId w:val="24"/>
        </w:numPr>
        <w:spacing w:after="160" w:line="278" w:lineRule="auto"/>
        <w:rPr>
          <w:rFonts w:ascii="Arial" w:hAnsi="Arial" w:cs="Arial"/>
        </w:rPr>
      </w:pPr>
      <w:r w:rsidRPr="009A464D">
        <w:rPr>
          <w:rFonts w:ascii="Arial" w:hAnsi="Arial" w:cs="Arial"/>
        </w:rPr>
        <w:t>UK: The last manufacturing site in the UK that could produce the API needed for penicillin closed in 2025</w:t>
      </w:r>
    </w:p>
    <w:p w:rsidR="002437F5" w:rsidRPr="009A464D" w:rsidP="0061478E">
      <w:pPr>
        <w:numPr>
          <w:ilvl w:val="0"/>
          <w:numId w:val="24"/>
        </w:numPr>
        <w:spacing w:after="160" w:line="278" w:lineRule="auto"/>
        <w:rPr>
          <w:rFonts w:ascii="Arial" w:hAnsi="Arial" w:cs="Arial"/>
        </w:rPr>
      </w:pPr>
      <w:r w:rsidRPr="009A464D">
        <w:rPr>
          <w:rFonts w:ascii="Arial" w:hAnsi="Arial" w:cs="Arial"/>
        </w:rPr>
        <w:t>UK: The UK has improved transparency and shortage management (</w:t>
      </w:r>
      <w:r w:rsidRPr="009A464D">
        <w:rPr>
          <w:rFonts w:ascii="Arial" w:hAnsi="Arial" w:cs="Arial"/>
        </w:rPr>
        <w:t>DaSH</w:t>
      </w:r>
      <w:r w:rsidRPr="009A464D">
        <w:rPr>
          <w:rFonts w:ascii="Arial" w:hAnsi="Arial" w:cs="Arial"/>
        </w:rPr>
        <w:t xml:space="preserve"> portal; SSPs</w:t>
      </w:r>
      <w:r w:rsidRPr="009A464D">
        <w:rPr>
          <w:rFonts w:ascii="Arial" w:hAnsi="Arial" w:cs="Arial"/>
        </w:rPr>
        <w:t>), but</w:t>
      </w:r>
      <w:r w:rsidRPr="009A464D">
        <w:rPr>
          <w:rFonts w:ascii="Arial" w:hAnsi="Arial" w:cs="Arial"/>
        </w:rPr>
        <w:t xml:space="preserve"> lacks explicit </w:t>
      </w:r>
      <w:r w:rsidRPr="009A464D">
        <w:rPr>
          <w:rFonts w:ascii="Arial" w:hAnsi="Arial" w:cs="Arial"/>
        </w:rPr>
        <w:t>value based</w:t>
      </w:r>
      <w:r w:rsidRPr="009A464D">
        <w:rPr>
          <w:rFonts w:ascii="Arial" w:hAnsi="Arial" w:cs="Arial"/>
        </w:rPr>
        <w:t xml:space="preserve"> procurement that prioritises resilience and security of supply in tenders.</w:t>
      </w:r>
    </w:p>
    <w:p w:rsidR="002437F5" w:rsidRPr="009A464D" w:rsidP="0061478E">
      <w:pPr>
        <w:numPr>
          <w:ilvl w:val="0"/>
          <w:numId w:val="24"/>
        </w:numPr>
        <w:spacing w:after="160" w:line="278" w:lineRule="auto"/>
        <w:rPr>
          <w:rFonts w:ascii="Arial" w:hAnsi="Arial" w:cs="Arial"/>
        </w:rPr>
      </w:pPr>
      <w:r w:rsidRPr="009A464D">
        <w:rPr>
          <w:rFonts w:ascii="Arial" w:hAnsi="Arial" w:cs="Arial"/>
        </w:rPr>
        <w:t>UK: The UK holds reserves of antibiotics to manage peaks in demand (e.g. recent meningitis outbreak), but has no strategic agreement to meet a surge in demand of EU manufactured product in the event of a supply chain shock from China</w:t>
      </w:r>
    </w:p>
    <w:p w:rsidR="002437F5" w:rsidRPr="009A464D" w:rsidP="0061478E">
      <w:pPr>
        <w:numPr>
          <w:ilvl w:val="0"/>
          <w:numId w:val="24"/>
        </w:numPr>
        <w:spacing w:after="160" w:line="278" w:lineRule="auto"/>
        <w:rPr>
          <w:rFonts w:ascii="Arial" w:hAnsi="Arial" w:cs="Arial"/>
        </w:rPr>
      </w:pPr>
      <w:r w:rsidRPr="009A464D">
        <w:rPr>
          <w:rFonts w:ascii="Arial" w:hAnsi="Arial" w:cs="Arial"/>
        </w:rPr>
        <w:t xml:space="preserve">Germany: Introduced an element of </w:t>
      </w:r>
      <w:r w:rsidRPr="009A464D">
        <w:rPr>
          <w:rFonts w:ascii="Arial" w:hAnsi="Arial" w:cs="Arial"/>
        </w:rPr>
        <w:t>value based</w:t>
      </w:r>
      <w:r w:rsidRPr="009A464D">
        <w:rPr>
          <w:rFonts w:ascii="Arial" w:hAnsi="Arial" w:cs="Arial"/>
        </w:rPr>
        <w:t xml:space="preserve"> procurement by portioning up tenders into three slots, with one slot being eligible only to medicines that have the EU as place of origin for the active API ingredient</w:t>
      </w:r>
    </w:p>
    <w:p w:rsidR="002437F5" w:rsidRPr="009A464D" w:rsidP="0061478E">
      <w:pPr>
        <w:pStyle w:val="ListParagraph"/>
        <w:numPr>
          <w:ilvl w:val="0"/>
          <w:numId w:val="24"/>
        </w:numPr>
        <w:spacing w:after="0" w:line="300" w:lineRule="atLeast"/>
        <w:rPr>
          <w:rFonts w:ascii="Arial" w:eastAsia="Times New Roman" w:hAnsi="Arial" w:cs="Arial"/>
          <w:color w:val="001C4A" w:themeColor="text2"/>
          <w:kern w:val="0"/>
          <w:sz w:val="22"/>
          <w:szCs w:val="22"/>
          <w:lang w:eastAsia="en-GB"/>
        </w:rPr>
      </w:pPr>
      <w:r w:rsidRPr="009A464D">
        <w:rPr>
          <w:rFonts w:ascii="Arial" w:eastAsia="Times New Roman" w:hAnsi="Arial" w:cs="Arial"/>
          <w:color w:val="001C4A" w:themeColor="text2"/>
          <w:kern w:val="0"/>
          <w:sz w:val="22"/>
          <w:szCs w:val="22"/>
          <w:lang w:eastAsia="en-GB"/>
        </w:rPr>
        <w:t>India: introduced Minimum Import Prices in 2026 to prevent subsidised Chinese dumping and protect its domestic penicillin sector.</w:t>
      </w:r>
    </w:p>
    <w:p w:rsidR="002437F5" w:rsidRPr="009A464D" w:rsidP="0061478E">
      <w:pPr>
        <w:ind w:left="720"/>
        <w:rPr>
          <w:rFonts w:ascii="Arial" w:hAnsi="Arial" w:cs="Arial"/>
        </w:rPr>
      </w:pPr>
    </w:p>
    <w:p w:rsidR="002437F5" w:rsidRPr="009A464D" w:rsidP="0061478E">
      <w:pPr>
        <w:rPr>
          <w:rFonts w:ascii="Arial" w:hAnsi="Arial" w:cs="Arial"/>
          <w:b/>
          <w:bCs/>
        </w:rPr>
      </w:pPr>
      <w:r w:rsidRPr="009A464D">
        <w:rPr>
          <w:rFonts w:ascii="Arial" w:hAnsi="Arial" w:cs="Arial"/>
          <w:b/>
          <w:bCs/>
        </w:rPr>
        <w:t>Question 6</w:t>
      </w:r>
    </w:p>
    <w:p w:rsidR="002437F5" w:rsidRPr="009A464D" w:rsidP="0061478E">
      <w:pPr>
        <w:rPr>
          <w:rFonts w:ascii="Arial" w:hAnsi="Arial" w:cs="Arial"/>
          <w:b/>
          <w:bCs/>
        </w:rPr>
      </w:pPr>
      <w:r w:rsidRPr="009A464D">
        <w:rPr>
          <w:rFonts w:ascii="Arial" w:hAnsi="Arial" w:cs="Arial"/>
          <w:b/>
          <w:bCs/>
        </w:rPr>
        <w:t>Control of strategic technologies</w:t>
      </w:r>
    </w:p>
    <w:p w:rsidR="002437F5" w:rsidRPr="009A464D" w:rsidP="0061478E">
      <w:pPr>
        <w:rPr>
          <w:rFonts w:ascii="Arial" w:hAnsi="Arial" w:cs="Arial"/>
        </w:rPr>
      </w:pPr>
      <w:r w:rsidRPr="009A464D">
        <w:rPr>
          <w:rFonts w:ascii="Arial" w:hAnsi="Arial" w:cs="Arial"/>
        </w:rPr>
        <w:t xml:space="preserve">To protect the UK from lack of control of strategic technologies does not necessarily mean that the UK should look to reshoring or subsidy.  The Government can ensure sufficient control of strategic technologies through smart procurement. </w:t>
      </w:r>
    </w:p>
    <w:p w:rsidR="002437F5" w:rsidRPr="009A464D" w:rsidP="0061478E">
      <w:pPr>
        <w:rPr>
          <w:rFonts w:ascii="Arial" w:hAnsi="Arial" w:cs="Arial"/>
        </w:rPr>
      </w:pPr>
      <w:r w:rsidRPr="009A464D">
        <w:rPr>
          <w:rFonts w:ascii="Arial" w:hAnsi="Arial" w:cs="Arial"/>
        </w:rPr>
        <w:t>The government needs to:</w:t>
      </w:r>
    </w:p>
    <w:p w:rsidR="002437F5" w:rsidRPr="009A464D" w:rsidP="0061478E">
      <w:pPr>
        <w:pStyle w:val="ListParagraph"/>
        <w:numPr>
          <w:ilvl w:val="0"/>
          <w:numId w:val="29"/>
        </w:numPr>
        <w:rPr>
          <w:rFonts w:ascii="Arial" w:hAnsi="Arial" w:cs="Arial"/>
          <w:color w:val="001C4A" w:themeColor="text2"/>
          <w:sz w:val="22"/>
          <w:szCs w:val="22"/>
        </w:rPr>
      </w:pPr>
      <w:r w:rsidRPr="009A464D">
        <w:rPr>
          <w:rFonts w:ascii="Arial" w:hAnsi="Arial" w:cs="Arial"/>
          <w:color w:val="001C4A" w:themeColor="text2"/>
          <w:sz w:val="22"/>
          <w:szCs w:val="22"/>
        </w:rPr>
        <w:t>Procure for resilience, not just price</w:t>
      </w:r>
      <w:r w:rsidRPr="009A464D">
        <w:rPr>
          <w:rFonts w:ascii="Arial" w:hAnsi="Arial" w:cs="Arial"/>
          <w:color w:val="001C4A" w:themeColor="text2"/>
          <w:sz w:val="22"/>
          <w:szCs w:val="22"/>
        </w:rPr>
        <w:br/>
        <w:t>Introduce multi</w:t>
      </w:r>
      <w:r w:rsidRPr="009A464D">
        <w:rPr>
          <w:rFonts w:ascii="Arial" w:hAnsi="Arial" w:cs="Arial"/>
          <w:color w:val="001C4A" w:themeColor="text2"/>
          <w:sz w:val="22"/>
          <w:szCs w:val="22"/>
        </w:rPr>
        <w:noBreakHyphen/>
        <w:t xml:space="preserve">winner awards with resilience and security of supply via </w:t>
      </w:r>
      <w:r w:rsidRPr="009A464D">
        <w:rPr>
          <w:rFonts w:ascii="Arial" w:hAnsi="Arial" w:cs="Arial"/>
          <w:color w:val="001C4A" w:themeColor="text2"/>
          <w:sz w:val="22"/>
          <w:szCs w:val="22"/>
        </w:rPr>
        <w:t>end to end</w:t>
      </w:r>
      <w:r w:rsidRPr="009A464D">
        <w:rPr>
          <w:rFonts w:ascii="Arial" w:hAnsi="Arial" w:cs="Arial"/>
          <w:color w:val="001C4A" w:themeColor="text2"/>
          <w:sz w:val="22"/>
          <w:szCs w:val="22"/>
        </w:rPr>
        <w:t xml:space="preserve"> production in the EU as a requirement for some of the tender slots. </w:t>
      </w:r>
    </w:p>
    <w:p w:rsidR="002437F5" w:rsidRPr="009A464D" w:rsidP="0061478E">
      <w:pPr>
        <w:numPr>
          <w:ilvl w:val="0"/>
          <w:numId w:val="29"/>
        </w:numPr>
        <w:spacing w:after="160" w:line="278" w:lineRule="auto"/>
        <w:rPr>
          <w:rFonts w:ascii="Arial" w:hAnsi="Arial" w:cs="Arial"/>
        </w:rPr>
      </w:pPr>
      <w:r w:rsidRPr="009A464D">
        <w:rPr>
          <w:rFonts w:ascii="Arial" w:hAnsi="Arial" w:cs="Arial"/>
        </w:rPr>
        <w:t>Anchor trusted capacity</w:t>
      </w:r>
      <w:r w:rsidRPr="009A464D">
        <w:rPr>
          <w:rFonts w:ascii="Arial" w:hAnsi="Arial" w:cs="Arial"/>
        </w:rPr>
        <w:br/>
        <w:t>Back European penicillin capacity via long</w:t>
      </w:r>
      <w:r w:rsidRPr="009A464D">
        <w:rPr>
          <w:rFonts w:ascii="Arial" w:hAnsi="Arial" w:cs="Arial"/>
        </w:rPr>
        <w:noBreakHyphen/>
        <w:t xml:space="preserve">term offtake linked to fair pricing and surge commitments to cushion UK against supply shocks from China </w:t>
      </w:r>
    </w:p>
    <w:p w:rsidR="002437F5" w:rsidRPr="009A464D" w:rsidP="0061478E">
      <w:pPr>
        <w:rPr>
          <w:rFonts w:ascii="Arial" w:hAnsi="Arial" w:cs="Arial"/>
        </w:rPr>
      </w:pPr>
    </w:p>
    <w:p w:rsidR="002437F5" w:rsidRPr="009A464D" w:rsidP="0061478E">
      <w:pPr>
        <w:rPr>
          <w:rFonts w:ascii="Arial" w:hAnsi="Arial" w:cs="Arial"/>
          <w:b/>
          <w:bCs/>
        </w:rPr>
      </w:pPr>
    </w:p>
    <w:p w:rsidR="002437F5" w:rsidRPr="009A464D" w:rsidP="0061478E">
      <w:pPr>
        <w:rPr>
          <w:rFonts w:cstheme="minorHAnsi"/>
          <w:b/>
          <w:bCs/>
        </w:rPr>
      </w:pPr>
      <w:r w:rsidRPr="009A464D">
        <w:rPr>
          <w:rFonts w:cstheme="minorHAnsi"/>
          <w:b/>
          <w:bCs/>
        </w:rPr>
        <w:t>Question 8</w:t>
      </w:r>
    </w:p>
    <w:p w:rsidR="002437F5" w:rsidRPr="009A464D" w:rsidP="0061478E">
      <w:pPr>
        <w:rPr>
          <w:rFonts w:cstheme="minorHAnsi"/>
          <w:b/>
          <w:bCs/>
        </w:rPr>
      </w:pPr>
      <w:r w:rsidRPr="009A464D">
        <w:rPr>
          <w:rFonts w:cstheme="minorHAnsi"/>
          <w:b/>
          <w:bCs/>
        </w:rPr>
        <w:t>International comparators and alignment</w:t>
      </w:r>
    </w:p>
    <w:p w:rsidR="002437F5" w:rsidRPr="009A464D" w:rsidP="0061478E">
      <w:pPr>
        <w:spacing w:after="160" w:line="278" w:lineRule="auto"/>
        <w:rPr>
          <w:rFonts w:cstheme="minorHAnsi"/>
        </w:rPr>
      </w:pPr>
    </w:p>
    <w:p w:rsidR="002437F5" w:rsidRPr="007D526D" w:rsidP="0061478E">
      <w:pPr>
        <w:spacing w:after="160" w:line="278" w:lineRule="auto"/>
        <w:rPr>
          <w:rFonts w:cstheme="minorHAnsi"/>
        </w:rPr>
      </w:pPr>
      <w:r w:rsidRPr="007D526D">
        <w:rPr>
          <w:rFonts w:cstheme="minorHAnsi"/>
        </w:rPr>
        <w:t>International developments show that other major economies have already begun to treat antibiotic supply chains as a matter of strategic resilience, not simply a healthcare procurement issue. These actions demonstrate the range of tools available—and highlight that the UK risks falling behind.</w:t>
      </w:r>
    </w:p>
    <w:p w:rsidR="002437F5" w:rsidRPr="007D526D" w:rsidP="0061478E">
      <w:pPr>
        <w:spacing w:after="160" w:line="278" w:lineRule="auto"/>
        <w:rPr>
          <w:rFonts w:cstheme="minorHAnsi"/>
        </w:rPr>
      </w:pPr>
      <w:r w:rsidRPr="007D526D">
        <w:rPr>
          <w:rFonts w:cstheme="minorHAnsi"/>
          <w:b/>
          <w:bCs/>
        </w:rPr>
        <w:t>Germany</w:t>
      </w:r>
      <w:r w:rsidRPr="007D526D">
        <w:rPr>
          <w:rFonts w:cstheme="minorHAnsi"/>
        </w:rPr>
        <w:br/>
      </w:r>
      <w:r w:rsidRPr="007D526D">
        <w:rPr>
          <w:rFonts w:cstheme="minorHAnsi"/>
        </w:rPr>
        <w:t>Germany</w:t>
      </w:r>
      <w:r w:rsidRPr="007D526D">
        <w:rPr>
          <w:rFonts w:cstheme="minorHAnsi"/>
        </w:rPr>
        <w:t xml:space="preserve"> has taken the clearest steps within Europe to integrate value</w:t>
      </w:r>
      <w:r w:rsidRPr="007D526D">
        <w:rPr>
          <w:rFonts w:cstheme="minorHAnsi"/>
        </w:rPr>
        <w:noBreakHyphen/>
      </w:r>
      <w:r w:rsidRPr="007D526D">
        <w:rPr>
          <w:rFonts w:cstheme="minorHAnsi"/>
        </w:rPr>
        <w:t>based procurement into antibiotics purchasing. Its 2023 reform introduced tender structures with dedicated EU</w:t>
      </w:r>
      <w:r w:rsidRPr="007D526D">
        <w:rPr>
          <w:rFonts w:cstheme="minorHAnsi"/>
        </w:rPr>
        <w:noBreakHyphen/>
        <w:t xml:space="preserve">origin API slots—ensuring that at least part of national demand is met by manufacturers sourcing their active ingredient or key starting materials from within the EU. This approach explicitly rewards resilience and helps maintain strategically important manufacturing capacity within Europe. </w:t>
      </w:r>
    </w:p>
    <w:p w:rsidR="002437F5" w:rsidRPr="007D526D" w:rsidP="0061478E">
      <w:pPr>
        <w:spacing w:after="160" w:line="278" w:lineRule="auto"/>
        <w:rPr>
          <w:rFonts w:cstheme="minorHAnsi"/>
        </w:rPr>
      </w:pPr>
      <w:r w:rsidRPr="007D526D">
        <w:rPr>
          <w:rFonts w:cstheme="minorHAnsi"/>
          <w:b/>
          <w:bCs/>
        </w:rPr>
        <w:t>European Union (EU) – Critical Medicines Act (CMA)</w:t>
      </w:r>
      <w:r w:rsidRPr="007D526D">
        <w:rPr>
          <w:rFonts w:cstheme="minorHAnsi"/>
        </w:rPr>
        <w:br/>
        <w:t>At EU level, the proposed Critical Medicines Act aims to strengthen the bloc’s autonomy in essential medicines by promoting regionalised production, minimum volume commitments and procurement criteria that reflect resilience rather than price alone. Though still evolving, the policy direction is clear: Europe is seeking to retain and modernise existing manufacturing capacity, especially for critical antibiotic starting materials such as 6</w:t>
      </w:r>
      <w:r w:rsidRPr="007D526D">
        <w:rPr>
          <w:rFonts w:cstheme="minorHAnsi"/>
        </w:rPr>
        <w:noBreakHyphen/>
        <w:t xml:space="preserve">APA. The UK currently lacks equivalent mechanisms. </w:t>
      </w:r>
      <w:r>
        <w:rPr>
          <w:rStyle w:val="EndnoteReference"/>
          <w:rFonts w:cstheme="minorHAnsi"/>
        </w:rPr>
        <w:endnoteReference w:id="4"/>
      </w:r>
    </w:p>
    <w:p w:rsidR="002437F5" w:rsidRPr="007D526D" w:rsidP="0061478E">
      <w:pPr>
        <w:spacing w:after="160" w:line="278" w:lineRule="auto"/>
        <w:rPr>
          <w:rFonts w:cstheme="minorHAnsi"/>
        </w:rPr>
      </w:pPr>
      <w:r w:rsidRPr="007D526D">
        <w:rPr>
          <w:rFonts w:cstheme="minorHAnsi"/>
          <w:b/>
          <w:bCs/>
        </w:rPr>
        <w:t>India</w:t>
      </w:r>
      <w:r w:rsidRPr="007D526D">
        <w:rPr>
          <w:rFonts w:cstheme="minorHAnsi"/>
        </w:rPr>
        <w:br/>
      </w:r>
      <w:r w:rsidRPr="007D526D">
        <w:rPr>
          <w:rFonts w:cstheme="minorHAnsi"/>
        </w:rPr>
        <w:t>India</w:t>
      </w:r>
      <w:r w:rsidRPr="007D526D">
        <w:rPr>
          <w:rFonts w:cstheme="minorHAnsi"/>
        </w:rPr>
        <w:t xml:space="preserve"> has moved decisively to protect domestic antibiotic production. In 2026 it introduced Minimum Import Prices (MIP) for penicillin</w:t>
      </w:r>
      <w:r w:rsidRPr="007D526D">
        <w:rPr>
          <w:rFonts w:cstheme="minorHAnsi"/>
        </w:rPr>
        <w:noBreakHyphen/>
        <w:t>class intermediates including 6</w:t>
      </w:r>
      <w:r w:rsidRPr="007D526D">
        <w:rPr>
          <w:rFonts w:cstheme="minorHAnsi"/>
        </w:rPr>
        <w:noBreakHyphen/>
        <w:t>APA, safeguarding its producers from sustained below</w:t>
      </w:r>
      <w:r w:rsidRPr="007D526D">
        <w:rPr>
          <w:rFonts w:cstheme="minorHAnsi"/>
        </w:rPr>
        <w:noBreakHyphen/>
        <w:t>cost Chinese exports. This explicitly recognises antibiotic production as a strategic capability rather than a purely commercial activity. India’s action increases pressure on Europe and the UK: as India shields its market, excess subsidised Chinese volumes are likely to be redirected towar</w:t>
      </w:r>
      <w:r w:rsidRPr="007D526D">
        <w:rPr>
          <w:rFonts w:cstheme="minorHAnsi"/>
        </w:rPr>
        <w:t xml:space="preserve">d unprotected markets such as the EU and UK, further distorting competition. </w:t>
      </w:r>
    </w:p>
    <w:p w:rsidR="002437F5" w:rsidRPr="007D526D" w:rsidP="0061478E">
      <w:pPr>
        <w:spacing w:after="160" w:line="278" w:lineRule="auto"/>
        <w:rPr>
          <w:rFonts w:cstheme="minorHAnsi"/>
        </w:rPr>
      </w:pPr>
      <w:r w:rsidRPr="007D526D">
        <w:rPr>
          <w:rFonts w:cstheme="minorHAnsi"/>
        </w:rPr>
        <w:t>To remain aligned with international best practice and avoid becoming an outlier in vulnerability, the UK should:</w:t>
      </w:r>
    </w:p>
    <w:p w:rsidR="002437F5" w:rsidRPr="007D526D" w:rsidP="0061478E">
      <w:pPr>
        <w:numPr>
          <w:ilvl w:val="0"/>
          <w:numId w:val="30"/>
        </w:numPr>
        <w:spacing w:after="160" w:line="278" w:lineRule="auto"/>
        <w:rPr>
          <w:rFonts w:cstheme="minorHAnsi"/>
        </w:rPr>
      </w:pPr>
      <w:r w:rsidRPr="007D526D">
        <w:rPr>
          <w:rFonts w:cstheme="minorHAnsi"/>
        </w:rPr>
        <w:t xml:space="preserve">Integrate resilience criteria into procurement, </w:t>
      </w:r>
      <w:r w:rsidRPr="007D526D">
        <w:rPr>
          <w:rFonts w:cstheme="minorHAnsi"/>
        </w:rPr>
        <w:t>similar to</w:t>
      </w:r>
      <w:r w:rsidRPr="007D526D">
        <w:rPr>
          <w:rFonts w:cstheme="minorHAnsi"/>
        </w:rPr>
        <w:t xml:space="preserve"> Germany’s tender reforms.</w:t>
      </w:r>
    </w:p>
    <w:p w:rsidR="002437F5" w:rsidRPr="007D526D" w:rsidP="0061478E">
      <w:pPr>
        <w:numPr>
          <w:ilvl w:val="0"/>
          <w:numId w:val="30"/>
        </w:numPr>
        <w:spacing w:after="160" w:line="278" w:lineRule="auto"/>
        <w:rPr>
          <w:rFonts w:cstheme="minorHAnsi"/>
        </w:rPr>
      </w:pPr>
      <w:r w:rsidRPr="007D526D">
        <w:rPr>
          <w:rFonts w:cstheme="minorHAnsi"/>
        </w:rPr>
        <w:t>Monitor and respond to global protections, such as India’s MIP, which reshape competition and increase the UK’s exposure.</w:t>
      </w:r>
    </w:p>
    <w:p w:rsidR="002437F5" w:rsidRPr="007D526D" w:rsidP="0061478E">
      <w:pPr>
        <w:numPr>
          <w:ilvl w:val="0"/>
          <w:numId w:val="30"/>
        </w:numPr>
        <w:spacing w:after="160" w:line="278" w:lineRule="auto"/>
        <w:rPr>
          <w:rFonts w:cstheme="minorHAnsi"/>
        </w:rPr>
      </w:pPr>
      <w:r w:rsidRPr="007D526D">
        <w:rPr>
          <w:rFonts w:cstheme="minorHAnsi"/>
        </w:rPr>
        <w:t>Treat antibiotic supply chains as part of the UK’s economic security architecture, consistent with OECD recommendations.</w:t>
      </w:r>
    </w:p>
    <w:p w:rsidR="002437F5" w:rsidRPr="009A464D" w:rsidP="0061478E">
      <w:pPr>
        <w:rPr>
          <w:rFonts w:cstheme="minorHAnsi"/>
        </w:rPr>
      </w:pPr>
    </w:p>
    <w:p w:rsidR="002437F5" w:rsidRPr="009A464D" w:rsidP="0061478E">
      <w:pPr>
        <w:rPr>
          <w:rFonts w:cstheme="minorHAnsi"/>
        </w:rPr>
      </w:pPr>
      <w:r>
        <w:rPr>
          <w:rFonts w:cstheme="minorHAnsi"/>
        </w:rPr>
        <w:pict>
          <v:rect id="_x0000_i1026" style="height:1.5pt;width:0" o:hralign="center" o:hrstd="t" o:hr="t" fillcolor="#a0a0a0" stroked="f"/>
        </w:pict>
      </w:r>
    </w:p>
    <w:p w:rsidR="002437F5" w:rsidRPr="009A464D" w:rsidP="0061478E">
      <w:pPr>
        <w:rPr>
          <w:rFonts w:cstheme="minorHAnsi"/>
        </w:rPr>
      </w:pPr>
    </w:p>
    <w:p w:rsidR="002437F5" w:rsidRPr="009A464D" w:rsidP="0061478E">
      <w:pPr>
        <w:rPr>
          <w:rFonts w:cstheme="minorHAnsi"/>
          <w:b/>
          <w:bCs/>
        </w:rPr>
      </w:pPr>
    </w:p>
    <w:p w:rsidR="002437F5" w:rsidRPr="009A464D" w:rsidP="0061478E">
      <w:pPr>
        <w:spacing w:line="300" w:lineRule="atLeast"/>
        <w:rPr>
          <w:rFonts w:eastAsia="Times New Roman" w:cstheme="minorHAnsi"/>
          <w:lang w:eastAsia="en-GB"/>
        </w:rPr>
      </w:pPr>
    </w:p>
    <w:p w:rsidR="002437F5" w:rsidRPr="009A464D" w:rsidP="00A517E9">
      <w:pPr>
        <w:rPr>
          <w:rFonts w:cstheme="minorHAnsi"/>
        </w:rPr>
      </w:pPr>
    </w:p>
    <w:p w:rsidR="002437F5" w:rsidRPr="009A464D" w:rsidP="00A517E9">
      <w:pPr>
        <w:rPr>
          <w:rFonts w:cstheme="minorHAnsi"/>
        </w:rPr>
      </w:pPr>
    </w:p>
    <w:p w:rsidR="002437F5" w:rsidRPr="009A464D" w:rsidP="00A517E9">
      <w:pPr>
        <w:spacing w:line="240" w:lineRule="auto"/>
        <w:rPr>
          <w:rFonts w:cstheme="minorHAnsi"/>
        </w:rPr>
      </w:pPr>
    </w:p>
    <w:sectPr w:rsidSect="00602F92">
      <w:footerReference w:type="default" r:id="rId13"/>
      <w:pgSz w:w="11906" w:h="16838" w:code="9"/>
      <w:pgMar w:top="720" w:right="720" w:bottom="720" w:left="720"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2437F5" w:rsidP="00FC734E">
      <w:r>
        <w:separator/>
      </w:r>
    </w:p>
  </w:endnote>
  <w:endnote w:type="continuationSeparator" w:id="1">
    <w:p w:rsidR="002437F5" w:rsidP="00FC734E">
      <w:r>
        <w:continuationSeparator/>
      </w:r>
    </w:p>
  </w:endnote>
  <w:endnote w:id="2">
    <w:p w:rsidR="002437F5" w:rsidRPr="00FB4729" w:rsidP="0061478E">
      <w:pPr>
        <w:pStyle w:val="FootnoteText"/>
        <w:rPr>
          <w:lang w:val="en-US"/>
        </w:rPr>
      </w:pPr>
      <w:r>
        <w:rPr>
          <w:rStyle w:val="EndnoteReference"/>
        </w:rPr>
        <w:endnoteRef/>
      </w:r>
      <w:r w:rsidRPr="00F16984">
        <w:rPr>
          <w:rFonts w:ascii="Arial" w:hAnsi="Arial" w:cs="Arial"/>
          <w:szCs w:val="16"/>
        </w:rPr>
        <w:t xml:space="preserve"> New Market Study (2025) “Critical Condition: Securing Europe’s Fragile Antibiotic Supply Chain”</w:t>
      </w:r>
    </w:p>
  </w:endnote>
  <w:endnote w:id="3">
    <w:p w:rsidR="002437F5" w:rsidRPr="006771E7" w:rsidP="0061478E">
      <w:pPr>
        <w:pStyle w:val="EndnoteText"/>
        <w:rPr>
          <w:lang w:val="en-US"/>
        </w:rPr>
      </w:pPr>
      <w:r>
        <w:rPr>
          <w:rStyle w:val="EndnoteReference"/>
        </w:rPr>
        <w:endnoteRef/>
      </w:r>
      <w:r>
        <w:t xml:space="preserve"> </w:t>
      </w:r>
      <w:r>
        <w:fldChar w:fldCharType="begin"/>
      </w:r>
      <w:r>
        <w:instrText xml:space="preserve"> HYPERLINK "https://www.oecd.org/content/dam/oecd/en/publications/reports/2024/11/promoting-resilience-and-preparedness-in-supply-chains_c0320739/be692d01-en.pdf" </w:instrText>
      </w:r>
      <w:r>
        <w:fldChar w:fldCharType="separate"/>
      </w:r>
      <w:r w:rsidRPr="00F16984">
        <w:rPr>
          <w:rStyle w:val="Hyperlink"/>
          <w:rFonts w:ascii="Arial" w:hAnsi="Arial" w:cs="Arial"/>
          <w:sz w:val="16"/>
          <w:szCs w:val="16"/>
        </w:rPr>
        <w:t>OECD Trade Policy Papers on Supply Chain Resilience (2023–2024)</w:t>
      </w:r>
      <w:r>
        <w:fldChar w:fldCharType="end"/>
      </w:r>
    </w:p>
  </w:endnote>
  <w:endnote w:id="4">
    <w:p w:rsidR="002437F5" w:rsidRPr="00F16984" w:rsidP="0061478E">
      <w:pPr>
        <w:pStyle w:val="FootnoteText"/>
        <w:rPr>
          <w:rFonts w:ascii="Arial" w:hAnsi="Arial" w:cs="Arial"/>
          <w:szCs w:val="16"/>
        </w:rPr>
      </w:pPr>
      <w:r>
        <w:rPr>
          <w:rStyle w:val="EndnoteReference"/>
        </w:rPr>
        <w:endnoteRef/>
      </w:r>
      <w:r>
        <w:t xml:space="preserve"> </w:t>
      </w:r>
      <w:r>
        <w:fldChar w:fldCharType="begin"/>
      </w:r>
      <w:r>
        <w:instrText xml:space="preserve"> HYPERLINK "https://www.eesc.europa.eu/en/our-work/opinions-information-reports/opinions/securing-europes-medicine-supply-envisioning-critical-medicines-act" </w:instrText>
      </w:r>
      <w:r>
        <w:fldChar w:fldCharType="separate"/>
      </w:r>
      <w:r w:rsidRPr="00F16984">
        <w:rPr>
          <w:rStyle w:val="Hyperlink"/>
          <w:rFonts w:ascii="Arial" w:hAnsi="Arial" w:cs="Arial"/>
          <w:szCs w:val="16"/>
        </w:rPr>
        <w:t>Securing Europe’s medicine supply: envisioning a Critical Medicines Act | EESC</w:t>
      </w:r>
      <w:r>
        <w:fldChar w:fldCharType="end"/>
      </w:r>
    </w:p>
    <w:p w:rsidR="002437F5" w:rsidRPr="00F61304" w:rsidP="0061478E">
      <w:pPr>
        <w:pStyle w:val="EndnoteText"/>
        <w:rPr>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37F5" w:rsidP="0061297C">
    <w:pPr>
      <w:pStyle w:val="Footer"/>
      <w:tabs>
        <w:tab w:val="clear" w:pos="9026"/>
      </w:tabs>
      <w:ind w:right="3095"/>
    </w:pPr>
  </w:p>
  <w:p w:rsidR="002437F5" w:rsidP="0061297C">
    <w:pPr>
      <w:pStyle w:val="Footer"/>
      <w:tabs>
        <w:tab w:val="clear" w:pos="9026"/>
      </w:tabs>
      <w:ind w:right="3095"/>
    </w:pPr>
    <w:r>
      <w:fldChar w:fldCharType="begin"/>
    </w:r>
    <w:r>
      <w:instrText xml:space="preserve"> PAGE  \* Arabic </w:instrText>
    </w:r>
    <w:r>
      <w:fldChar w:fldCharType="separate"/>
    </w:r>
    <w:r>
      <w:rPr>
        <w:noProof/>
      </w:rPr>
      <w:t>4</w:t>
    </w:r>
    <w:r>
      <w:fldChar w:fldCharType="end"/>
    </w:r>
    <w:r>
      <w:tab/>
    </w:r>
    <w:r w:rsidRPr="0061297C">
      <w:rPr>
        <w:b/>
        <w:bCs/>
        <w:color w:val="1C59B5" w:themeColor="accent2"/>
      </w:rPr>
      <w:fldChar w:fldCharType="begin"/>
    </w:r>
    <w:r w:rsidRPr="0061297C">
      <w:rPr>
        <w:b/>
        <w:bCs/>
        <w:color w:val="1C59B5" w:themeColor="accent2"/>
      </w:rPr>
      <w:instrText xml:space="preserve"> STYLEREF  "Document title"  \* </w:instrText>
    </w:r>
    <w:r>
      <w:rPr>
        <w:b/>
        <w:bCs/>
        <w:color w:val="1C59B5" w:themeColor="accent2"/>
      </w:rPr>
      <w:instrText>CHAR</w:instrText>
    </w:r>
    <w:r w:rsidRPr="0061297C">
      <w:rPr>
        <w:b/>
        <w:bCs/>
        <w:color w:val="1C59B5" w:themeColor="accent2"/>
      </w:rPr>
      <w:instrText xml:space="preserve">FORMAT </w:instrText>
    </w:r>
    <w:r w:rsidRPr="0061297C">
      <w:rPr>
        <w:b/>
        <w:bCs/>
        <w:color w:val="1C59B5" w:themeColor="accent2"/>
      </w:rPr>
      <w:fldChar w:fldCharType="separate"/>
    </w:r>
    <w:r w:rsidR="008121CD">
      <w:rPr>
        <w:b/>
        <w:bCs/>
        <w:noProof/>
        <w:color w:val="1C59B5" w:themeColor="accent2"/>
      </w:rPr>
      <w:t>Sandoz submission to Business and Trade Select Committee: China and the UK economy</w:t>
    </w:r>
    <w:r w:rsidRPr="0061297C">
      <w:rPr>
        <w:b/>
        <w:bCs/>
        <w:color w:val="1C59B5" w:themeColor="accent2"/>
      </w:rPr>
      <w:fldChar w:fldCharType="end"/>
    </w:r>
  </w:p>
  <w:p w:rsidR="002437F5" w:rsidRPr="0061297C" w:rsidP="0061297C">
    <w:pPr>
      <w:pStyle w:val="Footer"/>
    </w:pPr>
    <w:r>
      <w:tab/>
    </w:r>
    <w:r w:rsidRPr="0061297C">
      <w:rPr>
        <w:color w:val="7F7F7F" w:themeColor="text1" w:themeTint="80"/>
      </w:rPr>
      <w:t>Business use only</w:t>
    </w:r>
    <w:r>
      <w:ptab w:relativeTo="margin" w:alignment="right" w:leader="none"/>
    </w:r>
    <w:r w:rsidRPr="0061297C">
      <w:rPr>
        <w:noProof/>
        <w:kern w:val="18"/>
        <w:position w:val="-3"/>
      </w:rPr>
      <w:drawing>
        <wp:anchor distT="0" distB="0" distL="114300" distR="114300" simplePos="0" relativeHeight="251658240" behindDoc="1" locked="1" layoutInCell="1" allowOverlap="1">
          <wp:simplePos x="0" y="0"/>
          <wp:positionH relativeFrom="column">
            <wp:align>right</wp:align>
          </wp:positionH>
          <wp:positionV relativeFrom="paragraph">
            <wp:posOffset>-52705</wp:posOffset>
          </wp:positionV>
          <wp:extent cx="1224000" cy="162000"/>
          <wp:effectExtent l="0" t="0" r="0" b="9525"/>
          <wp:wrapNone/>
          <wp:docPr id="1012251710" name="Picture 1012251710" descr="A blue and black rect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422785" name="Picture 4" descr="A blue and black rectangles&#10;&#10;Description automatically generated"/>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224000" cy="162000"/>
                  </a:xfrm>
                  <a:prstGeom prst="rect">
                    <a:avLst/>
                  </a:prstGeom>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5F81" w:rsidRPr="00E35F81" w:rsidP="00E35F81">
    <w:pPr>
      <w:pStyle w:val="Header"/>
      <w:jc w:val="center"/>
      <w:rPr>
        <w:sz w:val="20"/>
        <w:szCs w:val="20"/>
      </w:rPr>
    </w:pPr>
    <w:r w:rsidRPr="00E35F81">
      <w:rPr>
        <w:sz w:val="20"/>
        <w:szCs w:val="20"/>
      </w:rPr>
      <w:t>Written submission</w:t>
    </w:r>
    <w:r>
      <w:rPr>
        <w:sz w:val="20"/>
        <w:szCs w:val="20"/>
      </w:rPr>
      <w:t xml:space="preserve"> from Sandoz (CHI0041)</w:t>
    </w:r>
  </w:p>
  <w:p w:rsidR="00E35F8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37F5" w:rsidRPr="00701CC6" w:rsidP="00701CC6">
    <w:pPr>
      <w:pStyle w:val="Header"/>
      <w:spacing w:line="240" w:lineRule="auto"/>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E"/>
    <w:multiLevelType w:val="singleLevel"/>
    <w:tmpl w:val="654A5308"/>
    <w:lvl w:ilvl="0">
      <w:start w:val="1"/>
      <w:numFmt w:val="decimal"/>
      <w:lvlText w:val="%1."/>
      <w:lvlJc w:val="left"/>
      <w:pPr>
        <w:tabs>
          <w:tab w:val="num" w:pos="926"/>
        </w:tabs>
        <w:ind w:left="926" w:hanging="360"/>
      </w:pPr>
    </w:lvl>
  </w:abstractNum>
  <w:abstractNum w:abstractNumId="1">
    <w:nsid w:val="FFFFFF7F"/>
    <w:multiLevelType w:val="singleLevel"/>
    <w:tmpl w:val="55EEFD26"/>
    <w:lvl w:ilvl="0">
      <w:start w:val="1"/>
      <w:numFmt w:val="decimal"/>
      <w:lvlText w:val="%1."/>
      <w:lvlJc w:val="left"/>
      <w:pPr>
        <w:tabs>
          <w:tab w:val="num" w:pos="643"/>
        </w:tabs>
        <w:ind w:left="643" w:hanging="360"/>
      </w:pPr>
    </w:lvl>
  </w:abstractNum>
  <w:abstractNum w:abstractNumId="2">
    <w:nsid w:val="FFFFFF82"/>
    <w:multiLevelType w:val="singleLevel"/>
    <w:tmpl w:val="485C4988"/>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93547468"/>
    <w:lvl w:ilvl="0">
      <w:start w:val="1"/>
      <w:numFmt w:val="bullet"/>
      <w:lvlText w:val=""/>
      <w:lvlJc w:val="left"/>
      <w:pPr>
        <w:tabs>
          <w:tab w:val="num" w:pos="643"/>
        </w:tabs>
        <w:ind w:left="643" w:hanging="360"/>
      </w:pPr>
      <w:rPr>
        <w:rFonts w:ascii="Symbol" w:hAnsi="Symbol" w:hint="default"/>
      </w:rPr>
    </w:lvl>
  </w:abstractNum>
  <w:abstractNum w:abstractNumId="4">
    <w:nsid w:val="FFFFFF88"/>
    <w:multiLevelType w:val="singleLevel"/>
    <w:tmpl w:val="8FECF9D0"/>
    <w:lvl w:ilvl="0">
      <w:start w:val="1"/>
      <w:numFmt w:val="decimal"/>
      <w:lvlText w:val="%1."/>
      <w:lvlJc w:val="left"/>
      <w:pPr>
        <w:tabs>
          <w:tab w:val="num" w:pos="360"/>
        </w:tabs>
        <w:ind w:left="360" w:hanging="360"/>
      </w:pPr>
    </w:lvl>
  </w:abstractNum>
  <w:abstractNum w:abstractNumId="5">
    <w:nsid w:val="FFFFFF89"/>
    <w:multiLevelType w:val="singleLevel"/>
    <w:tmpl w:val="B5F4D8A4"/>
    <w:lvl w:ilvl="0">
      <w:start w:val="1"/>
      <w:numFmt w:val="bullet"/>
      <w:lvlText w:val=""/>
      <w:lvlJc w:val="left"/>
      <w:pPr>
        <w:tabs>
          <w:tab w:val="num" w:pos="360"/>
        </w:tabs>
        <w:ind w:left="360" w:hanging="360"/>
      </w:pPr>
      <w:rPr>
        <w:rFonts w:ascii="Symbol" w:hAnsi="Symbol" w:hint="default"/>
      </w:rPr>
    </w:lvl>
  </w:abstractNum>
  <w:abstractNum w:abstractNumId="6">
    <w:nsid w:val="038836F9"/>
    <w:multiLevelType w:val="multilevel"/>
    <w:tmpl w:val="1CE849FC"/>
    <w:numStyleLink w:val="HeadingNumList"/>
  </w:abstractNum>
  <w:abstractNum w:abstractNumId="7">
    <w:nsid w:val="10C92DE1"/>
    <w:multiLevelType w:val="multilevel"/>
    <w:tmpl w:val="B88C6228"/>
    <w:numStyleLink w:val="NumList"/>
  </w:abstractNum>
  <w:abstractNum w:abstractNumId="8">
    <w:nsid w:val="13B0789C"/>
    <w:multiLevelType w:val="multilevel"/>
    <w:tmpl w:val="A43C4202"/>
    <w:styleLink w:val="BulletList"/>
    <w:lvl w:ilvl="0">
      <w:start w:val="1"/>
      <w:numFmt w:val="bullet"/>
      <w:pStyle w:val="ListBullet"/>
      <w:lvlText w:val=""/>
      <w:lvlJc w:val="left"/>
      <w:pPr>
        <w:ind w:left="340" w:hanging="340"/>
      </w:pPr>
      <w:rPr>
        <w:rFonts w:ascii="Symbol" w:hAnsi="Symbol" w:cs="Times New Roman" w:hint="default"/>
        <w:color w:val="auto"/>
        <w:szCs w:val="28"/>
      </w:rPr>
    </w:lvl>
    <w:lvl w:ilvl="1">
      <w:start w:val="1"/>
      <w:numFmt w:val="bullet"/>
      <w:pStyle w:val="ListBullet2"/>
      <w:lvlText w:val=""/>
      <w:lvlJc w:val="left"/>
      <w:pPr>
        <w:ind w:left="680" w:hanging="340"/>
      </w:pPr>
      <w:rPr>
        <w:rFonts w:ascii="Symbol" w:hAnsi="Symbol" w:cs="Symbol" w:hint="default"/>
        <w:color w:val="auto"/>
        <w:szCs w:val="28"/>
      </w:rPr>
    </w:lvl>
    <w:lvl w:ilvl="2">
      <w:start w:val="1"/>
      <w:numFmt w:val="bullet"/>
      <w:pStyle w:val="ListBullet3"/>
      <w:lvlText w:val=""/>
      <w:lvlJc w:val="left"/>
      <w:pPr>
        <w:ind w:left="1021" w:hanging="341"/>
      </w:pPr>
      <w:rPr>
        <w:rFonts w:ascii="Symbol" w:hAnsi="Symbol" w:cs="Times New Roman" w:hint="default"/>
        <w:color w:val="auto"/>
        <w:szCs w:val="2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1ACA6886"/>
    <w:multiLevelType w:val="multilevel"/>
    <w:tmpl w:val="1CE849FC"/>
    <w:numStyleLink w:val="HeadingNumList"/>
  </w:abstractNum>
  <w:abstractNum w:abstractNumId="10">
    <w:nsid w:val="1D852A51"/>
    <w:multiLevelType w:val="multilevel"/>
    <w:tmpl w:val="35347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6D4603"/>
    <w:multiLevelType w:val="multilevel"/>
    <w:tmpl w:val="52167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D65D4D"/>
    <w:multiLevelType w:val="multilevel"/>
    <w:tmpl w:val="23F6D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AA87344"/>
    <w:multiLevelType w:val="multilevel"/>
    <w:tmpl w:val="1CE849FC"/>
    <w:styleLink w:val="HeadingNumList"/>
    <w:lvl w:ilvl="0">
      <w:start w:val="1"/>
      <w:numFmt w:val="decimal"/>
      <w:pStyle w:val="Heading1"/>
      <w:lvlText w:val="%1."/>
      <w:lvlJc w:val="left"/>
      <w:pPr>
        <w:ind w:left="680" w:hanging="680"/>
      </w:pPr>
      <w:rPr>
        <w:rFonts w:hint="default"/>
      </w:rPr>
    </w:lvl>
    <w:lvl w:ilvl="1">
      <w:start w:val="1"/>
      <w:numFmt w:val="decimal"/>
      <w:pStyle w:val="Heading2"/>
      <w:lvlText w:val="%1.%2"/>
      <w:lvlJc w:val="left"/>
      <w:pPr>
        <w:ind w:left="680" w:hanging="680"/>
      </w:pPr>
      <w:rPr>
        <w:rFonts w:hint="default"/>
      </w:rPr>
    </w:lvl>
    <w:lvl w:ilvl="2">
      <w:start w:val="1"/>
      <w:numFmt w:val="decimal"/>
      <w:pStyle w:val="Heading3"/>
      <w:lvlText w:val="%1.%2.%3"/>
      <w:lvlJc w:val="left"/>
      <w:pPr>
        <w:ind w:left="680" w:hanging="680"/>
      </w:pPr>
      <w:rPr>
        <w:rFonts w:hint="default"/>
      </w:rPr>
    </w:lvl>
    <w:lvl w:ilvl="3">
      <w:start w:val="1"/>
      <w:numFmt w:val="decimal"/>
      <w:lvlText w:val="(%4)"/>
      <w:lvlJc w:val="left"/>
      <w:pPr>
        <w:ind w:left="680" w:hanging="680"/>
      </w:pPr>
      <w:rPr>
        <w:rFonts w:hint="default"/>
      </w:rPr>
    </w:lvl>
    <w:lvl w:ilvl="4">
      <w:start w:val="1"/>
      <w:numFmt w:val="lowerLetter"/>
      <w:lvlText w:val="(%5)"/>
      <w:lvlJc w:val="left"/>
      <w:pPr>
        <w:ind w:left="680" w:hanging="680"/>
      </w:pPr>
      <w:rPr>
        <w:rFonts w:hint="default"/>
      </w:rPr>
    </w:lvl>
    <w:lvl w:ilvl="5">
      <w:start w:val="1"/>
      <w:numFmt w:val="lowerRoman"/>
      <w:lvlText w:val="(%6)"/>
      <w:lvlJc w:val="left"/>
      <w:pPr>
        <w:ind w:left="680" w:hanging="680"/>
      </w:pPr>
      <w:rPr>
        <w:rFonts w:hint="default"/>
      </w:rPr>
    </w:lvl>
    <w:lvl w:ilvl="6">
      <w:start w:val="1"/>
      <w:numFmt w:val="decimal"/>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left"/>
      <w:pPr>
        <w:ind w:left="680" w:hanging="680"/>
      </w:pPr>
      <w:rPr>
        <w:rFonts w:hint="default"/>
      </w:rPr>
    </w:lvl>
  </w:abstractNum>
  <w:abstractNum w:abstractNumId="14">
    <w:nsid w:val="41CB47DC"/>
    <w:multiLevelType w:val="multilevel"/>
    <w:tmpl w:val="2168F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D22968"/>
    <w:multiLevelType w:val="multilevel"/>
    <w:tmpl w:val="B88C6228"/>
    <w:styleLink w:val="NumList"/>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546F7DA2"/>
    <w:multiLevelType w:val="hybridMultilevel"/>
    <w:tmpl w:val="4BC2A6D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6A9E0CD3"/>
    <w:multiLevelType w:val="multilevel"/>
    <w:tmpl w:val="53C28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F523CDB"/>
    <w:multiLevelType w:val="multilevel"/>
    <w:tmpl w:val="97507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15"/>
  </w:num>
  <w:num w:numId="8">
    <w:abstractNumId w:val="13"/>
  </w:num>
  <w:num w:numId="9">
    <w:abstractNumId w:val="6"/>
  </w:num>
  <w:num w:numId="10">
    <w:abstractNumId w:val="7"/>
  </w:num>
  <w:num w:numId="11">
    <w:abstractNumId w:val="5"/>
  </w:num>
  <w:num w:numId="12">
    <w:abstractNumId w:val="7"/>
  </w:num>
  <w:num w:numId="13">
    <w:abstractNumId w:val="3"/>
  </w:num>
  <w:num w:numId="14">
    <w:abstractNumId w:val="2"/>
  </w:num>
  <w:num w:numId="15">
    <w:abstractNumId w:val="7"/>
  </w:num>
  <w:num w:numId="16">
    <w:abstractNumId w:val="7"/>
  </w:num>
  <w:num w:numId="17">
    <w:abstractNumId w:val="15"/>
  </w:num>
  <w:num w:numId="18">
    <w:abstractNumId w:val="13"/>
  </w:num>
  <w:num w:numId="19">
    <w:abstractNumId w:val="8"/>
  </w:num>
  <w:num w:numId="20">
    <w:abstractNumId w:val="9"/>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18"/>
  </w:num>
  <w:num w:numId="26">
    <w:abstractNumId w:val="11"/>
  </w:num>
  <w:num w:numId="27">
    <w:abstractNumId w:val="12"/>
  </w:num>
  <w:num w:numId="28">
    <w:abstractNumId w:val="14"/>
  </w:num>
  <w:num w:numId="29">
    <w:abstractNumId w:val="16"/>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oNotTrackMoves/>
  <w:defaultTabStop w:val="720"/>
  <w:characterSpacingControl w:val="doNotCompress"/>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TW"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foot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9" w:qFormat="1"/>
    <w:lsdException w:name="List Number" w:uiPriority="29" w:qFormat="1"/>
    <w:lsdException w:name="List 2" w:semiHidden="1"/>
    <w:lsdException w:name="List 3" w:semiHidden="1"/>
    <w:lsdException w:name="List 4" w:semiHidden="1"/>
    <w:lsdException w:name="List 5" w:semiHidden="1"/>
    <w:lsdException w:name="List Bullet 2" w:uiPriority="19" w:qFormat="1"/>
    <w:lsdException w:name="List Bullet 3" w:uiPriority="19" w:qFormat="1"/>
    <w:lsdException w:name="List Bullet 4" w:semiHidden="1"/>
    <w:lsdException w:name="List Bullet 5" w:semiHidden="1"/>
    <w:lsdException w:name="List Number 2" w:uiPriority="29" w:qFormat="1"/>
    <w:lsdException w:name="List Number 3" w:uiPriority="29" w:qFormat="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uiPriority="39" w:qFormat="1"/>
  </w:latentStyles>
  <w:style w:type="paragraph" w:default="1" w:styleId="Normal">
    <w:name w:val="Normal"/>
    <w:qFormat/>
    <w:rsid w:val="00F63B91"/>
    <w:pPr>
      <w:spacing w:line="260" w:lineRule="atLeast"/>
    </w:pPr>
    <w:rPr>
      <w:color w:val="001C4A" w:themeColor="text2"/>
    </w:rPr>
  </w:style>
  <w:style w:type="paragraph" w:styleId="Heading1">
    <w:name w:val="heading 1"/>
    <w:basedOn w:val="Normal"/>
    <w:next w:val="Normal"/>
    <w:link w:val="Heading1Char"/>
    <w:uiPriority w:val="9"/>
    <w:qFormat/>
    <w:rsid w:val="00803708"/>
    <w:pPr>
      <w:keepNext/>
      <w:keepLines/>
      <w:numPr>
        <w:numId w:val="20"/>
      </w:numPr>
      <w:spacing w:before="360" w:after="360" w:line="250" w:lineRule="auto"/>
      <w:ind w:left="0" w:firstLine="0"/>
      <w:outlineLvl w:val="0"/>
    </w:pPr>
    <w:rPr>
      <w:rFonts w:asciiTheme="majorHAnsi" w:eastAsiaTheme="majorEastAsia" w:hAnsiTheme="majorHAnsi" w:cstheme="majorBidi"/>
      <w:b/>
      <w:color w:val="1C59B5" w:themeColor="accent2"/>
      <w:sz w:val="44"/>
      <w:szCs w:val="32"/>
    </w:rPr>
  </w:style>
  <w:style w:type="paragraph" w:styleId="Heading2">
    <w:name w:val="heading 2"/>
    <w:basedOn w:val="Normal"/>
    <w:next w:val="Normal"/>
    <w:link w:val="Heading2Char"/>
    <w:uiPriority w:val="9"/>
    <w:unhideWhenUsed/>
    <w:qFormat/>
    <w:rsid w:val="00210B18"/>
    <w:pPr>
      <w:keepNext/>
      <w:keepLines/>
      <w:numPr>
        <w:ilvl w:val="1"/>
        <w:numId w:val="20"/>
      </w:numPr>
      <w:spacing w:before="260" w:after="260" w:line="250" w:lineRule="auto"/>
      <w:ind w:left="0" w:firstLine="0"/>
      <w:outlineLvl w:val="1"/>
    </w:pPr>
    <w:rPr>
      <w:rFonts w:asciiTheme="majorHAnsi" w:eastAsiaTheme="majorEastAsia" w:hAnsiTheme="majorHAnsi" w:cstheme="majorBidi"/>
      <w:b/>
      <w:color w:val="1C59B5" w:themeColor="accent2"/>
      <w:sz w:val="28"/>
      <w:szCs w:val="26"/>
    </w:rPr>
  </w:style>
  <w:style w:type="paragraph" w:styleId="Heading3">
    <w:name w:val="heading 3"/>
    <w:basedOn w:val="Normal"/>
    <w:next w:val="Normal"/>
    <w:link w:val="Heading3Char"/>
    <w:uiPriority w:val="9"/>
    <w:unhideWhenUsed/>
    <w:qFormat/>
    <w:rsid w:val="00210B18"/>
    <w:pPr>
      <w:keepNext/>
      <w:keepLines/>
      <w:numPr>
        <w:ilvl w:val="2"/>
        <w:numId w:val="20"/>
      </w:numPr>
      <w:ind w:left="0" w:firstLine="0"/>
      <w:outlineLvl w:val="2"/>
    </w:pPr>
    <w:rPr>
      <w:rFonts w:asciiTheme="majorHAnsi" w:eastAsiaTheme="majorEastAsia" w:hAnsiTheme="majorHAnsi"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8E6C91"/>
    <w:pPr>
      <w:spacing w:after="40"/>
    </w:pPr>
    <w:rPr>
      <w:sz w:val="16"/>
    </w:rPr>
  </w:style>
  <w:style w:type="character" w:customStyle="1" w:styleId="FootnoteTextChar">
    <w:name w:val="Footnote Text Char"/>
    <w:basedOn w:val="DefaultParagraphFont"/>
    <w:link w:val="FootnoteText"/>
    <w:uiPriority w:val="99"/>
    <w:rsid w:val="008E6C91"/>
    <w:rPr>
      <w:sz w:val="16"/>
    </w:rPr>
  </w:style>
  <w:style w:type="character" w:customStyle="1" w:styleId="Heading1Char">
    <w:name w:val="Heading 1 Char"/>
    <w:basedOn w:val="DefaultParagraphFont"/>
    <w:link w:val="Heading1"/>
    <w:uiPriority w:val="9"/>
    <w:rsid w:val="00803708"/>
    <w:rPr>
      <w:rFonts w:asciiTheme="majorHAnsi" w:eastAsiaTheme="majorEastAsia" w:hAnsiTheme="majorHAnsi" w:cstheme="majorBidi"/>
      <w:b/>
      <w:color w:val="1C59B5" w:themeColor="accent2"/>
      <w:sz w:val="44"/>
      <w:szCs w:val="32"/>
    </w:rPr>
  </w:style>
  <w:style w:type="character" w:customStyle="1" w:styleId="Heading2Char">
    <w:name w:val="Heading 2 Char"/>
    <w:basedOn w:val="DefaultParagraphFont"/>
    <w:link w:val="Heading2"/>
    <w:uiPriority w:val="9"/>
    <w:rsid w:val="00210B18"/>
    <w:rPr>
      <w:rFonts w:asciiTheme="majorHAnsi" w:eastAsiaTheme="majorEastAsia" w:hAnsiTheme="majorHAnsi" w:cstheme="majorBidi"/>
      <w:b/>
      <w:color w:val="1C59B5" w:themeColor="accent2"/>
      <w:sz w:val="28"/>
      <w:szCs w:val="26"/>
    </w:rPr>
  </w:style>
  <w:style w:type="paragraph" w:styleId="Caption">
    <w:name w:val="caption"/>
    <w:basedOn w:val="Normal"/>
    <w:next w:val="Normal"/>
    <w:uiPriority w:val="49"/>
    <w:qFormat/>
    <w:rsid w:val="00771E63"/>
    <w:pPr>
      <w:spacing w:before="120" w:after="120"/>
    </w:pPr>
    <w:rPr>
      <w:b/>
      <w:iCs/>
      <w:sz w:val="16"/>
      <w:szCs w:val="18"/>
    </w:rPr>
  </w:style>
  <w:style w:type="paragraph" w:styleId="TOCHeading">
    <w:name w:val="TOC Heading"/>
    <w:next w:val="Normal"/>
    <w:uiPriority w:val="39"/>
    <w:qFormat/>
    <w:rsid w:val="00210B18"/>
    <w:pPr>
      <w:spacing w:before="260" w:after="360" w:line="250" w:lineRule="auto"/>
    </w:pPr>
    <w:rPr>
      <w:rFonts w:asciiTheme="majorHAnsi" w:eastAsiaTheme="majorEastAsia" w:hAnsiTheme="majorHAnsi" w:cstheme="majorBidi"/>
      <w:b/>
      <w:color w:val="1C59B5" w:themeColor="accent2"/>
      <w:sz w:val="44"/>
      <w:szCs w:val="32"/>
    </w:rPr>
  </w:style>
  <w:style w:type="numbering" w:customStyle="1" w:styleId="NumList">
    <w:name w:val="NumList"/>
    <w:uiPriority w:val="99"/>
    <w:rsid w:val="008E6C91"/>
    <w:pPr>
      <w:numPr>
        <w:numId w:val="7"/>
      </w:numPr>
    </w:pPr>
  </w:style>
  <w:style w:type="paragraph" w:styleId="ListNumber">
    <w:name w:val="List Number"/>
    <w:basedOn w:val="Normal"/>
    <w:uiPriority w:val="29"/>
    <w:qFormat/>
    <w:rsid w:val="008E6C91"/>
    <w:pPr>
      <w:numPr>
        <w:numId w:val="17"/>
      </w:numPr>
      <w:contextualSpacing/>
    </w:pPr>
  </w:style>
  <w:style w:type="paragraph" w:styleId="ListNumber2">
    <w:name w:val="List Number 2"/>
    <w:basedOn w:val="Normal"/>
    <w:uiPriority w:val="29"/>
    <w:qFormat/>
    <w:rsid w:val="008E6C91"/>
    <w:pPr>
      <w:numPr>
        <w:ilvl w:val="1"/>
        <w:numId w:val="17"/>
      </w:numPr>
      <w:contextualSpacing/>
    </w:pPr>
  </w:style>
  <w:style w:type="paragraph" w:styleId="ListNumber3">
    <w:name w:val="List Number 3"/>
    <w:basedOn w:val="Normal"/>
    <w:uiPriority w:val="29"/>
    <w:qFormat/>
    <w:rsid w:val="008E6C91"/>
    <w:pPr>
      <w:numPr>
        <w:ilvl w:val="2"/>
        <w:numId w:val="17"/>
      </w:numPr>
      <w:contextualSpacing/>
    </w:pPr>
  </w:style>
  <w:style w:type="character" w:customStyle="1" w:styleId="Heading3Char">
    <w:name w:val="Heading 3 Char"/>
    <w:basedOn w:val="DefaultParagraphFont"/>
    <w:link w:val="Heading3"/>
    <w:uiPriority w:val="9"/>
    <w:rsid w:val="00210B18"/>
    <w:rPr>
      <w:rFonts w:asciiTheme="majorHAnsi" w:eastAsiaTheme="majorEastAsia" w:hAnsiTheme="majorHAnsi" w:cstheme="majorBidi"/>
      <w:b/>
      <w:color w:val="001C4A" w:themeColor="text2"/>
      <w:szCs w:val="24"/>
    </w:rPr>
  </w:style>
  <w:style w:type="numbering" w:customStyle="1" w:styleId="HeadingNumList">
    <w:name w:val="HeadingNumList"/>
    <w:uiPriority w:val="99"/>
    <w:rsid w:val="00BE270F"/>
    <w:pPr>
      <w:numPr>
        <w:numId w:val="8"/>
      </w:numPr>
    </w:pPr>
  </w:style>
  <w:style w:type="paragraph" w:styleId="ListBullet">
    <w:name w:val="List Bullet"/>
    <w:basedOn w:val="Normal"/>
    <w:uiPriority w:val="19"/>
    <w:qFormat/>
    <w:rsid w:val="008E6C91"/>
    <w:pPr>
      <w:numPr>
        <w:numId w:val="19"/>
      </w:numPr>
      <w:contextualSpacing/>
    </w:pPr>
  </w:style>
  <w:style w:type="paragraph" w:styleId="ListBullet2">
    <w:name w:val="List Bullet 2"/>
    <w:basedOn w:val="Normal"/>
    <w:uiPriority w:val="19"/>
    <w:qFormat/>
    <w:rsid w:val="008E6C91"/>
    <w:pPr>
      <w:numPr>
        <w:ilvl w:val="1"/>
        <w:numId w:val="19"/>
      </w:numPr>
      <w:contextualSpacing/>
    </w:pPr>
  </w:style>
  <w:style w:type="paragraph" w:styleId="ListBullet3">
    <w:name w:val="List Bullet 3"/>
    <w:basedOn w:val="Normal"/>
    <w:uiPriority w:val="19"/>
    <w:qFormat/>
    <w:rsid w:val="008E6C91"/>
    <w:pPr>
      <w:numPr>
        <w:ilvl w:val="2"/>
        <w:numId w:val="19"/>
      </w:numPr>
      <w:contextualSpacing/>
    </w:pPr>
  </w:style>
  <w:style w:type="paragraph" w:styleId="TOC1">
    <w:name w:val="toc 1"/>
    <w:basedOn w:val="Normal"/>
    <w:next w:val="Normal"/>
    <w:uiPriority w:val="39"/>
    <w:rsid w:val="00321448"/>
    <w:pPr>
      <w:tabs>
        <w:tab w:val="right" w:pos="10467"/>
      </w:tabs>
      <w:spacing w:before="260" w:after="120"/>
      <w:ind w:left="567" w:hanging="567"/>
    </w:pPr>
    <w:rPr>
      <w:b/>
      <w:color w:val="1C59B5" w:themeColor="accent2"/>
    </w:rPr>
  </w:style>
  <w:style w:type="paragraph" w:styleId="TOC2">
    <w:name w:val="toc 2"/>
    <w:basedOn w:val="Normal"/>
    <w:next w:val="Normal"/>
    <w:uiPriority w:val="39"/>
    <w:rsid w:val="00321448"/>
    <w:pPr>
      <w:tabs>
        <w:tab w:val="right" w:pos="10467"/>
      </w:tabs>
      <w:spacing w:after="120"/>
      <w:ind w:left="567" w:hanging="567"/>
    </w:pPr>
  </w:style>
  <w:style w:type="paragraph" w:styleId="TOC3">
    <w:name w:val="toc 3"/>
    <w:basedOn w:val="Normal"/>
    <w:next w:val="Normal"/>
    <w:uiPriority w:val="39"/>
    <w:rsid w:val="00A85A37"/>
    <w:pPr>
      <w:tabs>
        <w:tab w:val="right" w:pos="10467"/>
      </w:tabs>
      <w:spacing w:after="100"/>
      <w:ind w:left="1361" w:hanging="794"/>
    </w:pPr>
  </w:style>
  <w:style w:type="paragraph" w:styleId="TOC4">
    <w:name w:val="toc 4"/>
    <w:basedOn w:val="Normal"/>
    <w:next w:val="Normal"/>
    <w:uiPriority w:val="39"/>
    <w:semiHidden/>
    <w:rsid w:val="00FD65F2"/>
    <w:pPr>
      <w:spacing w:after="100"/>
      <w:ind w:left="660"/>
    </w:pPr>
  </w:style>
  <w:style w:type="paragraph" w:styleId="TOC5">
    <w:name w:val="toc 5"/>
    <w:basedOn w:val="Normal"/>
    <w:next w:val="Normal"/>
    <w:uiPriority w:val="39"/>
    <w:semiHidden/>
    <w:rsid w:val="00FD65F2"/>
    <w:pPr>
      <w:spacing w:after="100"/>
      <w:ind w:left="880"/>
    </w:pPr>
  </w:style>
  <w:style w:type="paragraph" w:styleId="TOC6">
    <w:name w:val="toc 6"/>
    <w:basedOn w:val="Normal"/>
    <w:next w:val="Normal"/>
    <w:uiPriority w:val="39"/>
    <w:semiHidden/>
    <w:rsid w:val="00FD65F2"/>
    <w:pPr>
      <w:spacing w:after="100"/>
      <w:ind w:left="1100"/>
    </w:pPr>
  </w:style>
  <w:style w:type="paragraph" w:styleId="TOC7">
    <w:name w:val="toc 7"/>
    <w:basedOn w:val="Normal"/>
    <w:next w:val="Normal"/>
    <w:uiPriority w:val="39"/>
    <w:semiHidden/>
    <w:rsid w:val="00FD65F2"/>
    <w:pPr>
      <w:spacing w:after="100"/>
      <w:ind w:left="1320"/>
    </w:pPr>
  </w:style>
  <w:style w:type="paragraph" w:styleId="TOC8">
    <w:name w:val="toc 8"/>
    <w:basedOn w:val="Normal"/>
    <w:next w:val="Normal"/>
    <w:uiPriority w:val="39"/>
    <w:semiHidden/>
    <w:rsid w:val="00FD65F2"/>
    <w:pPr>
      <w:spacing w:after="100"/>
      <w:ind w:left="1540"/>
    </w:pPr>
  </w:style>
  <w:style w:type="paragraph" w:styleId="TOC9">
    <w:name w:val="toc 9"/>
    <w:basedOn w:val="Normal"/>
    <w:next w:val="Normal"/>
    <w:uiPriority w:val="39"/>
    <w:semiHidden/>
    <w:rsid w:val="00FD65F2"/>
    <w:pPr>
      <w:spacing w:after="100"/>
      <w:ind w:left="1760"/>
    </w:pPr>
  </w:style>
  <w:style w:type="numbering" w:customStyle="1" w:styleId="BulletList">
    <w:name w:val="BulletList"/>
    <w:uiPriority w:val="99"/>
    <w:rsid w:val="00CD20C3"/>
    <w:pPr>
      <w:numPr>
        <w:numId w:val="19"/>
      </w:numPr>
    </w:pPr>
  </w:style>
  <w:style w:type="paragraph" w:styleId="Header">
    <w:name w:val="header"/>
    <w:basedOn w:val="Normal"/>
    <w:link w:val="HeaderChar"/>
    <w:uiPriority w:val="99"/>
    <w:semiHidden/>
    <w:rsid w:val="00FC734E"/>
    <w:pPr>
      <w:tabs>
        <w:tab w:val="center" w:pos="4513"/>
        <w:tab w:val="right" w:pos="9026"/>
      </w:tabs>
      <w:spacing w:line="200" w:lineRule="atLeast"/>
    </w:pPr>
    <w:rPr>
      <w:sz w:val="16"/>
    </w:rPr>
  </w:style>
  <w:style w:type="character" w:customStyle="1" w:styleId="HeaderChar">
    <w:name w:val="Header Char"/>
    <w:basedOn w:val="DefaultParagraphFont"/>
    <w:link w:val="Header"/>
    <w:uiPriority w:val="99"/>
    <w:semiHidden/>
    <w:rsid w:val="00FC734E"/>
    <w:rPr>
      <w:color w:val="001C4A" w:themeColor="text2"/>
      <w:sz w:val="16"/>
    </w:rPr>
  </w:style>
  <w:style w:type="paragraph" w:styleId="Footer">
    <w:name w:val="footer"/>
    <w:basedOn w:val="Normal"/>
    <w:link w:val="FooterChar"/>
    <w:uiPriority w:val="99"/>
    <w:rsid w:val="0061297C"/>
    <w:pPr>
      <w:tabs>
        <w:tab w:val="left" w:pos="567"/>
        <w:tab w:val="right" w:pos="9026"/>
      </w:tabs>
      <w:spacing w:line="216" w:lineRule="auto"/>
      <w:ind w:left="567" w:hanging="567"/>
    </w:pPr>
    <w:rPr>
      <w:sz w:val="18"/>
    </w:rPr>
  </w:style>
  <w:style w:type="character" w:customStyle="1" w:styleId="FooterChar">
    <w:name w:val="Footer Char"/>
    <w:basedOn w:val="DefaultParagraphFont"/>
    <w:link w:val="Footer"/>
    <w:uiPriority w:val="99"/>
    <w:rsid w:val="0061297C"/>
    <w:rPr>
      <w:color w:val="001C4A" w:themeColor="text2"/>
      <w:sz w:val="18"/>
    </w:rPr>
  </w:style>
  <w:style w:type="table" w:styleId="TableGrid">
    <w:name w:val="Table Grid"/>
    <w:basedOn w:val="TableNormal"/>
    <w:uiPriority w:val="59"/>
    <w:rsid w:val="00FC73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
    <w:name w:val="Report table"/>
    <w:basedOn w:val="TableNormal"/>
    <w:uiPriority w:val="99"/>
    <w:rsid w:val="00752DE1"/>
    <w:pPr>
      <w:spacing w:before="40" w:after="40"/>
    </w:pPr>
    <w:rPr>
      <w:color w:val="001C4A" w:themeColor="text2"/>
    </w:rPr>
    <w:tblPr>
      <w:tblBorders>
        <w:insideH w:val="single" w:sz="8" w:space="0" w:color="D6CDC7"/>
      </w:tblBorders>
      <w:tblCellMar>
        <w:left w:w="0" w:type="dxa"/>
        <w:right w:w="0" w:type="dxa"/>
      </w:tblCellMar>
    </w:tblPr>
    <w:tblStylePr w:type="firstRow">
      <w:pPr>
        <w:wordWrap/>
        <w:spacing w:before="40" w:beforeLines="0" w:beforeAutospacing="0" w:after="40" w:afterLines="40" w:afterAutospacing="0"/>
      </w:pPr>
      <w:rPr>
        <w:b/>
        <w:color w:val="1C59B5" w:themeColor="accent2"/>
      </w:rPr>
      <w:tblPr/>
      <w:tcPr>
        <w:tcBorders>
          <w:top w:val="single" w:sz="4" w:space="0" w:color="001C4A" w:themeColor="text2"/>
          <w:left w:val="nil"/>
          <w:bottom w:val="single" w:sz="4" w:space="0" w:color="001C4A" w:themeColor="text2"/>
          <w:right w:val="nil"/>
          <w:insideH w:val="single" w:sz="4" w:space="0" w:color="001C4A" w:themeColor="text2"/>
          <w:insideV w:val="nil"/>
        </w:tcBorders>
      </w:tcPr>
    </w:tblStylePr>
    <w:tblStylePr w:type="firstCol">
      <w:rPr>
        <w:rFonts w:asciiTheme="minorHAnsi" w:eastAsiaTheme="minorEastAsia" w:hAnsiTheme="minorHAnsi" w:cstheme="minorBidi"/>
        <w:b/>
        <w:i w:val="0"/>
        <w:color w:val="1C59B5" w:themeColor="accent2"/>
        <w:sz w:val="40"/>
        <w:szCs w:val="40"/>
      </w:rPr>
    </w:tblStylePr>
  </w:style>
  <w:style w:type="paragraph" w:customStyle="1" w:styleId="Documenttitle">
    <w:name w:val="Document title"/>
    <w:basedOn w:val="Normal"/>
    <w:next w:val="Normal"/>
    <w:rsid w:val="00A14634"/>
    <w:pPr>
      <w:spacing w:after="120" w:line="228" w:lineRule="auto"/>
    </w:pPr>
    <w:rPr>
      <w:b/>
      <w:color w:val="1C59B5" w:themeColor="accent2"/>
      <w:sz w:val="84"/>
    </w:rPr>
  </w:style>
  <w:style w:type="paragraph" w:customStyle="1" w:styleId="Documentdate">
    <w:name w:val="Document date"/>
    <w:basedOn w:val="Normal"/>
    <w:next w:val="Normal"/>
    <w:rsid w:val="00367AB1"/>
    <w:pPr>
      <w:spacing w:before="120" w:after="200" w:line="240" w:lineRule="auto"/>
    </w:pPr>
    <w:rPr>
      <w:b/>
      <w:bCs/>
      <w:sz w:val="30"/>
      <w:szCs w:val="40"/>
    </w:rPr>
  </w:style>
  <w:style w:type="character" w:styleId="Hyperlink">
    <w:name w:val="Hyperlink"/>
    <w:basedOn w:val="DefaultParagraphFont"/>
    <w:uiPriority w:val="99"/>
    <w:unhideWhenUsed/>
    <w:rsid w:val="00BE270F"/>
    <w:rPr>
      <w:color w:val="000000" w:themeColor="hyperlink"/>
      <w:u w:val="single"/>
    </w:rPr>
  </w:style>
  <w:style w:type="paragraph" w:customStyle="1" w:styleId="PageHeading">
    <w:name w:val="Page Heading"/>
    <w:basedOn w:val="Normal"/>
    <w:next w:val="Normal"/>
    <w:uiPriority w:val="10"/>
    <w:qFormat/>
    <w:rsid w:val="008B1D19"/>
    <w:pPr>
      <w:spacing w:after="360" w:line="240" w:lineRule="auto"/>
    </w:pPr>
    <w:rPr>
      <w:b/>
      <w:color w:val="1C59B5" w:themeColor="accent2"/>
      <w:sz w:val="44"/>
    </w:rPr>
  </w:style>
  <w:style w:type="character" w:customStyle="1" w:styleId="UnresolvedMention1">
    <w:name w:val="Unresolved Mention1"/>
    <w:basedOn w:val="DefaultParagraphFont"/>
    <w:uiPriority w:val="99"/>
    <w:semiHidden/>
    <w:rsid w:val="00BD67C3"/>
    <w:rPr>
      <w:color w:val="605E5C"/>
      <w:shd w:val="clear" w:color="auto" w:fill="E1DFDD"/>
    </w:rPr>
  </w:style>
  <w:style w:type="paragraph" w:customStyle="1" w:styleId="Disclaimertext">
    <w:name w:val="Disclaimer text"/>
    <w:basedOn w:val="Normal"/>
    <w:qFormat/>
    <w:rsid w:val="00A517E9"/>
    <w:pPr>
      <w:spacing w:line="240" w:lineRule="auto"/>
    </w:pPr>
    <w:rPr>
      <w:sz w:val="16"/>
    </w:rPr>
  </w:style>
  <w:style w:type="table" w:customStyle="1" w:styleId="Meetingtable">
    <w:name w:val="Meeting table"/>
    <w:basedOn w:val="TableNormal"/>
    <w:uiPriority w:val="99"/>
    <w:rsid w:val="005E4564"/>
    <w:pPr>
      <w:spacing w:before="40" w:after="40"/>
    </w:pPr>
    <w:rPr>
      <w:color w:val="001C4A" w:themeColor="text2"/>
    </w:rPr>
    <w:tblPr>
      <w:tblBorders>
        <w:top w:val="single" w:sz="4" w:space="0" w:color="auto"/>
        <w:insideH w:val="single" w:sz="4" w:space="0" w:color="D6C6B6" w:themeColor="accent6"/>
      </w:tblBorders>
      <w:tblCellMar>
        <w:top w:w="57" w:type="dxa"/>
        <w:left w:w="85" w:type="dxa"/>
        <w:bottom w:w="57" w:type="dxa"/>
        <w:right w:w="0" w:type="dxa"/>
      </w:tblCellMar>
    </w:tblPr>
    <w:tblStylePr w:type="firstRow">
      <w:pPr>
        <w:wordWrap/>
        <w:spacing w:before="100" w:beforeLines="0" w:beforeAutospacing="1" w:after="100" w:afterLines="0" w:afterAutospacing="1"/>
      </w:pPr>
      <w:rPr>
        <w:b/>
        <w:color w:val="1C59B5" w:themeColor="accent2"/>
      </w:rPr>
      <w:tblPr/>
      <w:tcPr>
        <w:tcBorders>
          <w:top w:val="nil"/>
          <w:left w:val="nil"/>
          <w:bottom w:val="single" w:sz="8" w:space="0" w:color="1C59B5" w:themeColor="accent2"/>
          <w:right w:val="nil"/>
          <w:insideH w:val="nil"/>
          <w:insideV w:val="nil"/>
        </w:tcBorders>
      </w:tcPr>
    </w:tblStylePr>
    <w:tblStylePr w:type="firstCol">
      <w:rPr>
        <w:rFonts w:asciiTheme="minorHAnsi" w:eastAsiaTheme="minorEastAsia" w:hAnsiTheme="minorHAnsi" w:cstheme="minorBidi" w:hint="default"/>
        <w:b w:val="0"/>
        <w:i w:val="0"/>
        <w:color w:val="1C59B5" w:themeColor="accent2"/>
        <w:sz w:val="22"/>
        <w:szCs w:val="40"/>
      </w:rPr>
    </w:tblStylePr>
  </w:style>
  <w:style w:type="paragraph" w:styleId="ListParagraph">
    <w:name w:val="List Paragraph"/>
    <w:basedOn w:val="Normal"/>
    <w:uiPriority w:val="34"/>
    <w:qFormat/>
    <w:rsid w:val="0061478E"/>
    <w:pPr>
      <w:spacing w:after="160" w:line="278" w:lineRule="auto"/>
      <w:ind w:left="720"/>
      <w:contextualSpacing/>
    </w:pPr>
    <w:rPr>
      <w:rFonts w:eastAsiaTheme="minorHAnsi"/>
      <w:color w:val="auto"/>
      <w:kern w:val="2"/>
      <w:sz w:val="24"/>
      <w:szCs w:val="24"/>
      <w:lang w:eastAsia="en-US"/>
    </w:rPr>
  </w:style>
  <w:style w:type="paragraph" w:styleId="NormalWeb">
    <w:name w:val="Normal (Web)"/>
    <w:basedOn w:val="Normal"/>
    <w:uiPriority w:val="99"/>
    <w:semiHidden/>
    <w:unhideWhenUsed/>
    <w:rsid w:val="0061478E"/>
    <w:pPr>
      <w:spacing w:after="160" w:line="278" w:lineRule="auto"/>
    </w:pPr>
    <w:rPr>
      <w:rFonts w:ascii="Times New Roman" w:hAnsi="Times New Roman" w:eastAsiaTheme="minorHAnsi" w:cs="Times New Roman"/>
      <w:color w:val="auto"/>
      <w:kern w:val="2"/>
      <w:sz w:val="24"/>
      <w:szCs w:val="24"/>
      <w:lang w:eastAsia="en-US"/>
    </w:rPr>
  </w:style>
  <w:style w:type="paragraph" w:styleId="EndnoteText">
    <w:name w:val="endnote text"/>
    <w:basedOn w:val="Normal"/>
    <w:link w:val="EndnoteTextChar"/>
    <w:uiPriority w:val="99"/>
    <w:semiHidden/>
    <w:unhideWhenUsed/>
    <w:rsid w:val="0061478E"/>
    <w:pPr>
      <w:spacing w:line="240" w:lineRule="auto"/>
    </w:pPr>
    <w:rPr>
      <w:rFonts w:eastAsiaTheme="minorHAnsi"/>
      <w:color w:val="auto"/>
      <w:kern w:val="2"/>
      <w:sz w:val="20"/>
      <w:szCs w:val="20"/>
      <w:lang w:eastAsia="en-US"/>
    </w:rPr>
  </w:style>
  <w:style w:type="character" w:customStyle="1" w:styleId="EndnoteTextChar">
    <w:name w:val="Endnote Text Char"/>
    <w:basedOn w:val="DefaultParagraphFont"/>
    <w:link w:val="EndnoteText"/>
    <w:uiPriority w:val="99"/>
    <w:semiHidden/>
    <w:rsid w:val="0061478E"/>
    <w:rPr>
      <w:rFonts w:eastAsiaTheme="minorHAnsi"/>
      <w:kern w:val="2"/>
      <w:sz w:val="20"/>
      <w:szCs w:val="20"/>
      <w:lang w:eastAsia="en-US"/>
    </w:rPr>
  </w:style>
  <w:style w:type="character" w:styleId="EndnoteReference">
    <w:name w:val="endnote reference"/>
    <w:basedOn w:val="DefaultParagraphFont"/>
    <w:uiPriority w:val="99"/>
    <w:semiHidden/>
    <w:unhideWhenUsed/>
    <w:rsid w:val="006147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endnotes" Target="endnotes.xml" /><Relationship Id="rId10" Type="http://schemas.openxmlformats.org/officeDocument/2006/relationships/image" Target="media/image2.png"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png" /></Relationships>
</file>

<file path=word/_rels/footer1.xml.rels>&#65279;<?xml version="1.0" encoding="utf-8" standalone="yes"?><Relationships xmlns="http://schemas.openxmlformats.org/package/2006/relationships"><Relationship Id="rId1" Type="http://schemas.openxmlformats.org/officeDocument/2006/relationships/image" Target="media/image3.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AMPBFI1\AppData\Roaming\Microsoft\Templates\Sandoz_A4%20Word%20template%20Sand.dotx" TargetMode="External" /></Relationships>
</file>

<file path=word/theme/theme1.xml><?xml version="1.0" encoding="utf-8"?>
<a:theme xmlns:a="http://schemas.openxmlformats.org/drawingml/2006/main" name="Office Theme">
  <a:themeElements>
    <a:clrScheme name="Sandoz colour theme">
      <a:dk1>
        <a:sysClr val="windowText" lastClr="000000"/>
      </a:dk1>
      <a:lt1>
        <a:sysClr val="window" lastClr="FFFFFF"/>
      </a:lt1>
      <a:dk2>
        <a:srgbClr val="001C4A"/>
      </a:dk2>
      <a:lt2>
        <a:srgbClr val="F1ECE9"/>
      </a:lt2>
      <a:accent1>
        <a:srgbClr val="001C4A"/>
      </a:accent1>
      <a:accent2>
        <a:srgbClr val="1C59B5"/>
      </a:accent2>
      <a:accent3>
        <a:srgbClr val="5DA6FF"/>
      </a:accent3>
      <a:accent4>
        <a:srgbClr val="A8D5FF"/>
      </a:accent4>
      <a:accent5>
        <a:srgbClr val="F1ECE9"/>
      </a:accent5>
      <a:accent6>
        <a:srgbClr val="D6C6B6"/>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5957B8BDE4FC649BD8E4723405D0EC5" ma:contentTypeVersion="17" ma:contentTypeDescription="Create a new document." ma:contentTypeScope="" ma:versionID="fb4fdc32bd7c6ca92652986a8f6ebba8">
  <xsd:schema xmlns:xsd="http://www.w3.org/2001/XMLSchema" xmlns:xs="http://www.w3.org/2001/XMLSchema" xmlns:p="http://schemas.microsoft.com/office/2006/metadata/properties" xmlns:ns2="befd83ea-1dae-477e-a132-5257a6ef7e27" xmlns:ns3="9ef4ab11-8bd4-414b-9e1b-07510d700eaf" targetNamespace="http://schemas.microsoft.com/office/2006/metadata/properties" ma:root="true" ma:fieldsID="970cbcaa10c9c8cb4d1ed67f2bffccef" ns2:_="" ns3:_="">
    <xsd:import namespace="befd83ea-1dae-477e-a132-5257a6ef7e27"/>
    <xsd:import namespace="9ef4ab11-8bd4-414b-9e1b-07510d700eaf"/>
    <xsd:element name="properties">
      <xsd:complexType>
        <xsd:sequence>
          <xsd:element name="documentManagement">
            <xsd:complexType>
              <xsd:all>
                <xsd:element ref="ns2:Category" minOccurs="0"/>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_ModernAudienceTargetUserField" minOccurs="0"/>
                <xsd:element ref="ns2:_ModernAudienceAadObjectIds" minOccurs="0"/>
                <xsd:element ref="ns3:PromoContent"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fd83ea-1dae-477e-a132-5257a6ef7e27"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Branding Training"/>
          <xsd:enumeration value="Brand Training Externals"/>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37bc47b-3997-4ccb-824d-08e9c3bde3a4"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_ModernAudienceTargetUserField" ma:index="20"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1" nillable="true" ma:displayName="AudienceIds" ma:list="{5f82b99e-d502-4c50-8b11-bce9c7043082}" ma:internalName="_ModernAudienceAadObjectIds" ma:readOnly="true" ma:showField="_AadObjectIdForUser" ma:web="9ef4ab11-8bd4-414b-9e1b-07510d700ea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ef4ab11-8bd4-414b-9e1b-07510d700ea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47998e8-d976-445e-9363-5c956bd5393c}" ma:internalName="TaxCatchAll" ma:showField="CatchAllData" ma:web="9ef4ab11-8bd4-414b-9e1b-07510d700eaf">
      <xsd:complexType>
        <xsd:complexContent>
          <xsd:extension base="dms:MultiChoiceLookup">
            <xsd:sequence>
              <xsd:element name="Value" type="dms:Lookup" maxOccurs="unbounded" minOccurs="0" nillable="true"/>
            </xsd:sequence>
          </xsd:extension>
        </xsd:complexContent>
      </xsd:complexType>
    </xsd:element>
    <xsd:element name="PromoContent" ma:index="22" nillable="true" ma:displayName="PromoContent" ma:default="0" ma:internalName="PromoContent">
      <xsd:simpleType>
        <xsd:restriction base="dms:Boolean"/>
      </xsd:simple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ef4ab11-8bd4-414b-9e1b-07510d700eaf" xsi:nil="true"/>
    <Category xmlns="befd83ea-1dae-477e-a132-5257a6ef7e27" xsi:nil="true"/>
    <_ModernAudienceTargetUserField xmlns="befd83ea-1dae-477e-a132-5257a6ef7e27">
      <UserInfo>
        <DisplayName/>
        <AccountId xsi:nil="true"/>
        <AccountType/>
      </UserInfo>
    </_ModernAudienceTargetUserField>
    <lcf76f155ced4ddcb4097134ff3c332f xmlns="befd83ea-1dae-477e-a132-5257a6ef7e27">
      <Terms xmlns="http://schemas.microsoft.com/office/infopath/2007/PartnerControls"/>
    </lcf76f155ced4ddcb4097134ff3c332f>
    <PromoContent xmlns="9ef4ab11-8bd4-414b-9e1b-07510d700eaf">false</PromoContent>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C81E7-3616-451A-9F79-6D5930C04EAE}">
  <ds:schemaRefs>
    <ds:schemaRef ds:uri="http://schemas.microsoft.com/sharepoint/v3/contenttype/forms"/>
  </ds:schemaRefs>
</ds:datastoreItem>
</file>

<file path=customXml/itemProps2.xml><?xml version="1.0" encoding="utf-8"?>
<ds:datastoreItem xmlns:ds="http://schemas.openxmlformats.org/officeDocument/2006/customXml" ds:itemID="{5C300154-1DA2-47A6-ADBA-A1AE64C948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fd83ea-1dae-477e-a132-5257a6ef7e27"/>
    <ds:schemaRef ds:uri="9ef4ab11-8bd4-414b-9e1b-07510d700e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1A1EDA-A837-4AA1-82D5-17E5EA2A93D8}">
  <ds:schemaRefs>
    <ds:schemaRef ds:uri="http://schemas.microsoft.com/office/2006/metadata/properties"/>
    <ds:schemaRef ds:uri="http://schemas.microsoft.com/office/infopath/2007/PartnerControls"/>
    <ds:schemaRef ds:uri="9ef4ab11-8bd4-414b-9e1b-07510d700eaf"/>
    <ds:schemaRef ds:uri="befd83ea-1dae-477e-a132-5257a6ef7e27"/>
  </ds:schemaRefs>
</ds:datastoreItem>
</file>

<file path=customXml/itemProps4.xml><?xml version="1.0" encoding="utf-8"?>
<ds:datastoreItem xmlns:ds="http://schemas.openxmlformats.org/officeDocument/2006/customXml" ds:itemID="{027B7562-7B42-4E5F-BD50-C0C4E9146E0E}">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removed="0"/>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CHI0041</dc:title>
  <cp:revision>0</cp:revision>
</cp:coreProperties>
</file>