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A74DC" w:rsidRPr="00C20FE6" w:rsidP="00C20FE6">
      <w:pPr>
        <w:pStyle w:val="Heading1"/>
        <w:spacing w:before="0" w:after="100"/>
        <w:jc w:val="center"/>
        <w:rPr>
          <w:rFonts w:ascii="Calibri" w:hAnsi="Calibri" w:cs="Calibri"/>
          <w:b/>
          <w:bCs/>
          <w:color w:val="auto"/>
          <w:sz w:val="22"/>
          <w:szCs w:val="22"/>
        </w:rPr>
      </w:pPr>
      <w:r w:rsidRPr="00C20FE6">
        <w:rPr>
          <w:rFonts w:ascii="Calibri" w:hAnsi="Calibri" w:cs="Calibri"/>
          <w:b/>
          <w:bCs/>
          <w:color w:val="auto"/>
          <w:sz w:val="22"/>
          <w:szCs w:val="22"/>
        </w:rPr>
        <w:t xml:space="preserve">Written evidence by </w:t>
      </w:r>
      <w:r w:rsidRPr="00C20FE6">
        <w:rPr>
          <w:rFonts w:ascii="Calibri" w:hAnsi="Calibri" w:cs="Calibri"/>
          <w:b/>
          <w:bCs/>
          <w:color w:val="auto"/>
          <w:sz w:val="22"/>
          <w:szCs w:val="22"/>
        </w:rPr>
        <w:t xml:space="preserve">Dr Adebowale </w:t>
      </w:r>
      <w:r w:rsidRPr="00C20FE6">
        <w:rPr>
          <w:rFonts w:ascii="Calibri" w:hAnsi="Calibri" w:cs="Calibri"/>
          <w:b/>
          <w:bCs/>
          <w:color w:val="auto"/>
          <w:sz w:val="22"/>
          <w:szCs w:val="22"/>
        </w:rPr>
        <w:t>Owoseni</w:t>
      </w:r>
      <w:r w:rsidRPr="00C20FE6">
        <w:rPr>
          <w:rFonts w:ascii="Calibri" w:hAnsi="Calibri" w:cs="Calibri"/>
          <w:b/>
          <w:bCs/>
          <w:color w:val="auto"/>
          <w:sz w:val="22"/>
          <w:szCs w:val="22"/>
        </w:rPr>
        <w:t xml:space="preserve"> (</w:t>
      </w:r>
      <w:r w:rsidRPr="00C20FE6">
        <w:rPr>
          <w:rFonts w:ascii="Calibri" w:hAnsi="Calibri" w:cs="Calibri"/>
          <w:b/>
          <w:bCs/>
          <w:color w:val="auto"/>
          <w:sz w:val="22"/>
          <w:szCs w:val="22"/>
        </w:rPr>
        <w:t>AIE0131</w:t>
      </w:r>
      <w:r w:rsidRPr="00C20FE6">
        <w:rPr>
          <w:rFonts w:ascii="Calibri" w:hAnsi="Calibri" w:cs="Calibri"/>
          <w:b/>
          <w:bCs/>
          <w:color w:val="auto"/>
          <w:sz w:val="22"/>
          <w:szCs w:val="22"/>
        </w:rPr>
        <w:t>)</w:t>
      </w:r>
    </w:p>
    <w:p w:rsidR="00C20FE6" w:rsidRPr="00C20FE6" w:rsidP="00C20FE6">
      <w:pPr>
        <w:rPr>
          <w:rFonts w:ascii="Calibri" w:eastAsia="Aptos" w:hAnsi="Calibri" w:cs="Calibri"/>
          <w:b/>
          <w:bCs/>
          <w:lang w:eastAsia="en-US"/>
        </w:rPr>
      </w:pPr>
      <w:r w:rsidRPr="00C20FE6">
        <w:rPr>
          <w:rFonts w:ascii="Calibri" w:eastAsia="Aptos" w:hAnsi="Calibri" w:cs="Calibri"/>
          <w:b/>
          <w:bCs/>
          <w:lang w:eastAsia="en-US"/>
        </w:rPr>
        <w:t>Education Committee</w:t>
      </w:r>
    </w:p>
    <w:p w:rsidR="00C20FE6" w:rsidRPr="00C20FE6" w:rsidP="00C20FE6">
      <w:pPr>
        <w:rPr>
          <w:rFonts w:ascii="Calibri" w:eastAsia="Aptos" w:hAnsi="Calibri" w:cs="Calibri"/>
          <w:lang w:eastAsia="en-US"/>
        </w:rPr>
      </w:pPr>
      <w:r w:rsidRPr="00C20FE6">
        <w:rPr>
          <w:rFonts w:ascii="Calibri" w:eastAsia="Aptos" w:hAnsi="Calibri" w:cs="Calibri"/>
          <w:b/>
          <w:bCs/>
          <w:lang w:eastAsia="en-US"/>
        </w:rPr>
        <w:t>The</w:t>
      </w:r>
      <w:r w:rsidRPr="00C20FE6">
        <w:rPr>
          <w:rFonts w:ascii="Calibri" w:eastAsia="Aptos" w:hAnsi="Calibri" w:cs="Calibri"/>
          <w:lang w:eastAsia="en-US"/>
        </w:rPr>
        <w:t xml:space="preserve"> </w:t>
      </w:r>
      <w:r w:rsidRPr="00C20FE6">
        <w:rPr>
          <w:rFonts w:ascii="Calibri" w:eastAsia="Aptos" w:hAnsi="Calibri" w:cs="Calibri"/>
          <w:b/>
          <w:bCs/>
          <w:lang w:eastAsia="en-US"/>
        </w:rPr>
        <w:t>use of Artificial Intelligence and EdTech in Education inquiry</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SUMMARY</w:t>
      </w:r>
    </w:p>
    <w:p w:rsidR="009A74DC" w:rsidRPr="00C20FE6" w:rsidP="0045066A">
      <w:pPr>
        <w:spacing w:after="160"/>
        <w:rPr>
          <w:rFonts w:ascii="Calibri" w:hAnsi="Calibri" w:cs="Calibri"/>
        </w:rPr>
      </w:pPr>
      <w:r w:rsidRPr="00C20FE6">
        <w:rPr>
          <w:rFonts w:ascii="Calibri" w:hAnsi="Calibri" w:cs="Calibri"/>
        </w:rPr>
        <w:t>This submission draws on primary empirical research conducted with taught postgraduate students and their supervisors at De Montfort University and Sheffield Hallam University; consultancy experience supporting a UK not-for-profit organisation that delivered technology-enabled distance learning to more than 2,500 participants across 50+ countries; and a body of published scholarship including two Springer Macmillan monographs on generative AI in higher education. The submission addresses three interconnecte</w:t>
      </w:r>
      <w:r w:rsidRPr="00C20FE6">
        <w:rPr>
          <w:rFonts w:ascii="Calibri" w:hAnsi="Calibri" w:cs="Calibri"/>
        </w:rPr>
        <w:t>d themes: (1) the conditions under which AI can genuinely support rather than undermine student learning, particularly at postgraduate level; (2) the significant inconsistency in how faculty and institutions respond to AI, and the equity concerns this generates; and (3) the gaps in the Government’s regulatory and policy framework as institutions begin to experiment with AI-led delivery models. The submission focuses on higher education and explicitly acknowledges that it does not address early years or scho</w:t>
      </w:r>
      <w:r w:rsidRPr="00C20FE6">
        <w:rPr>
          <w:rFonts w:ascii="Calibri" w:hAnsi="Calibri" w:cs="Calibri"/>
        </w:rPr>
        <w:t>ol settings, where the submitter has no direct research evidence.</w:t>
      </w:r>
      <w:r w:rsidRPr="00C20FE6">
        <w:rPr>
          <w:rFonts w:ascii="Calibri" w:hAnsi="Calibri" w:cs="Calibri"/>
        </w:rPr>
        <w:t xml:space="preserve"> The submission made </w:t>
      </w:r>
      <w:r w:rsidRPr="00C20FE6">
        <w:rPr>
          <w:rFonts w:ascii="Calibri" w:hAnsi="Calibri" w:cs="Calibri"/>
        </w:rPr>
        <w:t xml:space="preserve">five </w:t>
      </w:r>
      <w:r w:rsidRPr="00C20FE6">
        <w:rPr>
          <w:rFonts w:ascii="Calibri" w:hAnsi="Calibri" w:cs="Calibri"/>
        </w:rPr>
        <w:t>recommendations.</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ABOUT THE SUBMITTER</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w:t>
      </w:r>
      <w:r w:rsidRPr="00C20FE6">
        <w:rPr>
          <w:rFonts w:ascii="Calibri" w:hAnsi="Calibri" w:cs="Calibri"/>
        </w:rPr>
        <w:tab/>
        <w:t xml:space="preserve">Dr Adebowale Owoseni is an interdisciplinary scholar and practitioner specialising in AI innovation, digital transformation, and social inclusion. He has over 60 peer-reviewed publications, including two Springer Macmillan monographs: </w:t>
      </w:r>
      <w:r w:rsidRPr="00C20FE6">
        <w:rPr>
          <w:rFonts w:ascii="Calibri" w:hAnsi="Calibri" w:cs="Calibri"/>
          <w:i/>
          <w:iCs/>
        </w:rPr>
        <w:t>Generative AI in Higher Education</w:t>
      </w:r>
      <w:r w:rsidRPr="00C20FE6">
        <w:rPr>
          <w:rFonts w:ascii="Calibri" w:hAnsi="Calibri" w:cs="Calibri"/>
        </w:rPr>
        <w:t xml:space="preserve"> (2024) and </w:t>
      </w:r>
      <w:r w:rsidRPr="00C20FE6">
        <w:rPr>
          <w:rFonts w:ascii="Calibri" w:hAnsi="Calibri" w:cs="Calibri"/>
          <w:i/>
          <w:iCs/>
        </w:rPr>
        <w:t>Generative AI in Research Practice</w:t>
      </w:r>
      <w:r w:rsidRPr="00C20FE6">
        <w:rPr>
          <w:rFonts w:ascii="Calibri" w:hAnsi="Calibri" w:cs="Calibri"/>
        </w:rPr>
        <w:t xml:space="preserve"> (2026).</w:t>
      </w:r>
      <w:r>
        <w:rPr>
          <w:rStyle w:val="FootnoteReference"/>
          <w:rFonts w:ascii="Calibri" w:hAnsi="Calibri" w:cs="Calibri"/>
        </w:rPr>
        <w:footnoteReference w:id="2"/>
      </w:r>
      <w:r w:rsidRPr="00C20FE6">
        <w:rPr>
          <w:rFonts w:ascii="Calibri" w:hAnsi="Calibri" w:cs="Calibri"/>
        </w:rPr>
        <w:t xml:space="preserve"> His paper “Employment 5.0 </w:t>
      </w:r>
      <w:r w:rsidRPr="00C20FE6">
        <w:rPr>
          <w:rFonts w:ascii="Calibri" w:hAnsi="Calibri" w:cs="Calibri"/>
        </w:rPr>
        <w:t>:</w:t>
      </w:r>
      <w:r w:rsidRPr="00C20FE6">
        <w:rPr>
          <w:rFonts w:ascii="Calibri" w:hAnsi="Calibri" w:cs="Calibri"/>
        </w:rPr>
        <w:t xml:space="preserve"> The work of the future and future of work” (</w:t>
      </w:r>
      <w:r w:rsidRPr="00C20FE6">
        <w:rPr>
          <w:rFonts w:ascii="Calibri" w:hAnsi="Calibri" w:cs="Calibri"/>
          <w:i/>
          <w:iCs/>
        </w:rPr>
        <w:t>Technology in Society</w:t>
      </w:r>
      <w:r w:rsidRPr="00C20FE6">
        <w:rPr>
          <w:rFonts w:ascii="Calibri" w:hAnsi="Calibri" w:cs="Calibri"/>
        </w:rPr>
        <w:t>, 2022) has received more than 400 citations and has been referenced in Finnish national employment policy.</w:t>
      </w:r>
      <w:r>
        <w:rPr>
          <w:rStyle w:val="FootnoteReference"/>
          <w:rFonts w:ascii="Calibri" w:hAnsi="Calibri" w:cs="Calibri"/>
        </w:rPr>
        <w:footnoteReference w:id="3"/>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2.</w:t>
      </w:r>
      <w:r w:rsidRPr="00C20FE6">
        <w:rPr>
          <w:rFonts w:ascii="Calibri" w:hAnsi="Calibri" w:cs="Calibri"/>
        </w:rPr>
        <w:tab/>
        <w:t>Over the past two years, he has led a cross-university research team of ten researchers across seven UK institutions investigating AI in higher education. He has also served as researcher and consultant to a UK not-for-profit organisation delivering an AI-supported distance learning programme with over 2,500 learners in more than 50 countries.</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3.</w:t>
      </w:r>
      <w:r w:rsidRPr="00C20FE6">
        <w:rPr>
          <w:rFonts w:ascii="Calibri" w:hAnsi="Calibri" w:cs="Calibri"/>
        </w:rPr>
        <w:tab/>
      </w:r>
      <w:r w:rsidRPr="00C20FE6">
        <w:rPr>
          <w:rFonts w:ascii="Calibri" w:hAnsi="Calibri" w:cs="Calibri"/>
        </w:rPr>
        <w:t>The evidence presented in this submission draws primarily on unpublished empirical research and on inferences from the monographs cited above. Where external sources are referenced, these are cited in footnotes. The submitter is offering this evidence because the research and practice described above</w:t>
      </w:r>
      <w:r w:rsidRPr="00C20FE6">
        <w:rPr>
          <w:rFonts w:ascii="Calibri" w:hAnsi="Calibri" w:cs="Calibri"/>
        </w:rPr>
        <w:t>,</w:t>
      </w:r>
      <w:r w:rsidRPr="00C20FE6">
        <w:rPr>
          <w:rFonts w:ascii="Calibri" w:hAnsi="Calibri" w:cs="Calibri"/>
        </w:rPr>
        <w:t xml:space="preserve"> spanning taught postgraduate learning at two UK universities, AI-supported distance education delivered to over 2,500 learners globally, and a sustained programme of published scholarship provides direct, multi-context insight into questions the Committee has identified as priorities. Taken together, these experiences reveal significant regulatory and pedagogical gaps that warrant parliamentary attention. This submission is made in a personal academic capacity and does not represent the official position o</w:t>
      </w:r>
      <w:r w:rsidRPr="00C20FE6">
        <w:rPr>
          <w:rFonts w:ascii="Calibri" w:hAnsi="Calibri" w:cs="Calibri"/>
        </w:rPr>
        <w:t xml:space="preserve">f De Montfort University or any other institution with which the submitter is </w:t>
      </w:r>
      <w:r w:rsidRPr="00C20FE6">
        <w:rPr>
          <w:rFonts w:ascii="Calibri" w:hAnsi="Calibri" w:cs="Calibri"/>
        </w:rPr>
        <w:t>affiliated.</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 xml:space="preserve">SECTION 1: THE IMPACT OF AI ON LEARNING </w:t>
      </w:r>
      <w:r w:rsidRPr="00C20FE6">
        <w:rPr>
          <w:rFonts w:ascii="Calibri" w:hAnsi="Calibri" w:cs="Calibri"/>
          <w:color w:val="auto"/>
          <w:sz w:val="22"/>
          <w:szCs w:val="22"/>
        </w:rPr>
        <w:t xml:space="preserve">- </w:t>
      </w:r>
      <w:r w:rsidRPr="00C20FE6">
        <w:rPr>
          <w:rFonts w:ascii="Calibri" w:hAnsi="Calibri" w:cs="Calibri"/>
          <w:color w:val="auto"/>
          <w:sz w:val="22"/>
          <w:szCs w:val="22"/>
        </w:rPr>
        <w:t>EVIDENCE FROM TAUGHT POSTGRADUATE STUDENTS</w:t>
      </w:r>
    </w:p>
    <w:p w:rsidR="009A74DC" w:rsidRPr="00C20FE6" w:rsidP="0045066A">
      <w:pPr>
        <w:spacing w:before="240" w:after="100"/>
        <w:rPr>
          <w:rFonts w:ascii="Calibri" w:hAnsi="Calibri" w:cs="Calibri"/>
        </w:rPr>
      </w:pPr>
      <w:r w:rsidRPr="00C20FE6">
        <w:rPr>
          <w:rFonts w:ascii="Calibri" w:hAnsi="Calibri" w:cs="Calibri"/>
          <w:b/>
          <w:bCs/>
          <w:i/>
          <w:iCs/>
        </w:rPr>
        <w:t>Scale and context</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4.</w:t>
      </w:r>
      <w:r w:rsidRPr="00C20FE6">
        <w:rPr>
          <w:rFonts w:ascii="Calibri" w:hAnsi="Calibri" w:cs="Calibri"/>
        </w:rPr>
        <w:tab/>
        <w:t>According to HESA data published in January 2026, there are approximately 675,375 postgraduate taught (PGT) master’s students enrolled at UK universities.</w:t>
      </w:r>
      <w:r>
        <w:rPr>
          <w:rStyle w:val="FootnoteReference"/>
          <w:rFonts w:ascii="Calibri" w:hAnsi="Calibri" w:cs="Calibri"/>
        </w:rPr>
        <w:footnoteReference w:id="4"/>
      </w:r>
      <w:r w:rsidRPr="00C20FE6">
        <w:rPr>
          <w:rFonts w:ascii="Calibri" w:hAnsi="Calibri" w:cs="Calibri"/>
        </w:rPr>
        <w:t xml:space="preserve"> Each is typically required to complete an independent research project or dissertation. This cohort represents one of the most significant and least examined pressure points for the responsible integration of AI in UK higher education. The Committee’s inquiry into how AI influences learners’ cognitive abilities and essential skills is directly applicable to this population.</w:t>
      </w:r>
    </w:p>
    <w:p w:rsidR="009A74DC" w:rsidRPr="00C20FE6" w:rsidP="0045066A">
      <w:pPr>
        <w:spacing w:before="240" w:after="100"/>
        <w:rPr>
          <w:rFonts w:ascii="Calibri" w:hAnsi="Calibri" w:cs="Calibri"/>
        </w:rPr>
      </w:pPr>
      <w:r w:rsidRPr="00C20FE6">
        <w:rPr>
          <w:rFonts w:ascii="Calibri" w:hAnsi="Calibri" w:cs="Calibri"/>
          <w:b/>
          <w:bCs/>
          <w:i/>
          <w:iCs/>
        </w:rPr>
        <w:t>Research findings: De Montfort University and Sheffield Hallam University</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5.</w:t>
      </w:r>
      <w:r w:rsidRPr="00C20FE6">
        <w:rPr>
          <w:rFonts w:ascii="Calibri" w:hAnsi="Calibri" w:cs="Calibri"/>
        </w:rPr>
        <w:tab/>
        <w:t>Between 2024 and 2025, the submitter’s research team conducted an empirical study at De Montfort University and Sheffield Hallam University involving two cohorts totalling more than 100 taught master’s students and over 20 supervisors. Data were collected over four months through focus group sessions, two survey waves, and four workshops on research methodology and generative AI use. Analysis employed content analysis and thematic synthesis.</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6.</w:t>
      </w:r>
      <w:r w:rsidRPr="00C20FE6">
        <w:rPr>
          <w:rFonts w:ascii="Calibri" w:hAnsi="Calibri" w:cs="Calibri"/>
        </w:rPr>
        <w:tab/>
        <w:t xml:space="preserve">Finding </w:t>
      </w:r>
      <w:r w:rsidRPr="00C20FE6">
        <w:rPr>
          <w:rFonts w:ascii="Calibri" w:hAnsi="Calibri" w:cs="Calibri"/>
        </w:rPr>
        <w:t xml:space="preserve">1 </w:t>
      </w:r>
      <w:r w:rsidRPr="00C20FE6">
        <w:rPr>
          <w:rFonts w:ascii="Calibri" w:hAnsi="Calibri" w:cs="Calibri"/>
        </w:rPr>
        <w:t>:</w:t>
      </w:r>
      <w:r w:rsidRPr="00C20FE6">
        <w:rPr>
          <w:rFonts w:ascii="Calibri" w:hAnsi="Calibri" w:cs="Calibri"/>
        </w:rPr>
        <w:t xml:space="preserve"> Foundational knowledge as a prerequisite for responsible AI use. Students with a weak grounding in research methodology were significantly more likely to use generative AI irresponsibly: accepting AI-generated literature reviews uncritically, substituting AI outputs for original analysis, or failing to interrogate the plausibility of AI-generated claims. This finding is consistent with the broader literature on AI-assisted learning, which suggests that there is a threshold of foundational disci</w:t>
      </w:r>
      <w:r w:rsidRPr="00C20FE6">
        <w:rPr>
          <w:rFonts w:ascii="Calibri" w:hAnsi="Calibri" w:cs="Calibri"/>
        </w:rPr>
        <w:t>plinary knowledge below which AI functions as a cognitive shortcut rather than a cognitive tool.</w:t>
      </w:r>
      <w:r>
        <w:rPr>
          <w:rStyle w:val="FootnoteReference"/>
          <w:rFonts w:ascii="Calibri" w:hAnsi="Calibri" w:cs="Calibri"/>
        </w:rPr>
        <w:footnoteReference w:id="5"/>
      </w:r>
      <w:r w:rsidRPr="00C20FE6">
        <w:rPr>
          <w:rFonts w:ascii="Calibri" w:hAnsi="Calibri" w:cs="Calibri"/>
        </w:rPr>
        <w:t xml:space="preserve"> Where foundational knowledge was secure, AI demonstrably supported ideation, literature synthesis, and writing quality without impairing critical reasoning. The policy implication is clear: </w:t>
      </w:r>
      <w:r w:rsidRPr="00C20FE6">
        <w:rPr>
          <w:rFonts w:ascii="Calibri" w:hAnsi="Calibri" w:cs="Calibri"/>
          <w:b/>
          <w:bCs/>
          <w:i/>
          <w:iCs/>
        </w:rPr>
        <w:t>AI should be introduced into student learning after, not instead of, the acquisition of foundational disciplinary knowledge.</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7.</w:t>
      </w:r>
      <w:r w:rsidRPr="00C20FE6">
        <w:rPr>
          <w:rFonts w:ascii="Calibri" w:hAnsi="Calibri" w:cs="Calibri"/>
        </w:rPr>
        <w:tab/>
        <w:t xml:space="preserve">Finding </w:t>
      </w:r>
      <w:r w:rsidRPr="00C20FE6">
        <w:rPr>
          <w:rFonts w:ascii="Calibri" w:hAnsi="Calibri" w:cs="Calibri"/>
        </w:rPr>
        <w:t xml:space="preserve">2 </w:t>
      </w:r>
      <w:r w:rsidRPr="00C20FE6">
        <w:rPr>
          <w:rFonts w:ascii="Calibri" w:hAnsi="Calibri" w:cs="Calibri"/>
        </w:rPr>
        <w:t>:</w:t>
      </w:r>
      <w:r w:rsidRPr="00C20FE6">
        <w:rPr>
          <w:rFonts w:ascii="Calibri" w:hAnsi="Calibri" w:cs="Calibri"/>
        </w:rPr>
        <w:t xml:space="preserve"> Inconsistent institutional guidance. Participants reported that institutional guidance on AI use varied substantially</w:t>
      </w:r>
      <w:r w:rsidRPr="00C20FE6">
        <w:rPr>
          <w:rFonts w:ascii="Calibri" w:hAnsi="Calibri" w:cs="Calibri"/>
        </w:rPr>
        <w:t>,</w:t>
      </w:r>
      <w:r w:rsidRPr="00C20FE6">
        <w:rPr>
          <w:rFonts w:ascii="Calibri" w:hAnsi="Calibri" w:cs="Calibri"/>
        </w:rPr>
        <w:t xml:space="preserve"> both between universities and within them</w:t>
      </w:r>
      <w:r w:rsidRPr="00C20FE6">
        <w:rPr>
          <w:rFonts w:ascii="Calibri" w:hAnsi="Calibri" w:cs="Calibri"/>
        </w:rPr>
        <w:t>,</w:t>
      </w:r>
      <w:r w:rsidRPr="00C20FE6">
        <w:rPr>
          <w:rFonts w:ascii="Calibri" w:hAnsi="Calibri" w:cs="Calibri"/>
        </w:rPr>
        <w:t xml:space="preserve"> and became obsolete within weeks as AI capabilities evolved. This inconsistency is an equity concern: students at some institutions received clear and current frameworks while others received none or received guidance that no longer reflected available tools. A sectoral approach to guidance, regularly updated in a structured and responsive manner, is preferable to leaving policy entirely to individual institutions.</w:t>
      </w:r>
    </w:p>
    <w:p w:rsidR="009A74DC" w:rsidRPr="00C20FE6" w:rsidP="0045066A">
      <w:pPr>
        <w:tabs>
          <w:tab w:val="left" w:pos="720"/>
        </w:tabs>
        <w:spacing w:after="160"/>
        <w:ind w:left="720" w:hanging="360"/>
        <w:rPr>
          <w:rFonts w:ascii="Calibri" w:hAnsi="Calibri" w:cs="Calibri"/>
          <w:i/>
          <w:iCs/>
        </w:rPr>
      </w:pPr>
      <w:r w:rsidRPr="00C20FE6">
        <w:rPr>
          <w:rFonts w:ascii="Calibri" w:hAnsi="Calibri" w:cs="Calibri"/>
        </w:rPr>
        <w:t>8.</w:t>
      </w:r>
      <w:r w:rsidRPr="00C20FE6">
        <w:rPr>
          <w:rFonts w:ascii="Calibri" w:hAnsi="Calibri" w:cs="Calibri"/>
        </w:rPr>
        <w:tab/>
      </w:r>
      <w:r w:rsidRPr="00C20FE6">
        <w:rPr>
          <w:rFonts w:ascii="Calibri" w:hAnsi="Calibri" w:cs="Calibri"/>
        </w:rPr>
        <w:t xml:space="preserve">Implication for the Committee’s inquiry. The evidence supports the view that AI, when introduced before adequate disciplinary foundations are established, can impair the development of critical thinking, problem-solving, and analytical writing. Conversely, when foundations are secure, AI tools can meaningfully support learning. The critical policy question is therefore not whether AI should be permitted in education, but </w:t>
      </w:r>
      <w:r w:rsidRPr="00C20FE6">
        <w:rPr>
          <w:rFonts w:ascii="Calibri" w:hAnsi="Calibri" w:cs="Calibri"/>
          <w:b/>
          <w:bCs/>
          <w:i/>
          <w:iCs/>
        </w:rPr>
        <w:t>when and under what conditions it is pedagogically appropriate to introduce it.</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 xml:space="preserve">SECTION 2: THE IMPACT ON TEACHING </w:t>
      </w:r>
      <w:r w:rsidRPr="00C20FE6">
        <w:rPr>
          <w:rFonts w:ascii="Calibri" w:hAnsi="Calibri" w:cs="Calibri"/>
          <w:color w:val="auto"/>
          <w:sz w:val="22"/>
          <w:szCs w:val="22"/>
        </w:rPr>
        <w:t xml:space="preserve">- </w:t>
      </w:r>
      <w:r w:rsidRPr="00C20FE6">
        <w:rPr>
          <w:rFonts w:ascii="Calibri" w:hAnsi="Calibri" w:cs="Calibri"/>
          <w:color w:val="auto"/>
          <w:sz w:val="22"/>
          <w:szCs w:val="22"/>
        </w:rPr>
        <w:t>FACULTY POSTURES, WORKLOAD AND PROFESSIONAL DEVELOPMENT</w:t>
      </w:r>
    </w:p>
    <w:p w:rsidR="009A74DC" w:rsidRPr="00C20FE6" w:rsidP="0045066A">
      <w:pPr>
        <w:spacing w:before="240" w:after="100"/>
        <w:rPr>
          <w:rFonts w:ascii="Calibri" w:hAnsi="Calibri" w:cs="Calibri"/>
        </w:rPr>
      </w:pPr>
      <w:r w:rsidRPr="00C20FE6">
        <w:rPr>
          <w:rFonts w:ascii="Calibri" w:hAnsi="Calibri" w:cs="Calibri"/>
          <w:b/>
          <w:bCs/>
          <w:i/>
          <w:iCs/>
        </w:rPr>
        <w:t>Variation in faculty postures and its equity implications</w:t>
      </w:r>
    </w:p>
    <w:p w:rsidR="009A74DC" w:rsidRPr="00C20FE6" w:rsidP="0045066A">
      <w:pPr>
        <w:tabs>
          <w:tab w:val="left" w:pos="720"/>
        </w:tabs>
        <w:spacing w:after="160"/>
        <w:ind w:left="720" w:hanging="360"/>
        <w:rPr>
          <w:rFonts w:ascii="Calibri" w:hAnsi="Calibri" w:cs="Calibri"/>
          <w:b/>
          <w:bCs/>
          <w:i/>
          <w:iCs/>
        </w:rPr>
      </w:pPr>
      <w:r w:rsidRPr="00C20FE6">
        <w:rPr>
          <w:rFonts w:ascii="Calibri" w:hAnsi="Calibri" w:cs="Calibri"/>
        </w:rPr>
        <w:t>9.</w:t>
      </w:r>
      <w:r w:rsidRPr="00C20FE6">
        <w:rPr>
          <w:rFonts w:ascii="Calibri" w:hAnsi="Calibri" w:cs="Calibri"/>
        </w:rPr>
        <w:tab/>
        <w:t xml:space="preserve">The research revealed that individual faculty members hold markedly </w:t>
      </w:r>
      <w:r w:rsidRPr="00C20FE6">
        <w:rPr>
          <w:rFonts w:ascii="Calibri" w:hAnsi="Calibri" w:cs="Calibri"/>
        </w:rPr>
        <w:t>different  and</w:t>
      </w:r>
      <w:r w:rsidRPr="00C20FE6">
        <w:rPr>
          <w:rFonts w:ascii="Calibri" w:hAnsi="Calibri" w:cs="Calibri"/>
        </w:rPr>
        <w:t xml:space="preserve"> often unarticulated positions on AI use in student work. This heterogeneity directly affects students: participants reported observing their supervisor’s or lecturer’s stance on AI before deciding how or whether to use these tools themselves. Where a faculty member was sceptical or prohibitive, students concealed their AI use; where a faculty member was permissive, students were more likely to use AI openly and, in some case</w:t>
      </w:r>
      <w:r w:rsidRPr="00C20FE6">
        <w:rPr>
          <w:rFonts w:ascii="Calibri" w:hAnsi="Calibri" w:cs="Calibri"/>
        </w:rPr>
        <w:t xml:space="preserve">s, excessively. This is a systemic equity concern: </w:t>
      </w:r>
      <w:r w:rsidRPr="00C20FE6">
        <w:rPr>
          <w:rFonts w:ascii="Calibri" w:hAnsi="Calibri" w:cs="Calibri"/>
          <w:b/>
          <w:bCs/>
          <w:i/>
          <w:iCs/>
        </w:rPr>
        <w:t>the quality and character of a student’s AI experience is partly determined by which member of staff they are assigned, rather than by any coherent institutional or sectoral framework.</w:t>
      </w:r>
    </w:p>
    <w:p w:rsidR="009A74DC" w:rsidRPr="00C20FE6" w:rsidP="0045066A">
      <w:pPr>
        <w:spacing w:before="240" w:after="100"/>
        <w:rPr>
          <w:rFonts w:ascii="Calibri" w:hAnsi="Calibri" w:cs="Calibri"/>
        </w:rPr>
      </w:pPr>
      <w:r w:rsidRPr="00C20FE6">
        <w:rPr>
          <w:rFonts w:ascii="Calibri" w:hAnsi="Calibri" w:cs="Calibri"/>
          <w:b/>
          <w:bCs/>
          <w:i/>
          <w:iCs/>
        </w:rPr>
        <w:t>Workload implications</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10.</w:t>
      </w:r>
      <w:r w:rsidRPr="00C20FE6">
        <w:rPr>
          <w:rFonts w:ascii="Calibri" w:hAnsi="Calibri" w:cs="Calibri"/>
        </w:rPr>
        <w:tab/>
        <w:t>Faculty participants expressed significant concern that AI integration has increased rather than reduced their supervisory workload. Evaluating AI-assisted dissertation drafts requires a different and more demanding skill set: identifying the boundaries of a student’s own intellectual contribution, assessing the integrity of the research process, and distinguishing original synthesis from automated generation. These demands compound existing pressures. The evidence suggests that faculty require dedicated t</w:t>
      </w:r>
      <w:r w:rsidRPr="00C20FE6">
        <w:rPr>
          <w:rFonts w:ascii="Calibri" w:hAnsi="Calibri" w:cs="Calibri"/>
        </w:rPr>
        <w:t>raining and institutional support</w:t>
      </w:r>
      <w:r w:rsidRPr="00C20FE6">
        <w:rPr>
          <w:rFonts w:ascii="Calibri" w:hAnsi="Calibri" w:cs="Calibri"/>
        </w:rPr>
        <w:t>,</w:t>
      </w:r>
      <w:r w:rsidRPr="00C20FE6">
        <w:rPr>
          <w:rFonts w:ascii="Calibri" w:hAnsi="Calibri" w:cs="Calibri"/>
        </w:rPr>
        <w:t xml:space="preserve"> not simply additional responsibilities imposed without resource or guidance.</w:t>
      </w:r>
    </w:p>
    <w:p w:rsidR="009A74DC" w:rsidRPr="00C20FE6" w:rsidP="0045066A">
      <w:pPr>
        <w:spacing w:before="240" w:after="100"/>
        <w:rPr>
          <w:rFonts w:ascii="Calibri" w:hAnsi="Calibri" w:cs="Calibri"/>
        </w:rPr>
      </w:pPr>
      <w:r w:rsidRPr="00C20FE6">
        <w:rPr>
          <w:rFonts w:ascii="Calibri" w:hAnsi="Calibri" w:cs="Calibri"/>
          <w:b/>
          <w:bCs/>
          <w:i/>
          <w:iCs/>
        </w:rPr>
        <w:t>Professional development gap</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11.</w:t>
      </w:r>
      <w:r w:rsidRPr="00C20FE6">
        <w:rPr>
          <w:rFonts w:ascii="Calibri" w:hAnsi="Calibri" w:cs="Calibri"/>
        </w:rPr>
        <w:tab/>
        <w:t>There is currently no systematic or mandatory framework for AI-related professional development (CPD) in UK higher education. The Department for Education’s Generative Artificial Intelligence in Education guidance (202</w:t>
      </w:r>
      <w:r w:rsidRPr="00C20FE6">
        <w:rPr>
          <w:rFonts w:ascii="Calibri" w:hAnsi="Calibri" w:cs="Calibri"/>
        </w:rPr>
        <w:t>5</w:t>
      </w:r>
      <w:r w:rsidRPr="00C20FE6">
        <w:rPr>
          <w:rFonts w:ascii="Calibri" w:hAnsi="Calibri" w:cs="Calibri"/>
        </w:rPr>
        <w:t>) establishes useful principles but does not mandate CPD provision.</w:t>
      </w:r>
      <w:r>
        <w:rPr>
          <w:rStyle w:val="FootnoteReference"/>
          <w:rFonts w:ascii="Calibri" w:hAnsi="Calibri" w:cs="Calibri"/>
        </w:rPr>
        <w:footnoteReference w:id="6"/>
      </w:r>
      <w:r w:rsidRPr="00C20FE6">
        <w:rPr>
          <w:rFonts w:ascii="Calibri" w:hAnsi="Calibri" w:cs="Calibri"/>
        </w:rPr>
        <w:t xml:space="preserve"> The QAA has produced sector guidance on AI and assessment, but uptake across institutions has been uneven.</w:t>
      </w:r>
      <w:r>
        <w:rPr>
          <w:rStyle w:val="FootnoteReference"/>
          <w:rFonts w:ascii="Calibri" w:hAnsi="Calibri" w:cs="Calibri"/>
        </w:rPr>
        <w:footnoteReference w:id="7"/>
      </w:r>
      <w:r w:rsidRPr="00C20FE6">
        <w:rPr>
          <w:rFonts w:ascii="Calibri" w:hAnsi="Calibri" w:cs="Calibri"/>
        </w:rPr>
        <w:t xml:space="preserve"> The Office for Students has noted emerging practice but has not yet moved to formal regulatory intervention.</w:t>
      </w:r>
      <w:r>
        <w:rPr>
          <w:rStyle w:val="FootnoteReference"/>
          <w:rFonts w:ascii="Calibri" w:hAnsi="Calibri" w:cs="Calibri"/>
        </w:rPr>
        <w:footnoteReference w:id="8"/>
      </w:r>
      <w:r w:rsidRPr="00C20FE6">
        <w:rPr>
          <w:rFonts w:ascii="Calibri" w:hAnsi="Calibri" w:cs="Calibri"/>
        </w:rPr>
        <w:t xml:space="preserve"> A structured national CPD offer for higher education teaching staff</w:t>
      </w:r>
      <w:r w:rsidRPr="00C20FE6">
        <w:rPr>
          <w:rFonts w:ascii="Calibri" w:hAnsi="Calibri" w:cs="Calibri"/>
        </w:rPr>
        <w:t>,</w:t>
      </w:r>
      <w:r w:rsidRPr="00C20FE6">
        <w:rPr>
          <w:rFonts w:ascii="Calibri" w:hAnsi="Calibri" w:cs="Calibri"/>
        </w:rPr>
        <w:t xml:space="preserve"> comparable to what is provided in school-based initial teacher training appears conspicuously absent.</w:t>
      </w:r>
    </w:p>
    <w:p w:rsidR="009A74DC" w:rsidRPr="00C20FE6" w:rsidP="0045066A">
      <w:pPr>
        <w:spacing w:before="240" w:after="100"/>
        <w:rPr>
          <w:rFonts w:ascii="Calibri" w:hAnsi="Calibri" w:cs="Calibri"/>
        </w:rPr>
      </w:pPr>
      <w:r w:rsidRPr="00C20FE6">
        <w:rPr>
          <w:rFonts w:ascii="Calibri" w:hAnsi="Calibri" w:cs="Calibri"/>
          <w:b/>
          <w:bCs/>
          <w:i/>
          <w:iCs/>
        </w:rPr>
        <w:t>Assessment integrity</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12.</w:t>
      </w:r>
      <w:r w:rsidRPr="00C20FE6">
        <w:rPr>
          <w:rFonts w:ascii="Calibri" w:hAnsi="Calibri" w:cs="Calibri"/>
        </w:rPr>
        <w:tab/>
        <w:t xml:space="preserve">The reliability and validity of dissertation assessment </w:t>
      </w:r>
      <w:r w:rsidRPr="00C20FE6">
        <w:rPr>
          <w:rFonts w:ascii="Calibri" w:hAnsi="Calibri" w:cs="Calibri"/>
        </w:rPr>
        <w:t>has</w:t>
      </w:r>
      <w:r w:rsidRPr="00C20FE6">
        <w:rPr>
          <w:rFonts w:ascii="Calibri" w:hAnsi="Calibri" w:cs="Calibri"/>
        </w:rPr>
        <w:t xml:space="preserve"> been materially affected by the availability of generative AI tools. Existing assessment frameworks were designed for a different technological environment. Rather than reactive policing through AI-detection software</w:t>
      </w:r>
      <w:r w:rsidRPr="00C20FE6">
        <w:rPr>
          <w:rFonts w:ascii="Calibri" w:hAnsi="Calibri" w:cs="Calibri"/>
        </w:rPr>
        <w:t>,</w:t>
      </w:r>
      <w:r w:rsidRPr="00C20FE6">
        <w:rPr>
          <w:rFonts w:ascii="Calibri" w:hAnsi="Calibri" w:cs="Calibri"/>
        </w:rPr>
        <w:t xml:space="preserve"> which is unreliable, contestable, and raises its own equity concerns</w:t>
      </w:r>
      <w:r w:rsidRPr="00C20FE6">
        <w:rPr>
          <w:rFonts w:ascii="Calibri" w:hAnsi="Calibri" w:cs="Calibri"/>
        </w:rPr>
        <w:t>,</w:t>
      </w:r>
      <w:r w:rsidRPr="00C20FE6">
        <w:rPr>
          <w:rFonts w:ascii="Calibri" w:hAnsi="Calibri" w:cs="Calibri"/>
        </w:rPr>
        <w:t xml:space="preserve"> institutions should be supported to develop process-oriented assessment approaches that foreground the development of skills over the production of artefacts. This</w:t>
      </w:r>
      <w:r w:rsidRPr="00C20FE6">
        <w:rPr>
          <w:rFonts w:ascii="Calibri" w:hAnsi="Calibri" w:cs="Calibri"/>
        </w:rPr>
        <w:t xml:space="preserve"> shift requires coordination and investment at sector level, not institution by institution.</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SECTION 3: GOVERNMENT FRAMEWORK AND REGULATION</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13.</w:t>
      </w:r>
      <w:r w:rsidRPr="00C20FE6">
        <w:rPr>
          <w:rFonts w:ascii="Calibri" w:hAnsi="Calibri" w:cs="Calibri"/>
        </w:rPr>
        <w:tab/>
        <w:t xml:space="preserve">Assessment of the current framework. The evidence gathered in this research indicates that the regulatory and guidance landscape in England is currently inadequate for the pace and </w:t>
      </w:r>
      <w:r w:rsidRPr="00C20FE6">
        <w:rPr>
          <w:rFonts w:ascii="Calibri" w:hAnsi="Calibri" w:cs="Calibri"/>
        </w:rPr>
        <w:t>scale of AI adoption in higher education. Guidance from the Department for Education, the OfS, and the QAA is fragmented, inconsistently implemented, and not meaningfully coordinated across these bodies. Crucially, the evidence suggests that the individuals and committees responsible for developing these frameworks often have li</w:t>
      </w:r>
      <w:r w:rsidRPr="00C20FE6">
        <w:rPr>
          <w:rFonts w:ascii="Calibri" w:hAnsi="Calibri" w:cs="Calibri"/>
        </w:rPr>
        <w:t>mited direct engagement with contemporary AI tools, which reduces their capacity to anticipate how guidance will play out in practice.</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14.</w:t>
      </w:r>
      <w:r w:rsidRPr="00C20FE6">
        <w:rPr>
          <w:rFonts w:ascii="Calibri" w:hAnsi="Calibri" w:cs="Calibri"/>
        </w:rPr>
        <w:tab/>
        <w:t xml:space="preserve">The velocity problem. AI capabilities are evolving at a rate that outpaces conventional policy development cycles. A guidance document published six months ago may already be materially outdated. </w:t>
      </w:r>
      <w:r w:rsidRPr="00C20FE6">
        <w:rPr>
          <w:rFonts w:ascii="Calibri" w:hAnsi="Calibri" w:cs="Calibri"/>
          <w:b/>
          <w:bCs/>
          <w:i/>
          <w:iCs/>
        </w:rPr>
        <w:t>The Government should consider establishing a standing advisory mechanism</w:t>
      </w:r>
      <w:r w:rsidRPr="00C20FE6">
        <w:rPr>
          <w:rFonts w:ascii="Calibri" w:hAnsi="Calibri" w:cs="Calibri"/>
          <w:b/>
          <w:bCs/>
          <w:i/>
          <w:iCs/>
        </w:rPr>
        <w:t xml:space="preserve">, </w:t>
      </w:r>
      <w:r w:rsidRPr="00C20FE6">
        <w:rPr>
          <w:rFonts w:ascii="Calibri" w:hAnsi="Calibri" w:cs="Calibri"/>
          <w:b/>
          <w:bCs/>
          <w:i/>
          <w:iCs/>
        </w:rPr>
        <w:t>informed by practitioners, researchers, and students</w:t>
      </w:r>
      <w:r w:rsidRPr="00C20FE6">
        <w:rPr>
          <w:rFonts w:ascii="Calibri" w:hAnsi="Calibri" w:cs="Calibri"/>
          <w:b/>
          <w:bCs/>
          <w:i/>
          <w:iCs/>
        </w:rPr>
        <w:t xml:space="preserve">, </w:t>
      </w:r>
      <w:r w:rsidRPr="00C20FE6">
        <w:rPr>
          <w:rFonts w:ascii="Calibri" w:hAnsi="Calibri" w:cs="Calibri"/>
          <w:b/>
          <w:bCs/>
          <w:i/>
          <w:iCs/>
        </w:rPr>
        <w:t>with the mandate and resources to update AI guidance in education on a rolling basis</w:t>
      </w:r>
      <w:r w:rsidRPr="00C20FE6">
        <w:rPr>
          <w:rFonts w:ascii="Calibri" w:hAnsi="Calibri" w:cs="Calibri"/>
        </w:rPr>
        <w:t>. UNESCO’s Guidance for Generative AI in Education and Research (2023) provides a useful international</w:t>
      </w:r>
      <w:r w:rsidRPr="00C20FE6">
        <w:rPr>
          <w:rFonts w:ascii="Calibri" w:hAnsi="Calibri" w:cs="Calibri"/>
        </w:rPr>
        <w:t xml:space="preserve"> reference point for such a mechanism,</w:t>
      </w:r>
      <w:r>
        <w:rPr>
          <w:rStyle w:val="FootnoteReference"/>
          <w:rFonts w:ascii="Calibri" w:hAnsi="Calibri" w:cs="Calibri"/>
        </w:rPr>
        <w:footnoteReference w:id="9"/>
      </w:r>
      <w:r w:rsidRPr="00C20FE6">
        <w:rPr>
          <w:rFonts w:ascii="Calibri" w:hAnsi="Calibri" w:cs="Calibri"/>
        </w:rPr>
        <w:t xml:space="preserve"> as does the JISC practical guide for the education sector.</w:t>
      </w:r>
      <w:r>
        <w:rPr>
          <w:rStyle w:val="FootnoteReference"/>
          <w:rFonts w:ascii="Calibri" w:hAnsi="Calibri" w:cs="Calibri"/>
        </w:rPr>
        <w:footnoteReference w:id="10"/>
      </w:r>
    </w:p>
    <w:p w:rsidR="009A74DC" w:rsidRPr="00C20FE6" w:rsidP="00A645E3">
      <w:pPr>
        <w:tabs>
          <w:tab w:val="left" w:pos="720"/>
        </w:tabs>
        <w:spacing w:after="160"/>
        <w:ind w:left="720" w:hanging="360"/>
        <w:rPr>
          <w:rFonts w:ascii="Calibri" w:hAnsi="Calibri" w:cs="Calibri"/>
        </w:rPr>
      </w:pPr>
      <w:r w:rsidRPr="00C20FE6">
        <w:rPr>
          <w:rFonts w:ascii="Calibri" w:hAnsi="Calibri" w:cs="Calibri"/>
        </w:rPr>
        <w:t>15.</w:t>
      </w:r>
      <w:r w:rsidRPr="00C20FE6">
        <w:rPr>
          <w:rFonts w:ascii="Calibri" w:hAnsi="Calibri" w:cs="Calibri"/>
        </w:rPr>
        <w:tab/>
        <w:t>Human agency and oversight. The research consistently found that AI functions best as an enabler</w:t>
      </w:r>
      <w:r w:rsidRPr="00C20FE6">
        <w:rPr>
          <w:rFonts w:ascii="Calibri" w:hAnsi="Calibri" w:cs="Calibri"/>
        </w:rPr>
        <w:t>,</w:t>
      </w:r>
      <w:r w:rsidRPr="00C20FE6">
        <w:rPr>
          <w:rFonts w:ascii="Calibri" w:hAnsi="Calibri" w:cs="Calibri"/>
        </w:rPr>
        <w:t xml:space="preserve"> </w:t>
      </w:r>
      <w:r w:rsidRPr="00C20FE6">
        <w:rPr>
          <w:rFonts w:ascii="Calibri" w:hAnsi="Calibri" w:cs="Calibri"/>
        </w:rPr>
        <w:t>n</w:t>
      </w:r>
      <w:r w:rsidRPr="00C20FE6">
        <w:rPr>
          <w:rFonts w:ascii="Calibri" w:hAnsi="Calibri" w:cs="Calibri"/>
        </w:rPr>
        <w:t xml:space="preserve">ot a replacement for human reasoning, and that this distinction must be preserved in any regulatory framework. The fundamental agency in learning must remain with the human learner, guided by qualified educators. Any policy framework that does not explicitly protect this </w:t>
      </w:r>
      <w:r w:rsidRPr="00C20FE6">
        <w:rPr>
          <w:rFonts w:ascii="Calibri" w:hAnsi="Calibri" w:cs="Calibri"/>
        </w:rPr>
        <w:t>principle</w:t>
      </w:r>
      <w:r w:rsidRPr="00C20FE6">
        <w:rPr>
          <w:rFonts w:ascii="Calibri" w:hAnsi="Calibri" w:cs="Calibri"/>
        </w:rPr>
        <w:t xml:space="preserve"> risks endorsing a model of education in which AI substitutes for, rather than supplements, intellectual development.</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SECTION 4: DIGITAL INCLUSION, INNOVATION AND FUTURE REGULATORY PREPAREDNESS</w:t>
      </w:r>
    </w:p>
    <w:p w:rsidR="009A74DC" w:rsidRPr="00C20FE6" w:rsidP="0045066A">
      <w:pPr>
        <w:spacing w:before="240" w:after="100"/>
        <w:rPr>
          <w:rFonts w:ascii="Calibri" w:hAnsi="Calibri" w:cs="Calibri"/>
        </w:rPr>
      </w:pPr>
      <w:r w:rsidRPr="00C20FE6">
        <w:rPr>
          <w:rFonts w:ascii="Calibri" w:hAnsi="Calibri" w:cs="Calibri"/>
          <w:b/>
          <w:bCs/>
          <w:i/>
          <w:iCs/>
        </w:rPr>
        <w:t>Evidence from a non-traditional delivery model</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16.</w:t>
      </w:r>
      <w:r w:rsidRPr="00C20FE6">
        <w:rPr>
          <w:rFonts w:ascii="Calibri" w:hAnsi="Calibri" w:cs="Calibri"/>
        </w:rPr>
        <w:tab/>
        <w:t>In 2025, the submitter participated as researcher and consultant to a UK-based not-for-profit organisation delivering a</w:t>
      </w:r>
      <w:r w:rsidRPr="00C20FE6">
        <w:rPr>
          <w:rFonts w:ascii="Calibri" w:hAnsi="Calibri" w:cs="Calibri"/>
        </w:rPr>
        <w:t xml:space="preserve"> UK-based not-for-profit School of Ministry</w:t>
      </w:r>
      <w:r w:rsidRPr="00C20FE6">
        <w:rPr>
          <w:rFonts w:ascii="Calibri" w:hAnsi="Calibri" w:cs="Calibri"/>
        </w:rPr>
        <w:t xml:space="preserve"> </w:t>
      </w:r>
      <w:r w:rsidRPr="00C20FE6">
        <w:rPr>
          <w:rFonts w:ascii="Calibri" w:hAnsi="Calibri" w:cs="Calibri"/>
        </w:rPr>
        <w:t xml:space="preserve">education programme. Rather than relying on a single learning management system, the programme adopted a </w:t>
      </w:r>
      <w:r w:rsidRPr="00C20FE6">
        <w:rPr>
          <w:rFonts w:ascii="Calibri" w:hAnsi="Calibri" w:cs="Calibri"/>
          <w:i/>
          <w:iCs/>
        </w:rPr>
        <w:t>digital bricolage</w:t>
      </w:r>
      <w:r w:rsidRPr="00C20FE6">
        <w:rPr>
          <w:rFonts w:ascii="Calibri" w:hAnsi="Calibri" w:cs="Calibri"/>
        </w:rPr>
        <w:t xml:space="preserve"> approach: integrating widely accessible tools including Telegram, Zoom, YouTube, WhatsApp, generative AI APIs, and a bespoke web application. The programme attracted over 2,500 participants from more than 50 countries. Day-to</w:t>
      </w:r>
      <w:r w:rsidRPr="00C20FE6">
        <w:rPr>
          <w:rFonts w:ascii="Calibri" w:hAnsi="Calibri" w:cs="Calibri"/>
        </w:rPr>
        <w:t>-day programme management was supported by AI agents alongside a small team of three faculty, three technical staff, and four support officers.</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17.</w:t>
      </w:r>
      <w:r w:rsidRPr="00C20FE6">
        <w:rPr>
          <w:rFonts w:ascii="Calibri" w:hAnsi="Calibri" w:cs="Calibri"/>
        </w:rPr>
        <w:tab/>
        <w:t>Digital equity implications. This model demonstrates both the transformative potential and the governance complexity of AI-enabled education at scale. For learners without access to institutional platforms</w:t>
      </w:r>
      <w:r w:rsidRPr="00C20FE6">
        <w:rPr>
          <w:rFonts w:ascii="Calibri" w:hAnsi="Calibri" w:cs="Calibri"/>
        </w:rPr>
        <w:t>,</w:t>
      </w:r>
      <w:r w:rsidRPr="00C20FE6">
        <w:rPr>
          <w:rFonts w:ascii="Calibri" w:hAnsi="Calibri" w:cs="Calibri"/>
        </w:rPr>
        <w:t xml:space="preserve"> particularly in lower-income countries or remote settings</w:t>
      </w:r>
      <w:r w:rsidRPr="00C20FE6">
        <w:rPr>
          <w:rFonts w:ascii="Calibri" w:hAnsi="Calibri" w:cs="Calibri"/>
        </w:rPr>
        <w:t>,</w:t>
      </w:r>
      <w:r w:rsidRPr="00C20FE6">
        <w:rPr>
          <w:rFonts w:ascii="Calibri" w:hAnsi="Calibri" w:cs="Calibri"/>
        </w:rPr>
        <w:t xml:space="preserve"> a bricolage approach using freely available consumer tools can dramatically extend reach and promote inclusion. However, it also surfaces urgent questions about quality assurance, data governance, learner protection, and accreditation that exist</w:t>
      </w:r>
      <w:r w:rsidRPr="00C20FE6">
        <w:rPr>
          <w:rFonts w:ascii="Calibri" w:hAnsi="Calibri" w:cs="Calibri"/>
        </w:rPr>
        <w:t>ing frameworks do not address.</w:t>
      </w:r>
    </w:p>
    <w:p w:rsidR="009A74DC" w:rsidRPr="00C20FE6" w:rsidP="0045066A">
      <w:pPr>
        <w:spacing w:before="240" w:after="100"/>
        <w:rPr>
          <w:rFonts w:ascii="Calibri" w:hAnsi="Calibri" w:cs="Calibri"/>
        </w:rPr>
      </w:pPr>
      <w:r w:rsidRPr="00C20FE6">
        <w:rPr>
          <w:rFonts w:ascii="Calibri" w:hAnsi="Calibri" w:cs="Calibri"/>
          <w:b/>
          <w:bCs/>
          <w:i/>
          <w:iCs/>
        </w:rPr>
        <w:t>Future scenario: the University of AI</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18.</w:t>
      </w:r>
      <w:r w:rsidRPr="00C20FE6">
        <w:rPr>
          <w:rFonts w:ascii="Calibri" w:hAnsi="Calibri" w:cs="Calibri"/>
        </w:rPr>
        <w:tab/>
        <w:t>The research surfaced a conceptual scenario</w:t>
      </w:r>
      <w:r w:rsidRPr="00C20FE6">
        <w:rPr>
          <w:rFonts w:ascii="Calibri" w:hAnsi="Calibri" w:cs="Calibri"/>
        </w:rPr>
        <w:t xml:space="preserve"> :</w:t>
      </w:r>
      <w:r w:rsidRPr="00C20FE6">
        <w:rPr>
          <w:rFonts w:ascii="Calibri" w:hAnsi="Calibri" w:cs="Calibri"/>
        </w:rPr>
        <w:t xml:space="preserve"> the </w:t>
      </w:r>
      <w:r w:rsidRPr="00C20FE6">
        <w:rPr>
          <w:rFonts w:ascii="Calibri" w:hAnsi="Calibri" w:cs="Calibri"/>
          <w:i/>
          <w:iCs/>
        </w:rPr>
        <w:t>University of AI</w:t>
      </w:r>
      <w:r w:rsidRPr="00C20FE6">
        <w:rPr>
          <w:rFonts w:ascii="Calibri" w:hAnsi="Calibri" w:cs="Calibri"/>
        </w:rPr>
        <w:t xml:space="preserve"> (UoAI)</w:t>
      </w:r>
      <w:r w:rsidRPr="00C20FE6">
        <w:rPr>
          <w:rFonts w:ascii="Calibri" w:hAnsi="Calibri" w:cs="Calibri"/>
        </w:rPr>
        <w:t xml:space="preserve">, </w:t>
      </w:r>
      <w:r w:rsidRPr="00C20FE6">
        <w:rPr>
          <w:rFonts w:ascii="Calibri" w:hAnsi="Calibri" w:cs="Calibri"/>
        </w:rPr>
        <w:t xml:space="preserve"> in which AI agents serve as the primary faculty and administrative infrastructure for a post-secondary institution: delivering personalised, asynchronous, and continuously adaptive instruction across professional and life-skills domains, with AI agents also training and quality-assuring </w:t>
      </w:r>
      <w:r w:rsidRPr="00C20FE6">
        <w:rPr>
          <w:rFonts w:ascii="Calibri" w:hAnsi="Calibri" w:cs="Calibri"/>
        </w:rPr>
        <w:t>other agents in a recursive improvement layer. While speculative, this scenario is not remote: the structural components already exist and are alre</w:t>
      </w:r>
      <w:r w:rsidRPr="00C20FE6">
        <w:rPr>
          <w:rFonts w:ascii="Calibri" w:hAnsi="Calibri" w:cs="Calibri"/>
        </w:rPr>
        <w:t xml:space="preserve">ady being assembled. The practical and ethical tensions it </w:t>
      </w:r>
      <w:r w:rsidRPr="00C20FE6">
        <w:rPr>
          <w:rFonts w:ascii="Calibri" w:hAnsi="Calibri" w:cs="Calibri"/>
        </w:rPr>
        <w:t>raises  around</w:t>
      </w:r>
      <w:r w:rsidRPr="00C20FE6">
        <w:rPr>
          <w:rFonts w:ascii="Calibri" w:hAnsi="Calibri" w:cs="Calibri"/>
        </w:rPr>
        <w:t xml:space="preserve"> values transmission, identity formation, community belonging, and regulatory recognition</w:t>
      </w:r>
      <w:r w:rsidRPr="00C20FE6">
        <w:rPr>
          <w:rFonts w:ascii="Calibri" w:hAnsi="Calibri" w:cs="Calibri"/>
        </w:rPr>
        <w:t xml:space="preserve"> </w:t>
      </w:r>
      <w:r w:rsidRPr="00C20FE6">
        <w:rPr>
          <w:rFonts w:ascii="Calibri" w:hAnsi="Calibri" w:cs="Calibri"/>
        </w:rPr>
        <w:t>deserve proactive policy attention.</w:t>
      </w:r>
    </w:p>
    <w:p w:rsidR="009A74DC" w:rsidRPr="00C20FE6" w:rsidP="0027539D">
      <w:pPr>
        <w:tabs>
          <w:tab w:val="left" w:pos="720"/>
        </w:tabs>
        <w:spacing w:after="160"/>
        <w:ind w:left="720" w:hanging="360"/>
        <w:rPr>
          <w:rFonts w:ascii="Calibri" w:hAnsi="Calibri" w:cs="Calibri"/>
        </w:rPr>
      </w:pPr>
      <w:r w:rsidRPr="00C20FE6">
        <w:rPr>
          <w:rFonts w:ascii="Calibri" w:hAnsi="Calibri" w:cs="Calibri"/>
        </w:rPr>
        <w:t>19.</w:t>
      </w:r>
      <w:r w:rsidRPr="00C20FE6">
        <w:rPr>
          <w:rFonts w:ascii="Calibri" w:hAnsi="Calibri" w:cs="Calibri"/>
        </w:rPr>
        <w:tab/>
        <w:t xml:space="preserve">Unresolved tensions that policy must address. Three tensions are particularly salient: (a) </w:t>
      </w:r>
      <w:r w:rsidRPr="00C20FE6">
        <w:rPr>
          <w:rFonts w:ascii="Calibri" w:hAnsi="Calibri" w:cs="Calibri"/>
          <w:b/>
          <w:bCs/>
        </w:rPr>
        <w:t>Depth vs scale:</w:t>
      </w:r>
      <w:r w:rsidRPr="00C20FE6">
        <w:rPr>
          <w:rFonts w:ascii="Calibri" w:hAnsi="Calibri" w:cs="Calibri"/>
        </w:rPr>
        <w:t xml:space="preserve"> AI agents can deliver breadth at scale, but whether they can produce the depth of cognitive transformation associated with skilled human educators remains an empirical question. (b) </w:t>
      </w:r>
      <w:r w:rsidRPr="00C20FE6">
        <w:rPr>
          <w:rFonts w:ascii="Calibri" w:hAnsi="Calibri" w:cs="Calibri"/>
          <w:b/>
          <w:bCs/>
        </w:rPr>
        <w:t>Values transmission:</w:t>
      </w:r>
      <w:r w:rsidRPr="00C20FE6">
        <w:rPr>
          <w:rFonts w:ascii="Calibri" w:hAnsi="Calibri" w:cs="Calibri"/>
        </w:rPr>
        <w:t xml:space="preserve"> every curriculum encodes values; in an AI-led institution, whose values are encoded, and how are these surfaced, debated, and revised? (c) </w:t>
      </w:r>
      <w:r w:rsidRPr="00C20FE6">
        <w:rPr>
          <w:rFonts w:ascii="Calibri" w:hAnsi="Calibri" w:cs="Calibri"/>
          <w:b/>
          <w:bCs/>
        </w:rPr>
        <w:t>Regulatory recognition:</w:t>
      </w:r>
      <w:r w:rsidRPr="00C20FE6">
        <w:rPr>
          <w:rFonts w:ascii="Calibri" w:hAnsi="Calibri" w:cs="Calibri"/>
        </w:rPr>
        <w:t xml:space="preserve"> no existing accreditation framework is designed for an AI-faculty institution. The OfS, the Department for Education, and Ofqual are not currentl</w:t>
      </w:r>
      <w:r w:rsidRPr="00C20FE6">
        <w:rPr>
          <w:rFonts w:ascii="Calibri" w:hAnsi="Calibri" w:cs="Calibri"/>
        </w:rPr>
        <w:t>y positioned to regulate such models — not through any failure on their part, but because the challenge is genuinely novel. The Committee is well-placed to prompt the preparatory work needed.</w:t>
      </w:r>
    </w:p>
    <w:p w:rsidR="009A74DC" w:rsidRPr="00C20FE6" w:rsidP="0045066A">
      <w:pPr>
        <w:pStyle w:val="Heading2"/>
        <w:spacing w:before="360"/>
        <w:rPr>
          <w:rFonts w:ascii="Calibri" w:hAnsi="Calibri" w:cs="Calibri"/>
          <w:color w:val="auto"/>
          <w:sz w:val="22"/>
          <w:szCs w:val="22"/>
        </w:rPr>
      </w:pPr>
      <w:r w:rsidRPr="00C20FE6">
        <w:rPr>
          <w:rFonts w:ascii="Calibri" w:hAnsi="Calibri" w:cs="Calibri"/>
          <w:color w:val="auto"/>
          <w:sz w:val="22"/>
          <w:szCs w:val="22"/>
        </w:rPr>
        <w:t>SECTION 5: SUMMARY RECOMMENDATIONS</w:t>
      </w:r>
    </w:p>
    <w:p w:rsidR="009A74DC" w:rsidRPr="00C20FE6" w:rsidP="0045066A">
      <w:pPr>
        <w:spacing w:after="160"/>
        <w:rPr>
          <w:rFonts w:ascii="Calibri" w:hAnsi="Calibri" w:cs="Calibri"/>
        </w:rPr>
      </w:pPr>
      <w:r w:rsidRPr="00C20FE6">
        <w:rPr>
          <w:rFonts w:ascii="Calibri" w:hAnsi="Calibri" w:cs="Calibri"/>
        </w:rPr>
        <w:t>The Committee is respectfully invited to consider the following recommendations:</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20.</w:t>
      </w:r>
      <w:r w:rsidRPr="00C20FE6">
        <w:rPr>
          <w:rFonts w:ascii="Calibri" w:hAnsi="Calibri" w:cs="Calibri"/>
        </w:rPr>
        <w:tab/>
        <w:t>Recommendation 1</w:t>
      </w:r>
      <w:r w:rsidRPr="00C20FE6">
        <w:rPr>
          <w:rFonts w:ascii="Calibri" w:hAnsi="Calibri" w:cs="Calibri"/>
        </w:rPr>
        <w:t>:</w:t>
      </w:r>
      <w:r w:rsidRPr="00C20FE6">
        <w:rPr>
          <w:rFonts w:ascii="Calibri" w:hAnsi="Calibri" w:cs="Calibri"/>
        </w:rPr>
        <w:t xml:space="preserve"> Sequencing AI in learning. Government should commission sector-level guidance on the appropriate sequencing of AI tool introduction in higher education, establishing as a clear principle that foundational disciplinary knowledge should precede AI-assisted work. The OfS should be asked to report on how institutions are currently supporting or failing to support this principle.</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21.</w:t>
      </w:r>
      <w:r w:rsidRPr="00C20FE6">
        <w:rPr>
          <w:rFonts w:ascii="Calibri" w:hAnsi="Calibri" w:cs="Calibri"/>
        </w:rPr>
        <w:tab/>
        <w:t>Recommendation 2</w:t>
      </w:r>
      <w:r w:rsidRPr="00C20FE6">
        <w:rPr>
          <w:rFonts w:ascii="Calibri" w:hAnsi="Calibri" w:cs="Calibri"/>
        </w:rPr>
        <w:t xml:space="preserve">: </w:t>
      </w:r>
      <w:r w:rsidRPr="00C20FE6">
        <w:rPr>
          <w:rFonts w:ascii="Calibri" w:hAnsi="Calibri" w:cs="Calibri"/>
        </w:rPr>
        <w:t>Faculty CPD. UKRI and the OfS, in partnership with the QAA and sector bodies such as Advance HE, should fund a structured national CPD programme on AI for higher education teaching staff, with particular emphasis on AI-informed assessment design, academic integrity, and the equitable management of varied student AI use.</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22.</w:t>
      </w:r>
      <w:r w:rsidRPr="00C20FE6">
        <w:rPr>
          <w:rFonts w:ascii="Calibri" w:hAnsi="Calibri" w:cs="Calibri"/>
        </w:rPr>
        <w:tab/>
        <w:t>Recommendation 3</w:t>
      </w:r>
      <w:r w:rsidRPr="00C20FE6">
        <w:rPr>
          <w:rFonts w:ascii="Calibri" w:hAnsi="Calibri" w:cs="Calibri"/>
        </w:rPr>
        <w:t>:</w:t>
      </w:r>
      <w:r w:rsidRPr="00C20FE6">
        <w:rPr>
          <w:rFonts w:ascii="Calibri" w:hAnsi="Calibri" w:cs="Calibri"/>
        </w:rPr>
        <w:t xml:space="preserve"> Responsive regulation. Government should establish a standing advisory mechanism</w:t>
      </w:r>
      <w:r w:rsidRPr="00C20FE6">
        <w:rPr>
          <w:rFonts w:ascii="Calibri" w:hAnsi="Calibri" w:cs="Calibri"/>
        </w:rPr>
        <w:t>,</w:t>
      </w:r>
      <w:r w:rsidRPr="00C20FE6">
        <w:rPr>
          <w:rFonts w:ascii="Calibri" w:hAnsi="Calibri" w:cs="Calibri"/>
        </w:rPr>
        <w:t xml:space="preserve"> reporting to the Department for Education</w:t>
      </w:r>
      <w:r w:rsidRPr="00C20FE6">
        <w:rPr>
          <w:rFonts w:ascii="Calibri" w:hAnsi="Calibri" w:cs="Calibri"/>
        </w:rPr>
        <w:t>,</w:t>
      </w:r>
      <w:r w:rsidRPr="00C20FE6">
        <w:rPr>
          <w:rFonts w:ascii="Calibri" w:hAnsi="Calibri" w:cs="Calibri"/>
        </w:rPr>
        <w:t xml:space="preserve"> with the mandate and resource to update AI guidance in education on a quarterly basis, drawing on practitioner, researcher, and student input. The mechanism should be explicitly charged with monitoring AI capability developments and assessing their implications for existing guidance.</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23.</w:t>
      </w:r>
      <w:r w:rsidRPr="00C20FE6">
        <w:rPr>
          <w:rFonts w:ascii="Calibri" w:hAnsi="Calibri" w:cs="Calibri"/>
        </w:rPr>
        <w:tab/>
        <w:t>Recommendation 4</w:t>
      </w:r>
      <w:r w:rsidRPr="00C20FE6">
        <w:rPr>
          <w:rFonts w:ascii="Calibri" w:hAnsi="Calibri" w:cs="Calibri"/>
        </w:rPr>
        <w:t>:</w:t>
      </w:r>
      <w:r w:rsidRPr="00C20FE6">
        <w:rPr>
          <w:rFonts w:ascii="Calibri" w:hAnsi="Calibri" w:cs="Calibri"/>
        </w:rPr>
        <w:t xml:space="preserve"> Regulatory foresight. Government should commission a foresight review of emerging AI-led educational delivery models</w:t>
      </w:r>
      <w:r w:rsidRPr="00C20FE6">
        <w:rPr>
          <w:rFonts w:ascii="Calibri" w:hAnsi="Calibri" w:cs="Calibri"/>
        </w:rPr>
        <w:t xml:space="preserve">, </w:t>
      </w:r>
      <w:r w:rsidRPr="00C20FE6">
        <w:rPr>
          <w:rFonts w:ascii="Calibri" w:hAnsi="Calibri" w:cs="Calibri"/>
        </w:rPr>
        <w:t>including non-institutional and hybrid models with a view to ensuring that regulatory and accreditation frameworks are adapted in advance of, rather than in response to, significant structural change. This review should involve the OfS, Ofqual, the Department for Education, and independent researchers.</w:t>
      </w:r>
    </w:p>
    <w:p w:rsidR="009A74DC" w:rsidRPr="00C20FE6" w:rsidP="0045066A">
      <w:pPr>
        <w:tabs>
          <w:tab w:val="left" w:pos="720"/>
        </w:tabs>
        <w:spacing w:after="160"/>
        <w:ind w:left="720" w:hanging="360"/>
        <w:rPr>
          <w:rFonts w:ascii="Calibri" w:hAnsi="Calibri" w:cs="Calibri"/>
        </w:rPr>
      </w:pPr>
      <w:r w:rsidRPr="00C20FE6">
        <w:rPr>
          <w:rFonts w:ascii="Calibri" w:hAnsi="Calibri" w:cs="Calibri"/>
        </w:rPr>
        <w:t>24.</w:t>
      </w:r>
      <w:r w:rsidRPr="00C20FE6">
        <w:rPr>
          <w:rFonts w:ascii="Calibri" w:hAnsi="Calibri" w:cs="Calibri"/>
        </w:rPr>
        <w:tab/>
        <w:t>Recommendation 5</w:t>
      </w:r>
      <w:r w:rsidRPr="00C20FE6">
        <w:rPr>
          <w:rFonts w:ascii="Calibri" w:hAnsi="Calibri" w:cs="Calibri"/>
        </w:rPr>
        <w:t xml:space="preserve">: </w:t>
      </w:r>
      <w:r w:rsidRPr="00C20FE6">
        <w:rPr>
          <w:rFonts w:ascii="Calibri" w:hAnsi="Calibri" w:cs="Calibri"/>
        </w:rPr>
        <w:t>Equity in digital access. Government should assess whether existing digital infrastructure funding mechanisms are adequate to support equitable access to AI-enabled learning tools, particularly for learners in under-resourced settings, those studying via non-traditional routes, and international learners affiliated with UK institutions.</w:t>
      </w:r>
    </w:p>
    <w:p w:rsidR="009A74DC" w:rsidRPr="00C20FE6" w:rsidP="0045066A">
      <w:pPr>
        <w:spacing w:after="160"/>
        <w:rPr>
          <w:rFonts w:ascii="Calibri" w:hAnsi="Calibri" w:cs="Calibri"/>
        </w:rPr>
      </w:pPr>
      <w:r w:rsidRPr="00C20FE6">
        <w:rPr>
          <w:rFonts w:ascii="Calibri" w:hAnsi="Calibri" w:cs="Calibri"/>
          <w:b/>
          <w:bCs/>
          <w:i/>
          <w:iCs/>
        </w:rPr>
        <w:t>Note</w:t>
      </w:r>
      <w:r w:rsidRPr="00C20FE6">
        <w:rPr>
          <w:rFonts w:ascii="Calibri" w:hAnsi="Calibri" w:cs="Calibri"/>
          <w:i/>
          <w:iCs/>
        </w:rPr>
        <w:t>: This submission draws primarily on unpublished empirical research. The submitter is available to give oral evidence and to provide further detail on the methodology and findings of the studies described above.</w:t>
      </w:r>
    </w:p>
    <w:p w:rsidR="009A74DC" w:rsidRPr="00C20FE6" w:rsidP="00512E85">
      <w:pPr>
        <w:rPr>
          <w:rFonts w:ascii="Calibri" w:hAnsi="Calibri" w:cs="Calibri"/>
          <w:i/>
          <w:iCs/>
        </w:rPr>
      </w:pPr>
      <w:r w:rsidRPr="00C20FE6">
        <w:rPr>
          <w:rFonts w:ascii="Calibri" w:hAnsi="Calibri" w:cs="Calibri"/>
          <w:b/>
          <w:bCs/>
          <w:i/>
          <w:iCs/>
        </w:rPr>
        <w:t>A</w:t>
      </w:r>
      <w:r w:rsidRPr="00C20FE6">
        <w:rPr>
          <w:rFonts w:ascii="Calibri" w:hAnsi="Calibri" w:cs="Calibri"/>
          <w:b/>
          <w:bCs/>
          <w:i/>
          <w:iCs/>
        </w:rPr>
        <w:t>c</w:t>
      </w:r>
      <w:r w:rsidRPr="00C20FE6">
        <w:rPr>
          <w:rFonts w:ascii="Calibri" w:hAnsi="Calibri" w:cs="Calibri"/>
          <w:b/>
          <w:bCs/>
          <w:i/>
          <w:iCs/>
        </w:rPr>
        <w:t>knowledgements</w:t>
      </w:r>
      <w:r w:rsidRPr="00C20FE6">
        <w:rPr>
          <w:rFonts w:ascii="Calibri" w:hAnsi="Calibri" w:cs="Calibri"/>
          <w:i/>
          <w:iCs/>
        </w:rPr>
        <w:t xml:space="preserve">: </w:t>
      </w:r>
      <w:r w:rsidRPr="00C20FE6">
        <w:rPr>
          <w:rFonts w:ascii="Calibri" w:hAnsi="Calibri" w:cs="Calibri"/>
          <w:i/>
          <w:iCs/>
        </w:rPr>
        <w:t>The submitter would like to acknowledge the contributions of the following individuals to the development of the body of knowledge presented in this submission:</w:t>
      </w:r>
    </w:p>
    <w:p w:rsidR="009A74DC" w:rsidRPr="00C20FE6" w:rsidP="00512E85">
      <w:pPr>
        <w:numPr>
          <w:ilvl w:val="0"/>
          <w:numId w:val="2"/>
        </w:numPr>
        <w:rPr>
          <w:rFonts w:ascii="Calibri" w:hAnsi="Calibri" w:cs="Calibri"/>
          <w:i/>
          <w:iCs/>
        </w:rPr>
      </w:pPr>
      <w:r w:rsidRPr="00C20FE6">
        <w:rPr>
          <w:rFonts w:ascii="Calibri" w:hAnsi="Calibri" w:cs="Calibri"/>
          <w:i/>
          <w:iCs/>
        </w:rPr>
        <w:t>Dr Abiodun Egbetokun and Dr Martin Bekins</w:t>
      </w:r>
      <w:r w:rsidRPr="00C20FE6">
        <w:rPr>
          <w:rFonts w:ascii="Calibri" w:hAnsi="Calibri" w:cs="Calibri"/>
          <w:i/>
          <w:iCs/>
        </w:rPr>
        <w:t>ale</w:t>
      </w:r>
      <w:r w:rsidRPr="00C20FE6">
        <w:rPr>
          <w:rFonts w:ascii="Calibri" w:hAnsi="Calibri" w:cs="Calibri"/>
          <w:i/>
          <w:iCs/>
        </w:rPr>
        <w:t xml:space="preserve"> (De Montfort University) </w:t>
      </w:r>
    </w:p>
    <w:p w:rsidR="009A74DC" w:rsidRPr="00C20FE6" w:rsidP="00512E85">
      <w:pPr>
        <w:numPr>
          <w:ilvl w:val="0"/>
          <w:numId w:val="2"/>
        </w:numPr>
        <w:rPr>
          <w:rFonts w:ascii="Calibri" w:hAnsi="Calibri" w:cs="Calibri"/>
          <w:i/>
          <w:iCs/>
        </w:rPr>
      </w:pPr>
      <w:r w:rsidRPr="00C20FE6">
        <w:rPr>
          <w:rFonts w:ascii="Calibri" w:hAnsi="Calibri" w:cs="Calibri"/>
          <w:i/>
          <w:iCs/>
        </w:rPr>
        <w:t xml:space="preserve">Prof. Seun Kolade and Dr Christine O’Leary (Sheffield Hallam University) </w:t>
      </w:r>
    </w:p>
    <w:p w:rsidR="009A74DC" w:rsidRPr="00C20FE6" w:rsidP="00512E85">
      <w:pPr>
        <w:numPr>
          <w:ilvl w:val="0"/>
          <w:numId w:val="2"/>
        </w:numPr>
        <w:rPr>
          <w:rFonts w:ascii="Calibri" w:hAnsi="Calibri" w:cs="Calibri"/>
          <w:i/>
          <w:iCs/>
        </w:rPr>
      </w:pPr>
      <w:r w:rsidRPr="00C20FE6">
        <w:rPr>
          <w:rFonts w:ascii="Calibri" w:hAnsi="Calibri" w:cs="Calibri"/>
          <w:i/>
          <w:iCs/>
        </w:rPr>
        <w:t>Dr Dele Osunmakinde and Mr Peter Ndirpaya (Mathetheo School of Ministry)</w:t>
      </w:r>
    </w:p>
    <w:p w:rsidR="009A74DC" w:rsidRPr="00C20FE6" w:rsidP="00512E85">
      <w:pPr>
        <w:spacing w:after="160"/>
        <w:rPr>
          <w:rFonts w:ascii="Calibri" w:hAnsi="Calibri" w:cs="Calibri"/>
        </w:rPr>
      </w:pPr>
    </w:p>
    <w:p w:rsidR="009A74DC" w:rsidRPr="00C20FE6" w:rsidP="00512E85">
      <w:pPr>
        <w:spacing w:after="160"/>
        <w:rPr>
          <w:rFonts w:ascii="Calibri" w:hAnsi="Calibri" w:cs="Calibri"/>
        </w:rPr>
      </w:pPr>
    </w:p>
    <w:p w:rsidR="009A74DC" w:rsidRPr="00C20FE6" w:rsidP="00512E85">
      <w:pPr>
        <w:spacing w:after="160"/>
        <w:rPr>
          <w:rFonts w:ascii="Calibri" w:hAnsi="Calibri" w:cs="Calibri"/>
          <w:i/>
          <w:iCs/>
        </w:rPr>
      </w:pPr>
      <w:r w:rsidRPr="00C20FE6">
        <w:rPr>
          <w:rFonts w:ascii="Calibri" w:hAnsi="Calibri" w:cs="Calibri"/>
          <w:i/>
          <w:iCs/>
        </w:rPr>
        <w:t>May 2026</w:t>
      </w:r>
    </w:p>
    <w:sectPr w:rsidSect="0044317D">
      <w:pgSz w:w="11906" w:h="16838"/>
      <w:pgMar w:top="1418" w:right="1416" w:bottom="1440"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A74DC" w:rsidP="0045066A">
      <w:r>
        <w:separator/>
      </w:r>
    </w:p>
  </w:footnote>
  <w:footnote w:type="continuationSeparator" w:id="1">
    <w:p w:rsidR="009A74DC" w:rsidP="0045066A">
      <w:r>
        <w:continuationSeparator/>
      </w:r>
    </w:p>
  </w:footnote>
  <w:footnote w:id="2">
    <w:p w:rsidR="009A74DC" w:rsidRPr="007407F4" w:rsidP="0045066A">
      <w:pPr>
        <w:rPr>
          <w:rFonts w:asciiTheme="minorHAnsi" w:hAnsiTheme="minorHAnsi" w:cstheme="minorHAnsi"/>
          <w:sz w:val="18"/>
          <w:szCs w:val="18"/>
        </w:rPr>
      </w:pPr>
      <w:r w:rsidRPr="00114247">
        <w:rPr>
          <w:rStyle w:val="FootnoteReference"/>
        </w:rPr>
        <w:footnoteRef/>
      </w:r>
      <w:r w:rsidRPr="007407F4">
        <w:rPr>
          <w:rFonts w:asciiTheme="minorHAnsi" w:hAnsiTheme="minorHAnsi" w:cstheme="minorHAnsi"/>
          <w:sz w:val="18"/>
          <w:szCs w:val="18"/>
        </w:rPr>
        <w:t>Owoseni, A. (ed.) (2024). Generative AI in Higher Education. Cham: Springer Macmillan. See also: Owoseni, A. (ed.) (2026). Generative AI in Research Practice. Cham: Springer Macmillan.</w:t>
      </w:r>
    </w:p>
  </w:footnote>
  <w:footnote w:id="3">
    <w:p w:rsidR="009A74DC" w:rsidRPr="007407F4" w:rsidP="0045066A">
      <w:pPr>
        <w:rPr>
          <w:rFonts w:asciiTheme="minorHAnsi" w:hAnsiTheme="minorHAnsi" w:cstheme="minorHAnsi"/>
        </w:rPr>
      </w:pPr>
      <w:r w:rsidRPr="00114247">
        <w:rPr>
          <w:rStyle w:val="FootnoteReference"/>
        </w:rPr>
        <w:footnoteRef/>
      </w:r>
      <w:r w:rsidRPr="007407F4">
        <w:rPr>
          <w:rFonts w:asciiTheme="minorHAnsi" w:hAnsiTheme="minorHAnsi" w:cstheme="minorHAnsi"/>
          <w:sz w:val="18"/>
          <w:szCs w:val="18"/>
        </w:rPr>
        <w:t>Owoseni, A. et al. (2022). ‘Employment 5.0 – The work of the future and future of work.’ Technology in Society, 71, 102086. DOI: 10.1016/j.techsoc.2022.102086.</w:t>
      </w:r>
    </w:p>
  </w:footnote>
  <w:footnote w:id="4">
    <w:p w:rsidR="009A74DC" w:rsidRPr="007407F4" w:rsidP="0045066A">
      <w:pPr>
        <w:rPr>
          <w:sz w:val="18"/>
          <w:szCs w:val="18"/>
        </w:rPr>
      </w:pPr>
      <w:r w:rsidRPr="00114247">
        <w:rPr>
          <w:rStyle w:val="FootnoteReference"/>
        </w:rPr>
        <w:footnoteRef/>
      </w:r>
      <w:r w:rsidRPr="007407F4">
        <w:rPr>
          <w:rFonts w:asciiTheme="minorHAnsi" w:hAnsiTheme="minorHAnsi" w:cstheme="minorHAnsi"/>
          <w:sz w:val="18"/>
          <w:szCs w:val="18"/>
        </w:rPr>
        <w:t xml:space="preserve">HESA (2026). Higher Education Student Statistics: UK, 2024–25. Available at: </w:t>
      </w:r>
      <w:r>
        <w:fldChar w:fldCharType="begin"/>
      </w:r>
      <w:r>
        <w:instrText xml:space="preserve"> HYPERLINK "https://www.hesa.ac.uk/news/27-01-2026/sb273-higher-education-student-statistics/numbers" </w:instrText>
      </w:r>
      <w:r>
        <w:fldChar w:fldCharType="separate"/>
      </w:r>
      <w:r w:rsidRPr="005C5A0B">
        <w:rPr>
          <w:rStyle w:val="Hyperlink"/>
          <w:rFonts w:asciiTheme="minorHAnsi" w:hAnsiTheme="minorHAnsi" w:cstheme="minorHAnsi"/>
          <w:sz w:val="18"/>
          <w:szCs w:val="18"/>
        </w:rPr>
        <w:t>https://www.hesa.ac.uk/news/27-01-2026/sb273-higher-education-student-statistics/numbers</w:t>
      </w:r>
      <w:r>
        <w:fldChar w:fldCharType="end"/>
      </w:r>
      <w:r>
        <w:rPr>
          <w:rFonts w:asciiTheme="minorHAnsi" w:hAnsiTheme="minorHAnsi" w:cstheme="minorHAnsi"/>
          <w:sz w:val="18"/>
          <w:szCs w:val="18"/>
        </w:rPr>
        <w:t xml:space="preserve"> </w:t>
      </w:r>
      <w:r w:rsidRPr="007407F4">
        <w:rPr>
          <w:rFonts w:asciiTheme="minorHAnsi" w:hAnsiTheme="minorHAnsi" w:cstheme="minorHAnsi"/>
          <w:sz w:val="18"/>
          <w:szCs w:val="18"/>
        </w:rPr>
        <w:t xml:space="preserve"> [accessed April 2026].</w:t>
      </w:r>
    </w:p>
  </w:footnote>
  <w:footnote w:id="5">
    <w:p w:rsidR="009A74DC" w:rsidRPr="007407F4" w:rsidP="0045066A">
      <w:pPr>
        <w:rPr>
          <w:rFonts w:asciiTheme="minorHAnsi" w:hAnsiTheme="minorHAnsi" w:cstheme="minorHAnsi"/>
          <w:sz w:val="18"/>
          <w:szCs w:val="18"/>
        </w:rPr>
      </w:pPr>
      <w:r w:rsidRPr="007407F4">
        <w:rPr>
          <w:rStyle w:val="FootnoteReference"/>
          <w:rFonts w:asciiTheme="minorHAnsi" w:hAnsiTheme="minorHAnsi" w:cstheme="minorHAnsi"/>
          <w:sz w:val="18"/>
          <w:szCs w:val="18"/>
        </w:rPr>
        <w:footnoteRef/>
      </w:r>
      <w:r w:rsidRPr="007407F4">
        <w:rPr>
          <w:rFonts w:asciiTheme="minorHAnsi" w:hAnsiTheme="minorHAnsi" w:cstheme="minorHAnsi"/>
          <w:sz w:val="18"/>
          <w:szCs w:val="18"/>
        </w:rPr>
        <w:t>Holmes, W., Bialik, M. and Fadel, C. (2019). Artificial Intelligence in Education: Promises and Implications for Teaching and Learning. Boston: Center for Curriculum Redesign. See also: Kasneci, E. et al. (2023). ‘ChatGPT for good? On opportunities and challenges of large language models for education.’ Learning and Individual Differences, 103, 102274.</w:t>
      </w:r>
    </w:p>
  </w:footnote>
  <w:footnote w:id="6">
    <w:p w:rsidR="009A74DC" w:rsidRPr="004032C1" w:rsidP="0045066A">
      <w:pPr>
        <w:rPr>
          <w:rFonts w:asciiTheme="minorHAnsi" w:hAnsiTheme="minorHAnsi" w:cstheme="minorHAnsi"/>
          <w:sz w:val="18"/>
          <w:szCs w:val="18"/>
        </w:rPr>
      </w:pPr>
      <w:r>
        <w:rPr>
          <w:rStyle w:val="FootnoteReference"/>
        </w:rPr>
        <w:footnoteRef/>
      </w:r>
      <w:r w:rsidRPr="004032C1">
        <w:rPr>
          <w:rFonts w:asciiTheme="minorHAnsi" w:hAnsiTheme="minorHAnsi" w:cstheme="minorHAnsi"/>
          <w:sz w:val="18"/>
          <w:szCs w:val="18"/>
        </w:rPr>
        <w:t>Department for Education (202</w:t>
      </w:r>
      <w:r>
        <w:rPr>
          <w:rFonts w:asciiTheme="minorHAnsi" w:hAnsiTheme="minorHAnsi" w:cstheme="minorHAnsi"/>
          <w:sz w:val="18"/>
          <w:szCs w:val="18"/>
        </w:rPr>
        <w:t>5</w:t>
      </w:r>
      <w:r w:rsidRPr="004032C1">
        <w:rPr>
          <w:rFonts w:asciiTheme="minorHAnsi" w:hAnsiTheme="minorHAnsi" w:cstheme="minorHAnsi"/>
          <w:sz w:val="18"/>
          <w:szCs w:val="18"/>
        </w:rPr>
        <w:t>). Generative Artificial Intelligence in Education: A Position Statement. London: DfE.</w:t>
      </w:r>
      <w:r w:rsidRPr="004032C1">
        <w:rPr>
          <w:rFonts w:asciiTheme="minorHAnsi" w:hAnsiTheme="minorHAnsi" w:cstheme="minorHAnsi"/>
          <w:sz w:val="18"/>
          <w:szCs w:val="18"/>
        </w:rPr>
        <w:t xml:space="preserve"> </w:t>
      </w:r>
      <w:r w:rsidRPr="007407F4">
        <w:rPr>
          <w:rFonts w:asciiTheme="minorHAnsi" w:hAnsiTheme="minorHAnsi" w:cstheme="minorHAnsi"/>
          <w:sz w:val="18"/>
          <w:szCs w:val="18"/>
        </w:rPr>
        <w:t xml:space="preserve">Available at: </w:t>
      </w:r>
      <w:r>
        <w:fldChar w:fldCharType="begin"/>
      </w:r>
      <w:r>
        <w:instrText xml:space="preserve"> HYPERLINK "https://www.gov.uk/government/publications/generative-artificial-intelligence-in-education" </w:instrText>
      </w:r>
      <w:r>
        <w:fldChar w:fldCharType="separate"/>
      </w:r>
      <w:r w:rsidRPr="005C5A0B">
        <w:rPr>
          <w:rStyle w:val="Hyperlink"/>
          <w:rFonts w:asciiTheme="minorHAnsi" w:hAnsiTheme="minorHAnsi" w:cstheme="minorHAnsi"/>
          <w:sz w:val="18"/>
          <w:szCs w:val="18"/>
        </w:rPr>
        <w:t>https://www.gov.uk/government/publications/generative-artificial-intelligence-in-education</w:t>
      </w:r>
      <w:r>
        <w:fldChar w:fldCharType="end"/>
      </w:r>
      <w:r>
        <w:rPr>
          <w:rFonts w:asciiTheme="minorHAnsi" w:hAnsiTheme="minorHAnsi" w:cstheme="minorHAnsi"/>
          <w:sz w:val="18"/>
          <w:szCs w:val="18"/>
        </w:rPr>
        <w:t xml:space="preserve"> </w:t>
      </w:r>
      <w:r w:rsidRPr="007407F4">
        <w:rPr>
          <w:rFonts w:asciiTheme="minorHAnsi" w:hAnsiTheme="minorHAnsi" w:cstheme="minorHAnsi"/>
          <w:sz w:val="18"/>
          <w:szCs w:val="18"/>
        </w:rPr>
        <w:t xml:space="preserve"> [accessed April 2026].</w:t>
      </w:r>
    </w:p>
  </w:footnote>
  <w:footnote w:id="7">
    <w:p w:rsidR="009A74DC" w:rsidRPr="004032C1" w:rsidP="0045066A">
      <w:pPr>
        <w:rPr>
          <w:rFonts w:asciiTheme="minorHAnsi" w:hAnsiTheme="minorHAnsi" w:cstheme="minorHAnsi"/>
          <w:sz w:val="18"/>
          <w:szCs w:val="18"/>
        </w:rPr>
      </w:pPr>
      <w:r w:rsidRPr="00F61780">
        <w:rPr>
          <w:rStyle w:val="FootnoteReference"/>
        </w:rPr>
        <w:footnoteRef/>
      </w:r>
      <w:r w:rsidRPr="004032C1">
        <w:rPr>
          <w:rFonts w:asciiTheme="minorHAnsi" w:hAnsiTheme="minorHAnsi" w:cstheme="minorHAnsi"/>
          <w:sz w:val="18"/>
          <w:szCs w:val="18"/>
        </w:rPr>
        <w:t>Quality Assurance Agency (2023). The Implications of Artificial Intelligence for Assessment and Academic Integrity in UK Higher Education. Gloucester: QAA. See also: Russell Group (2023). Russell Group Principles on the Use of Generative AI Tools in Education. London</w:t>
      </w:r>
      <w:r>
        <w:rPr>
          <w:rFonts w:asciiTheme="minorHAnsi" w:hAnsiTheme="minorHAnsi" w:cstheme="minorHAnsi"/>
          <w:sz w:val="18"/>
          <w:szCs w:val="18"/>
        </w:rPr>
        <w:t xml:space="preserve">. </w:t>
      </w:r>
      <w:r>
        <w:rPr>
          <w:rFonts w:asciiTheme="minorHAnsi" w:hAnsiTheme="minorHAnsi" w:cstheme="minorHAnsi"/>
          <w:sz w:val="18"/>
          <w:szCs w:val="18"/>
        </w:rPr>
        <w:t xml:space="preserve"> </w:t>
      </w:r>
      <w:r>
        <w:fldChar w:fldCharType="begin"/>
      </w:r>
      <w:r>
        <w:instrText xml:space="preserve"> HYPERLINK "https://www.russellgroup.ac.uk/policy/policy-briefings/principles-use-generative-ai-tools-education" </w:instrText>
      </w:r>
      <w:r>
        <w:fldChar w:fldCharType="separate"/>
      </w:r>
      <w:r w:rsidRPr="005C5A0B">
        <w:rPr>
          <w:rStyle w:val="Hyperlink"/>
          <w:rFonts w:asciiTheme="minorHAnsi" w:hAnsiTheme="minorHAnsi" w:cstheme="minorHAnsi"/>
          <w:sz w:val="18"/>
          <w:szCs w:val="18"/>
        </w:rPr>
        <w:t>https://www.russellgroup.ac.uk/policy/policy-briefings/principles-use-generative-ai-tools-education</w:t>
      </w:r>
      <w:r>
        <w:fldChar w:fldCharType="end"/>
      </w:r>
      <w:r>
        <w:rPr>
          <w:rFonts w:asciiTheme="minorHAnsi" w:hAnsiTheme="minorHAnsi" w:cstheme="minorHAnsi"/>
          <w:sz w:val="18"/>
          <w:szCs w:val="18"/>
        </w:rPr>
        <w:t xml:space="preserve"> </w:t>
      </w:r>
      <w:r w:rsidRPr="007407F4">
        <w:rPr>
          <w:rFonts w:asciiTheme="minorHAnsi" w:hAnsiTheme="minorHAnsi" w:cstheme="minorHAnsi"/>
          <w:sz w:val="18"/>
          <w:szCs w:val="18"/>
        </w:rPr>
        <w:t>[accessed April 2026].</w:t>
      </w:r>
    </w:p>
  </w:footnote>
  <w:footnote w:id="8">
    <w:p w:rsidR="009A74DC" w:rsidRPr="002C6663" w:rsidP="0045066A">
      <w:pPr>
        <w:rPr>
          <w:rFonts w:asciiTheme="minorHAnsi" w:hAnsiTheme="minorHAnsi" w:cstheme="minorHAnsi"/>
          <w:sz w:val="18"/>
          <w:szCs w:val="18"/>
        </w:rPr>
      </w:pPr>
      <w:r w:rsidRPr="00F61780">
        <w:rPr>
          <w:rStyle w:val="FootnoteReference"/>
        </w:rPr>
        <w:footnoteRef/>
      </w:r>
      <w:r w:rsidRPr="004032C1">
        <w:rPr>
          <w:rFonts w:asciiTheme="minorHAnsi" w:hAnsiTheme="minorHAnsi" w:cstheme="minorHAnsi"/>
          <w:sz w:val="18"/>
          <w:szCs w:val="18"/>
        </w:rPr>
        <w:t>Office for Students (202</w:t>
      </w:r>
      <w:r>
        <w:rPr>
          <w:rFonts w:asciiTheme="minorHAnsi" w:hAnsiTheme="minorHAnsi" w:cstheme="minorHAnsi"/>
          <w:sz w:val="18"/>
          <w:szCs w:val="18"/>
        </w:rPr>
        <w:t>5</w:t>
      </w:r>
      <w:r w:rsidRPr="004032C1">
        <w:rPr>
          <w:rFonts w:asciiTheme="minorHAnsi" w:hAnsiTheme="minorHAnsi" w:cstheme="minorHAnsi"/>
          <w:sz w:val="18"/>
          <w:szCs w:val="18"/>
        </w:rPr>
        <w:t xml:space="preserve">). </w:t>
      </w:r>
      <w:r w:rsidRPr="008C31C0">
        <w:rPr>
          <w:rFonts w:asciiTheme="minorHAnsi" w:hAnsiTheme="minorHAnsi" w:cstheme="minorHAnsi"/>
          <w:sz w:val="18"/>
          <w:szCs w:val="18"/>
        </w:rPr>
        <w:t>OfS student debrief: How is AI changing the student experience of higher education?</w:t>
      </w:r>
      <w:r w:rsidRPr="00262B2B">
        <w:rPr>
          <w:rFonts w:asciiTheme="minorHAnsi" w:hAnsiTheme="minorHAnsi" w:cstheme="minorHAnsi"/>
          <w:sz w:val="18"/>
          <w:szCs w:val="18"/>
        </w:rPr>
        <w:t xml:space="preserve"> </w:t>
      </w:r>
      <w:r>
        <w:fldChar w:fldCharType="begin"/>
      </w:r>
      <w:r>
        <w:instrText xml:space="preserve"> HYPERLINK "https://www.youtube.com/watch?v=ZwivtDXLPnM" </w:instrText>
      </w:r>
      <w:r>
        <w:fldChar w:fldCharType="separate"/>
      </w:r>
      <w:r w:rsidRPr="005C5A0B">
        <w:rPr>
          <w:rStyle w:val="Hyperlink"/>
          <w:rFonts w:asciiTheme="minorHAnsi" w:hAnsiTheme="minorHAnsi" w:cstheme="minorHAnsi"/>
          <w:sz w:val="18"/>
          <w:szCs w:val="18"/>
        </w:rPr>
        <w:t>https://www.youtube.com/watch?v=ZwivtDXLPnM</w:t>
      </w:r>
      <w:r>
        <w:fldChar w:fldCharType="end"/>
      </w:r>
      <w:r>
        <w:rPr>
          <w:rFonts w:asciiTheme="minorHAnsi" w:hAnsiTheme="minorHAnsi" w:cstheme="minorHAnsi"/>
          <w:sz w:val="18"/>
          <w:szCs w:val="18"/>
        </w:rPr>
        <w:t xml:space="preserve"> </w:t>
      </w:r>
      <w:r w:rsidRPr="007407F4">
        <w:rPr>
          <w:rFonts w:asciiTheme="minorHAnsi" w:hAnsiTheme="minorHAnsi" w:cstheme="minorHAnsi"/>
          <w:sz w:val="18"/>
          <w:szCs w:val="18"/>
        </w:rPr>
        <w:t>[accessed April 2026]</w:t>
      </w:r>
    </w:p>
  </w:footnote>
  <w:footnote w:id="9">
    <w:p w:rsidR="009A74DC" w:rsidRPr="001407A9" w:rsidP="0045066A">
      <w:pPr>
        <w:rPr>
          <w:rFonts w:asciiTheme="minorHAnsi" w:hAnsiTheme="minorHAnsi" w:cstheme="minorHAnsi"/>
          <w:sz w:val="18"/>
          <w:szCs w:val="18"/>
        </w:rPr>
      </w:pPr>
      <w:r w:rsidRPr="001407A9">
        <w:rPr>
          <w:rStyle w:val="FootnoteReference"/>
        </w:rPr>
        <w:footnoteRef/>
      </w:r>
      <w:r w:rsidRPr="001407A9">
        <w:rPr>
          <w:rFonts w:asciiTheme="minorHAnsi" w:hAnsiTheme="minorHAnsi" w:cstheme="minorHAnsi"/>
          <w:sz w:val="18"/>
          <w:szCs w:val="18"/>
        </w:rPr>
        <w:t xml:space="preserve">UNESCO (2023). Guidance for Generative AI in Education and Research. Paris: UNESCO. Available at: </w:t>
      </w:r>
      <w:r>
        <w:fldChar w:fldCharType="begin"/>
      </w:r>
      <w:r>
        <w:instrText xml:space="preserve"> HYPERLINK "https://unesdoc.unesco.org/ark:/48223/pf0000386693" </w:instrText>
      </w:r>
      <w:r>
        <w:fldChar w:fldCharType="separate"/>
      </w:r>
      <w:r w:rsidRPr="005C5A0B">
        <w:rPr>
          <w:rStyle w:val="Hyperlink"/>
          <w:rFonts w:asciiTheme="minorHAnsi" w:hAnsiTheme="minorHAnsi" w:cstheme="minorHAnsi"/>
          <w:sz w:val="18"/>
          <w:szCs w:val="18"/>
        </w:rPr>
        <w:t>https://unesdoc.unesco.org/ark:/48223/pf0000386693</w:t>
      </w:r>
      <w:r>
        <w:fldChar w:fldCharType="end"/>
      </w:r>
      <w:r>
        <w:rPr>
          <w:rFonts w:asciiTheme="minorHAnsi" w:hAnsiTheme="minorHAnsi" w:cstheme="minorHAnsi"/>
          <w:sz w:val="18"/>
          <w:szCs w:val="18"/>
        </w:rPr>
        <w:t xml:space="preserve"> </w:t>
      </w:r>
      <w:r w:rsidRPr="001407A9">
        <w:rPr>
          <w:rFonts w:asciiTheme="minorHAnsi" w:hAnsiTheme="minorHAnsi" w:cstheme="minorHAnsi"/>
          <w:sz w:val="18"/>
          <w:szCs w:val="18"/>
        </w:rPr>
        <w:t xml:space="preserve"> [accessed April 2026].</w:t>
      </w:r>
    </w:p>
  </w:footnote>
  <w:footnote w:id="10">
    <w:p w:rsidR="009A74DC" w:rsidRPr="001407A9" w:rsidP="003C65D0">
      <w:pPr>
        <w:rPr>
          <w:rFonts w:asciiTheme="minorHAnsi" w:hAnsiTheme="minorHAnsi" w:cstheme="minorHAnsi"/>
          <w:sz w:val="18"/>
          <w:szCs w:val="18"/>
        </w:rPr>
      </w:pPr>
      <w:r w:rsidRPr="001407A9">
        <w:rPr>
          <w:rStyle w:val="FootnoteReference"/>
        </w:rPr>
        <w:footnoteRef/>
      </w:r>
      <w:r w:rsidRPr="001407A9">
        <w:rPr>
          <w:rFonts w:asciiTheme="minorHAnsi" w:hAnsiTheme="minorHAnsi" w:cstheme="minorHAnsi"/>
          <w:sz w:val="18"/>
          <w:szCs w:val="18"/>
        </w:rPr>
        <w:t>JISC (202</w:t>
      </w:r>
      <w:r>
        <w:rPr>
          <w:rFonts w:asciiTheme="minorHAnsi" w:hAnsiTheme="minorHAnsi" w:cstheme="minorHAnsi"/>
          <w:sz w:val="18"/>
          <w:szCs w:val="18"/>
        </w:rPr>
        <w:t>6</w:t>
      </w:r>
      <w:r w:rsidRPr="001407A9">
        <w:rPr>
          <w:rFonts w:asciiTheme="minorHAnsi" w:hAnsiTheme="minorHAnsi" w:cstheme="minorHAnsi"/>
          <w:sz w:val="18"/>
          <w:szCs w:val="18"/>
        </w:rPr>
        <w:t xml:space="preserve">). </w:t>
      </w:r>
      <w:r>
        <w:rPr>
          <w:rFonts w:asciiTheme="minorHAnsi" w:hAnsiTheme="minorHAnsi" w:cstheme="minorHAnsi"/>
          <w:sz w:val="18"/>
          <w:szCs w:val="18"/>
        </w:rPr>
        <w:t xml:space="preserve">A </w:t>
      </w:r>
      <w:r w:rsidRPr="001407A9">
        <w:rPr>
          <w:rFonts w:asciiTheme="minorHAnsi" w:hAnsiTheme="minorHAnsi" w:cstheme="minorHAnsi"/>
          <w:sz w:val="18"/>
          <w:szCs w:val="18"/>
        </w:rPr>
        <w:t>Generative A</w:t>
      </w:r>
      <w:r>
        <w:rPr>
          <w:rFonts w:asciiTheme="minorHAnsi" w:hAnsiTheme="minorHAnsi" w:cstheme="minorHAnsi"/>
          <w:sz w:val="18"/>
          <w:szCs w:val="18"/>
        </w:rPr>
        <w:t xml:space="preserve">I </w:t>
      </w:r>
      <w:r>
        <w:rPr>
          <w:rFonts w:asciiTheme="minorHAnsi" w:hAnsiTheme="minorHAnsi" w:cstheme="minorHAnsi"/>
          <w:sz w:val="18"/>
          <w:szCs w:val="18"/>
        </w:rPr>
        <w:t xml:space="preserve">Primer </w:t>
      </w:r>
      <w:r w:rsidRPr="001407A9">
        <w:rPr>
          <w:rFonts w:asciiTheme="minorHAnsi" w:hAnsiTheme="minorHAnsi" w:cstheme="minorHAnsi"/>
          <w:sz w:val="18"/>
          <w:szCs w:val="18"/>
        </w:rPr>
        <w:t xml:space="preserve"> Available</w:t>
      </w:r>
      <w:r w:rsidRPr="001407A9">
        <w:rPr>
          <w:rFonts w:asciiTheme="minorHAnsi" w:hAnsiTheme="minorHAnsi" w:cstheme="minorHAnsi"/>
          <w:sz w:val="18"/>
          <w:szCs w:val="18"/>
        </w:rPr>
        <w:t xml:space="preserve"> at: </w:t>
      </w:r>
      <w:r>
        <w:fldChar w:fldCharType="begin"/>
      </w:r>
      <w:r>
        <w:instrText xml:space="preserve"> HYPERLINK "https://nationalcentreforai.jiscinvolve.org/wp/2026/01/27/generative-ai-primer/" </w:instrText>
      </w:r>
      <w:r>
        <w:fldChar w:fldCharType="separate"/>
      </w:r>
      <w:r w:rsidRPr="005C5A0B">
        <w:rPr>
          <w:rStyle w:val="Hyperlink"/>
          <w:rFonts w:asciiTheme="minorHAnsi" w:hAnsiTheme="minorHAnsi" w:cstheme="minorHAnsi"/>
          <w:sz w:val="18"/>
          <w:szCs w:val="18"/>
        </w:rPr>
        <w:t>https://nationalcentreforai.jiscinvolve.org/wp/2026/01/27/generative-ai-primer/</w:t>
      </w:r>
      <w:r>
        <w:fldChar w:fldCharType="end"/>
      </w:r>
      <w:r>
        <w:rPr>
          <w:rFonts w:asciiTheme="minorHAnsi" w:hAnsiTheme="minorHAnsi" w:cstheme="minorHAnsi"/>
          <w:sz w:val="18"/>
          <w:szCs w:val="18"/>
        </w:rPr>
        <w:t xml:space="preserve"> </w:t>
      </w:r>
      <w:r>
        <w:rPr>
          <w:rFonts w:asciiTheme="minorHAnsi" w:hAnsiTheme="minorHAnsi" w:cstheme="minorHAnsi"/>
          <w:sz w:val="18"/>
          <w:szCs w:val="18"/>
        </w:rPr>
        <w:t xml:space="preserve"> </w:t>
      </w:r>
      <w:r w:rsidRPr="001407A9">
        <w:rPr>
          <w:rFonts w:asciiTheme="minorHAnsi" w:hAnsiTheme="minorHAnsi" w:cstheme="minorHAnsi"/>
          <w:sz w:val="18"/>
          <w:szCs w:val="18"/>
        </w:rPr>
        <w:t xml:space="preserve"> [</w:t>
      </w:r>
      <w:r w:rsidRPr="001407A9">
        <w:rPr>
          <w:rFonts w:asciiTheme="minorHAnsi" w:hAnsiTheme="minorHAnsi" w:cstheme="minorHAnsi"/>
          <w:sz w:val="18"/>
          <w:szCs w:val="18"/>
        </w:rPr>
        <w:t>accessed April 2026].</w:t>
      </w:r>
    </w:p>
    <w:p w:rsidR="009A74DC" w:rsidP="0045066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CF6AC9"/>
    <w:multiLevelType w:val="multilevel"/>
    <w:tmpl w:val="D19E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1E72B9"/>
    <w:multiLevelType w:val="hybridMultilevel"/>
    <w:tmpl w:val="024C7E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066A"/>
    <w:pPr>
      <w:spacing w:after="0" w:line="240" w:lineRule="auto"/>
    </w:pPr>
    <w:rPr>
      <w:rFonts w:ascii="Arial" w:eastAsia="Arial" w:hAnsi="Arial" w:cs="Arial"/>
      <w:lang w:eastAsia="en-GB"/>
    </w:rPr>
  </w:style>
  <w:style w:type="paragraph" w:styleId="Heading1">
    <w:name w:val="heading 1"/>
    <w:basedOn w:val="Normal"/>
    <w:next w:val="Normal"/>
    <w:link w:val="Heading1Char"/>
    <w:uiPriority w:val="9"/>
    <w:qFormat/>
    <w:rsid w:val="00DF5A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F5A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5A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5A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5A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5A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A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A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A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A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5A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5A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5A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5A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5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A44"/>
    <w:rPr>
      <w:rFonts w:eastAsiaTheme="majorEastAsia" w:cstheme="majorBidi"/>
      <w:color w:val="272727" w:themeColor="text1" w:themeTint="D8"/>
    </w:rPr>
  </w:style>
  <w:style w:type="paragraph" w:styleId="Title">
    <w:name w:val="Title"/>
    <w:basedOn w:val="Normal"/>
    <w:next w:val="Normal"/>
    <w:link w:val="TitleChar"/>
    <w:uiPriority w:val="10"/>
    <w:qFormat/>
    <w:rsid w:val="00DF5A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A44"/>
    <w:pPr>
      <w:spacing w:before="160"/>
      <w:jc w:val="center"/>
    </w:pPr>
    <w:rPr>
      <w:i/>
      <w:iCs/>
      <w:color w:val="404040" w:themeColor="text1" w:themeTint="BF"/>
    </w:rPr>
  </w:style>
  <w:style w:type="character" w:customStyle="1" w:styleId="QuoteChar">
    <w:name w:val="Quote Char"/>
    <w:basedOn w:val="DefaultParagraphFont"/>
    <w:link w:val="Quote"/>
    <w:uiPriority w:val="29"/>
    <w:rsid w:val="00DF5A44"/>
    <w:rPr>
      <w:i/>
      <w:iCs/>
      <w:color w:val="404040" w:themeColor="text1" w:themeTint="BF"/>
    </w:rPr>
  </w:style>
  <w:style w:type="paragraph" w:styleId="ListParagraph">
    <w:name w:val="List Paragraph"/>
    <w:basedOn w:val="Normal"/>
    <w:link w:val="ListParagraphChar"/>
    <w:qFormat/>
    <w:rsid w:val="00DF5A44"/>
    <w:pPr>
      <w:ind w:left="720"/>
      <w:contextualSpacing/>
    </w:pPr>
  </w:style>
  <w:style w:type="character" w:styleId="IntenseEmphasis">
    <w:name w:val="Intense Emphasis"/>
    <w:basedOn w:val="DefaultParagraphFont"/>
    <w:uiPriority w:val="21"/>
    <w:qFormat/>
    <w:rsid w:val="00DF5A44"/>
    <w:rPr>
      <w:i/>
      <w:iCs/>
      <w:color w:val="2F5496" w:themeColor="accent1" w:themeShade="BF"/>
    </w:rPr>
  </w:style>
  <w:style w:type="paragraph" w:styleId="IntenseQuote">
    <w:name w:val="Intense Quote"/>
    <w:basedOn w:val="Normal"/>
    <w:next w:val="Normal"/>
    <w:link w:val="IntenseQuoteChar"/>
    <w:uiPriority w:val="30"/>
    <w:qFormat/>
    <w:rsid w:val="00DF5A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5A44"/>
    <w:rPr>
      <w:i/>
      <w:iCs/>
      <w:color w:val="2F5496" w:themeColor="accent1" w:themeShade="BF"/>
    </w:rPr>
  </w:style>
  <w:style w:type="character" w:styleId="IntenseReference">
    <w:name w:val="Intense Reference"/>
    <w:basedOn w:val="DefaultParagraphFont"/>
    <w:uiPriority w:val="32"/>
    <w:qFormat/>
    <w:rsid w:val="00DF5A44"/>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DE1744"/>
  </w:style>
  <w:style w:type="character" w:styleId="Hyperlink">
    <w:name w:val="Hyperlink"/>
    <w:basedOn w:val="DefaultParagraphFont"/>
    <w:uiPriority w:val="99"/>
    <w:unhideWhenUsed/>
    <w:rsid w:val="00F90273"/>
    <w:rPr>
      <w:color w:val="0563C1" w:themeColor="hyperlink"/>
      <w:u w:val="single"/>
    </w:rPr>
  </w:style>
  <w:style w:type="character" w:customStyle="1" w:styleId="UnresolvedMention1">
    <w:name w:val="Unresolved Mention1"/>
    <w:basedOn w:val="DefaultParagraphFont"/>
    <w:uiPriority w:val="99"/>
    <w:semiHidden/>
    <w:unhideWhenUsed/>
    <w:rsid w:val="00F90273"/>
    <w:rPr>
      <w:color w:val="605E5C"/>
      <w:shd w:val="clear" w:color="auto" w:fill="E1DFDD"/>
    </w:rPr>
  </w:style>
  <w:style w:type="character" w:styleId="FootnoteReference">
    <w:name w:val="footnote reference"/>
    <w:uiPriority w:val="99"/>
    <w:semiHidden/>
    <w:unhideWhenUsed/>
    <w:rsid w:val="0045066A"/>
    <w:rPr>
      <w:vertAlign w:val="superscript"/>
    </w:rPr>
  </w:style>
  <w:style w:type="paragraph" w:styleId="Header">
    <w:name w:val="header"/>
    <w:basedOn w:val="Normal"/>
    <w:link w:val="HeaderChar"/>
    <w:uiPriority w:val="99"/>
    <w:unhideWhenUsed/>
    <w:rsid w:val="00025972"/>
    <w:pPr>
      <w:tabs>
        <w:tab w:val="center" w:pos="4513"/>
        <w:tab w:val="right" w:pos="9026"/>
      </w:tabs>
    </w:pPr>
  </w:style>
  <w:style w:type="character" w:customStyle="1" w:styleId="HeaderChar">
    <w:name w:val="Header Char"/>
    <w:basedOn w:val="DefaultParagraphFont"/>
    <w:link w:val="Header"/>
    <w:uiPriority w:val="99"/>
    <w:rsid w:val="00025972"/>
    <w:rPr>
      <w:rFonts w:ascii="Arial" w:eastAsia="Arial" w:hAnsi="Arial" w:cs="Arial"/>
      <w:lang w:eastAsia="en-GB"/>
    </w:rPr>
  </w:style>
  <w:style w:type="paragraph" w:styleId="Footer">
    <w:name w:val="footer"/>
    <w:basedOn w:val="Normal"/>
    <w:link w:val="FooterChar"/>
    <w:uiPriority w:val="99"/>
    <w:unhideWhenUsed/>
    <w:rsid w:val="00025972"/>
    <w:pPr>
      <w:tabs>
        <w:tab w:val="center" w:pos="4513"/>
        <w:tab w:val="right" w:pos="9026"/>
      </w:tabs>
    </w:pPr>
  </w:style>
  <w:style w:type="character" w:customStyle="1" w:styleId="FooterChar">
    <w:name w:val="Footer Char"/>
    <w:basedOn w:val="DefaultParagraphFont"/>
    <w:link w:val="Footer"/>
    <w:uiPriority w:val="99"/>
    <w:rsid w:val="00025972"/>
    <w:rPr>
      <w:rFonts w:ascii="Arial" w:eastAsia="Arial" w:hAnsi="Arial" w:cs="Arial"/>
      <w:lang w:eastAsia="en-GB"/>
    </w:rPr>
  </w:style>
  <w:style w:type="paragraph" w:styleId="NormalWeb">
    <w:name w:val="Normal (Web)"/>
    <w:basedOn w:val="Normal"/>
    <w:uiPriority w:val="99"/>
    <w:semiHidden/>
    <w:unhideWhenUsed/>
    <w:rsid w:val="00512E8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AIE0131</dc:title>
  <cp:revision>0</cp:revision>
</cp:coreProperties>
</file>