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10B76" w:rsidRPr="00567EE4" w:rsidP="00CD1148">
      <w:pPr>
        <w:jc w:val="center"/>
        <w:rPr>
          <w:i/>
          <w:iCs/>
        </w:rPr>
      </w:pPr>
      <w:bookmarkStart w:id="0" w:name="_Toc486521454"/>
      <w:r w:rsidRPr="0008535F">
        <w:rPr>
          <w:i/>
          <w:iCs/>
        </w:rPr>
        <w:t xml:space="preserve">Written evidence submitted by RAND Europe on </w:t>
      </w:r>
      <w:r>
        <w:rPr>
          <w:i/>
          <w:iCs/>
        </w:rPr>
        <w:t>c</w:t>
      </w:r>
      <w:r w:rsidRPr="00484E21">
        <w:rPr>
          <w:i/>
          <w:iCs/>
        </w:rPr>
        <w:t>ritical minerals</w:t>
      </w:r>
    </w:p>
    <w:p w:rsidR="00310B76" w:rsidRPr="00567EE4" w:rsidP="00CD1148">
      <w:pPr>
        <w:jc w:val="center"/>
      </w:pPr>
      <w:r w:rsidRPr="00567EE4">
        <w:br/>
        <w:t xml:space="preserve">Written evidence </w:t>
      </w:r>
      <w:r w:rsidRPr="00EE5F9B">
        <w:t xml:space="preserve">submitted </w:t>
      </w:r>
      <w:r w:rsidRPr="00484E21">
        <w:t>by</w:t>
      </w:r>
      <w:r w:rsidRPr="00484E21">
        <w:t xml:space="preserve"> </w:t>
      </w:r>
      <w:r w:rsidRPr="00170A5D">
        <w:t>Sarah Winder</w:t>
      </w:r>
      <w:r>
        <w:t xml:space="preserve">, </w:t>
      </w:r>
      <w:r w:rsidRPr="00C5142B">
        <w:t>Maria Chiara</w:t>
      </w:r>
      <w:r w:rsidRPr="00484E21">
        <w:t xml:space="preserve"> Aquilino</w:t>
      </w:r>
      <w:r w:rsidRPr="008F2B91">
        <w:t xml:space="preserve"> </w:t>
      </w:r>
      <w:r>
        <w:t xml:space="preserve">&amp; </w:t>
      </w:r>
      <w:r w:rsidRPr="00484E21">
        <w:t>Conlan Ellis</w:t>
      </w:r>
      <w:r>
        <w:rPr>
          <w:rStyle w:val="FootnoteReference"/>
        </w:rPr>
        <w:footnoteReference w:id="2"/>
      </w:r>
      <w:r w:rsidRPr="00567EE4">
        <w:br/>
        <w:t>RAND Europe</w:t>
      </w:r>
      <w:r>
        <w:rPr>
          <w:rStyle w:val="FootnoteReference"/>
        </w:rPr>
        <w:footnoteReference w:id="3"/>
      </w:r>
    </w:p>
    <w:p w:rsidR="00310B76" w:rsidRPr="00567EE4" w:rsidP="00CD1148">
      <w:pPr>
        <w:jc w:val="center"/>
      </w:pPr>
      <w:r w:rsidRPr="00567EE4">
        <w:br/>
        <w:t xml:space="preserve">Prepared for </w:t>
      </w:r>
      <w:r w:rsidRPr="00567EE4">
        <w:t xml:space="preserve">the </w:t>
      </w:r>
      <w:r w:rsidRPr="00567EE4">
        <w:t>Business and Trade Sub</w:t>
      </w:r>
      <w:r w:rsidRPr="00567EE4">
        <w:rPr>
          <w:rFonts w:ascii="Cambria Math" w:hAnsi="Cambria Math" w:cs="Cambria Math"/>
        </w:rPr>
        <w:t>‑</w:t>
      </w:r>
      <w:r w:rsidRPr="00567EE4">
        <w:t>Committee on Economic Security, Arms and Export Controls</w:t>
      </w:r>
    </w:p>
    <w:p w:rsidR="00310B76" w:rsidRPr="00567EE4" w:rsidP="00CD1148">
      <w:pPr>
        <w:jc w:val="center"/>
      </w:pPr>
      <w:r>
        <w:t>10 April 2026</w:t>
      </w:r>
    </w:p>
    <w:p w:rsidR="00310B76" w:rsidRPr="00567EE4" w:rsidP="00CD1148">
      <w:pPr>
        <w:jc w:val="center"/>
      </w:pPr>
    </w:p>
    <w:p w:rsidR="00310B76" w:rsidRPr="00567EE4" w:rsidP="00CD1148">
      <w:r w:rsidRPr="00567EE4">
        <w:t>This document provides RAND Europe’s submission of evidence in relation to</w:t>
      </w:r>
      <w:r w:rsidRPr="00567EE4">
        <w:t xml:space="preserve"> the </w:t>
      </w:r>
      <w:r w:rsidRPr="00567EE4">
        <w:t>Business and Trade Sub</w:t>
      </w:r>
      <w:r w:rsidRPr="00567EE4">
        <w:rPr>
          <w:rFonts w:ascii="Cambria Math" w:hAnsi="Cambria Math" w:cs="Cambria Math"/>
        </w:rPr>
        <w:t>‑</w:t>
      </w:r>
      <w:r w:rsidRPr="00567EE4">
        <w:t>Committee on Economic Security, Arms and Export Controls.</w:t>
      </w:r>
      <w:r>
        <w:t xml:space="preserve"> </w:t>
      </w:r>
      <w:r w:rsidRPr="00567EE4">
        <w:t>Th</w:t>
      </w:r>
      <w:r>
        <w:t xml:space="preserve">e </w:t>
      </w:r>
      <w:r w:rsidRPr="00567EE4">
        <w:t xml:space="preserve">document is structured to </w:t>
      </w:r>
      <w:r>
        <w:t xml:space="preserve">answer two questions </w:t>
      </w:r>
      <w:r w:rsidRPr="00567EE4">
        <w:t xml:space="preserve">in the </w:t>
      </w:r>
      <w:r w:rsidRPr="00567EE4">
        <w:t>committee’s</w:t>
      </w:r>
      <w:r w:rsidRPr="00567EE4">
        <w:t xml:space="preserve"> </w:t>
      </w:r>
      <w:r w:rsidRPr="00567EE4">
        <w:t>call for evidence</w:t>
      </w:r>
      <w:r>
        <w:t>.</w:t>
      </w:r>
      <w:r>
        <w:rPr>
          <w:rStyle w:val="FootnoteReference"/>
        </w:rPr>
        <w:footnoteReference w:id="4"/>
      </w:r>
    </w:p>
    <w:p w:rsidR="00310B76" w:rsidP="00086F71"/>
    <w:p w:rsidR="00310B76" w:rsidRPr="000677C1" w:rsidP="00B571B9">
      <w:pPr>
        <w:rPr>
          <w:highlight w:val="yellow"/>
        </w:rPr>
      </w:pPr>
      <w:r w:rsidRPr="00FA5EBB">
        <w:t>This document draws upon previous RAND research on critical minerals and supply chains. References are provided in the document.</w:t>
      </w:r>
    </w:p>
    <w:p w:rsidR="00310B76" w:rsidRPr="00567EE4" w:rsidP="00391A9C">
      <w:pPr>
        <w:pStyle w:val="Heading1"/>
        <w:pBdr>
          <w:bottom w:val="single" w:sz="4" w:space="2" w:color="auto"/>
        </w:pBdr>
      </w:pPr>
      <w:bookmarkEnd w:id="0"/>
      <w:r w:rsidRPr="00567EE4">
        <w:t>Which critical minerals are the most important to the UK’s national priorities today? Where are the vulnerabilities in the supply chain?</w:t>
      </w:r>
    </w:p>
    <w:p w:rsidR="00310B76" w:rsidRPr="00567EE4" w:rsidP="006B5550">
      <w:pPr>
        <w:pStyle w:val="Boxheading"/>
      </w:pPr>
    </w:p>
    <w:p w:rsidR="00310B76" w:rsidRPr="00567EE4" w:rsidP="006B5550">
      <w:pPr>
        <w:rPr>
          <w:highlight w:val="lightGray"/>
        </w:rPr>
      </w:pPr>
    </w:p>
    <w:p w:rsidR="00310B76" w:rsidP="00235151">
      <w:r w:rsidRPr="00567EE4">
        <w:rPr>
          <w:b/>
        </w:rPr>
        <w:t xml:space="preserve">Critical minerals are </w:t>
      </w:r>
      <w:r w:rsidRPr="00567EE4">
        <w:rPr>
          <w:b/>
        </w:rPr>
        <w:t xml:space="preserve">required across </w:t>
      </w:r>
      <w:r>
        <w:rPr>
          <w:b/>
        </w:rPr>
        <w:t xml:space="preserve">many </w:t>
      </w:r>
      <w:r w:rsidRPr="00567EE4">
        <w:rPr>
          <w:b/>
        </w:rPr>
        <w:t>supply chains</w:t>
      </w:r>
      <w:r w:rsidRPr="00567EE4">
        <w:rPr>
          <w:b/>
        </w:rPr>
        <w:t xml:space="preserve"> </w:t>
      </w:r>
      <w:r w:rsidRPr="00567EE4">
        <w:rPr>
          <w:b/>
        </w:rPr>
        <w:t xml:space="preserve">that are </w:t>
      </w:r>
      <w:r w:rsidRPr="00567EE4">
        <w:rPr>
          <w:b/>
        </w:rPr>
        <w:t xml:space="preserve">essential </w:t>
      </w:r>
      <w:r w:rsidRPr="00567EE4">
        <w:rPr>
          <w:b/>
        </w:rPr>
        <w:t xml:space="preserve">for the UK to </w:t>
      </w:r>
      <w:r w:rsidRPr="00567EE4">
        <w:rPr>
          <w:b/>
        </w:rPr>
        <w:t>f</w:t>
      </w:r>
      <w:r>
        <w:rPr>
          <w:b/>
        </w:rPr>
        <w:t>ulfil</w:t>
      </w:r>
      <w:r w:rsidRPr="00567EE4">
        <w:rPr>
          <w:b/>
        </w:rPr>
        <w:t xml:space="preserve"> </w:t>
      </w:r>
      <w:r>
        <w:rPr>
          <w:b/>
        </w:rPr>
        <w:t xml:space="preserve">its </w:t>
      </w:r>
      <w:r w:rsidRPr="00567EE4">
        <w:rPr>
          <w:b/>
        </w:rPr>
        <w:t xml:space="preserve">priorities </w:t>
      </w:r>
      <w:r w:rsidRPr="00567EE4">
        <w:rPr>
          <w:b/>
        </w:rPr>
        <w:t>under th</w:t>
      </w:r>
      <w:r w:rsidRPr="00567EE4">
        <w:rPr>
          <w:b/>
        </w:rPr>
        <w:t>e</w:t>
      </w:r>
      <w:r w:rsidRPr="00567EE4">
        <w:rPr>
          <w:b/>
        </w:rPr>
        <w:t xml:space="preserve"> </w:t>
      </w:r>
      <w:r w:rsidRPr="00567EE4">
        <w:rPr>
          <w:b/>
        </w:rPr>
        <w:t>2025 Strategic Defence Review</w:t>
      </w:r>
      <w:r w:rsidRPr="00567EE4">
        <w:rPr>
          <w:b/>
        </w:rPr>
        <w:t xml:space="preserve"> and </w:t>
      </w:r>
      <w:r w:rsidRPr="00567EE4">
        <w:rPr>
          <w:b/>
        </w:rPr>
        <w:t>National</w:t>
      </w:r>
      <w:r w:rsidRPr="00567EE4">
        <w:rPr>
          <w:b/>
        </w:rPr>
        <w:t xml:space="preserve"> Security Str</w:t>
      </w:r>
      <w:r w:rsidRPr="00567EE4">
        <w:rPr>
          <w:b/>
        </w:rPr>
        <w:t>ategy</w:t>
      </w:r>
      <w:r w:rsidRPr="00567EE4">
        <w:rPr>
          <w:b/>
        </w:rPr>
        <w:t>.</w:t>
      </w:r>
      <w:r>
        <w:rPr>
          <w:rStyle w:val="FootnoteReference"/>
          <w:b/>
        </w:rPr>
        <w:footnoteReference w:id="5"/>
      </w:r>
      <w:r w:rsidRPr="00567EE4">
        <w:t xml:space="preserve"> </w:t>
      </w:r>
      <w:r>
        <w:t xml:space="preserve">In particular, </w:t>
      </w:r>
      <w:r>
        <w:t>c</w:t>
      </w:r>
      <w:r w:rsidRPr="00567EE4">
        <w:t xml:space="preserve">ritical minerals will be </w:t>
      </w:r>
      <w:r w:rsidRPr="00567EE4">
        <w:t>necessary</w:t>
      </w:r>
      <w:r w:rsidRPr="00567EE4">
        <w:t xml:space="preserve"> </w:t>
      </w:r>
      <w:r w:rsidRPr="00567EE4">
        <w:t>for</w:t>
      </w:r>
      <w:r w:rsidRPr="00567EE4">
        <w:t xml:space="preserve"> the </w:t>
      </w:r>
      <w:r w:rsidRPr="00567EE4">
        <w:t>U</w:t>
      </w:r>
      <w:r>
        <w:t>K</w:t>
      </w:r>
      <w:r w:rsidRPr="00567EE4">
        <w:t xml:space="preserve"> </w:t>
      </w:r>
      <w:r w:rsidRPr="00567EE4">
        <w:t xml:space="preserve">to </w:t>
      </w:r>
      <w:r w:rsidRPr="00567EE4">
        <w:t>deliver on its aims of leading within</w:t>
      </w:r>
      <w:r w:rsidRPr="00567EE4">
        <w:t xml:space="preserve"> NATO and </w:t>
      </w:r>
      <w:r w:rsidRPr="00567EE4">
        <w:t>t</w:t>
      </w:r>
      <w:r w:rsidRPr="00567EE4">
        <w:t>ak</w:t>
      </w:r>
      <w:r w:rsidRPr="00567EE4">
        <w:t>ing</w:t>
      </w:r>
      <w:r w:rsidRPr="00567EE4">
        <w:t xml:space="preserve"> on </w:t>
      </w:r>
      <w:r w:rsidRPr="00567EE4">
        <w:t xml:space="preserve">greater responsibility </w:t>
      </w:r>
      <w:r w:rsidRPr="00567EE4">
        <w:t xml:space="preserve">for the UK’s </w:t>
      </w:r>
      <w:r w:rsidRPr="00567EE4">
        <w:t xml:space="preserve">national interests and </w:t>
      </w:r>
      <w:r w:rsidRPr="00567EE4">
        <w:t>self-</w:t>
      </w:r>
      <w:r w:rsidRPr="00567EE4">
        <w:t>defence.</w:t>
      </w:r>
      <w:r>
        <w:rPr>
          <w:rStyle w:val="FootnoteReference"/>
        </w:rPr>
        <w:footnoteReference w:id="6"/>
      </w:r>
      <w:r>
        <w:t xml:space="preserve"> </w:t>
      </w:r>
      <w:r>
        <w:t>C</w:t>
      </w:r>
      <w:r w:rsidRPr="00893632">
        <w:t xml:space="preserve">ritical minerals are </w:t>
      </w:r>
      <w:r>
        <w:t>necessary</w:t>
      </w:r>
      <w:r>
        <w:t xml:space="preserve"> </w:t>
      </w:r>
      <w:r>
        <w:t xml:space="preserve">because they are </w:t>
      </w:r>
      <w:r w:rsidRPr="00893632">
        <w:t xml:space="preserve">essential </w:t>
      </w:r>
      <w:r>
        <w:t xml:space="preserve">components of </w:t>
      </w:r>
      <w:r w:rsidRPr="00893632">
        <w:t>many current and future military equipment</w:t>
      </w:r>
      <w:r>
        <w:t xml:space="preserve"> that the UK </w:t>
      </w:r>
      <w:r>
        <w:t xml:space="preserve">may </w:t>
      </w:r>
      <w:r>
        <w:t xml:space="preserve">need to meet </w:t>
      </w:r>
      <w:r>
        <w:t>these strategies</w:t>
      </w:r>
      <w:r>
        <w:t>.</w:t>
      </w:r>
    </w:p>
    <w:p w:rsidR="00310B76" w:rsidRPr="00484E21" w:rsidP="00235151">
      <w:r>
        <w:t>To</w:t>
      </w:r>
      <w:r>
        <w:t xml:space="preserve"> deliver on its defence and security priorities, </w:t>
      </w:r>
      <w:r>
        <w:t xml:space="preserve">the UK </w:t>
      </w:r>
      <w:r>
        <w:t>require</w:t>
      </w:r>
      <w:r>
        <w:t>s</w:t>
      </w:r>
      <w:r>
        <w:t xml:space="preserve"> a secure supply of </w:t>
      </w:r>
      <w:r>
        <w:t>seve</w:t>
      </w:r>
      <w:r>
        <w:t>ral</w:t>
      </w:r>
      <w:r>
        <w:t xml:space="preserve"> </w:t>
      </w:r>
      <w:r>
        <w:t xml:space="preserve">critical minerals that </w:t>
      </w:r>
      <w:r>
        <w:t xml:space="preserve">underpin </w:t>
      </w:r>
      <w:r w:rsidRPr="00567EE4">
        <w:t xml:space="preserve">a </w:t>
      </w:r>
      <w:r>
        <w:t>wide</w:t>
      </w:r>
      <w:r w:rsidRPr="00567EE4">
        <w:t xml:space="preserve"> range o</w:t>
      </w:r>
      <w:r w:rsidRPr="00567EE4">
        <w:t>f</w:t>
      </w:r>
      <w:r w:rsidRPr="00567EE4">
        <w:t xml:space="preserve"> </w:t>
      </w:r>
      <w:r>
        <w:t>components</w:t>
      </w:r>
      <w:r w:rsidRPr="00484E21">
        <w:t xml:space="preserve"> </w:t>
      </w:r>
      <w:r w:rsidRPr="00484E21">
        <w:t xml:space="preserve">within </w:t>
      </w:r>
      <w:r w:rsidRPr="00484E21">
        <w:t xml:space="preserve">defence </w:t>
      </w:r>
      <w:r w:rsidRPr="00484E21">
        <w:t>supply chains</w:t>
      </w:r>
      <w:r>
        <w:t xml:space="preserve">. </w:t>
      </w:r>
      <w:r>
        <w:t xml:space="preserve">RAND research </w:t>
      </w:r>
      <w:r>
        <w:t>highlights</w:t>
      </w:r>
      <w:r>
        <w:t xml:space="preserve"> that several of</w:t>
      </w:r>
      <w:r>
        <w:t xml:space="preserve"> the</w:t>
      </w:r>
      <w:r>
        <w:t xml:space="preserve"> c</w:t>
      </w:r>
      <w:r w:rsidRPr="00484E21">
        <w:t xml:space="preserve">ritical </w:t>
      </w:r>
      <w:r w:rsidRPr="00484E21">
        <w:t xml:space="preserve">minerals </w:t>
      </w:r>
      <w:r>
        <w:t xml:space="preserve">listed </w:t>
      </w:r>
      <w:r>
        <w:t xml:space="preserve">in the UK’s critical mineral list </w:t>
      </w:r>
      <w:r>
        <w:t>(202</w:t>
      </w:r>
      <w:r>
        <w:t>6</w:t>
      </w:r>
      <w:r>
        <w:t xml:space="preserve">) </w:t>
      </w:r>
      <w:r>
        <w:t xml:space="preserve">are </w:t>
      </w:r>
      <w:r w:rsidRPr="00484E21">
        <w:t>necessary component</w:t>
      </w:r>
      <w:r w:rsidRPr="00484E21">
        <w:t xml:space="preserve">s </w:t>
      </w:r>
      <w:r>
        <w:t>for military technologies,</w:t>
      </w:r>
      <w:r>
        <w:t xml:space="preserve"> yet have risks within their supply chain,</w:t>
      </w:r>
      <w:r>
        <w:t xml:space="preserve"> </w:t>
      </w:r>
      <w:r w:rsidRPr="00484E21">
        <w:t>for instance</w:t>
      </w:r>
      <w:r w:rsidRPr="00484E21">
        <w:t>:</w:t>
      </w:r>
    </w:p>
    <w:p w:rsidR="00310B76" w:rsidRPr="00484E21" w:rsidP="009048D9">
      <w:pPr>
        <w:pStyle w:val="ListParagraph"/>
        <w:numPr>
          <w:ilvl w:val="0"/>
          <w:numId w:val="41"/>
        </w:numPr>
      </w:pPr>
      <w:r>
        <w:rPr>
          <w:b/>
        </w:rPr>
        <w:t>C</w:t>
      </w:r>
      <w:r w:rsidRPr="00484E21">
        <w:rPr>
          <w:b/>
        </w:rPr>
        <w:t xml:space="preserve">obalt </w:t>
      </w:r>
      <w:r w:rsidRPr="00484E21">
        <w:t xml:space="preserve">is </w:t>
      </w:r>
      <w:r w:rsidRPr="00484E21">
        <w:t>essential</w:t>
      </w:r>
      <w:r w:rsidRPr="00484E21">
        <w:t xml:space="preserve"> for</w:t>
      </w:r>
      <w:r w:rsidRPr="00484E21">
        <w:t xml:space="preserve"> </w:t>
      </w:r>
      <w:r w:rsidRPr="00484E21">
        <w:t>alloys used within gas turbine jet engines</w:t>
      </w:r>
      <w:r w:rsidRPr="00484E21">
        <w:t xml:space="preserve">, and are used </w:t>
      </w:r>
      <w:r w:rsidRPr="00484E21">
        <w:t>within F-35 engines</w:t>
      </w:r>
      <w:r>
        <w:t>.</w:t>
      </w:r>
      <w:r>
        <w:rPr>
          <w:vertAlign w:val="superscript"/>
        </w:rPr>
        <w:footnoteReference w:id="7"/>
      </w:r>
      <w:r>
        <w:t xml:space="preserve"> </w:t>
      </w:r>
      <w:r>
        <w:t>However, t</w:t>
      </w:r>
      <w:r>
        <w:t xml:space="preserve">he UK is </w:t>
      </w:r>
      <w:r>
        <w:t>highly dependent on single countr</w:t>
      </w:r>
      <w:r>
        <w:t>ies</w:t>
      </w:r>
      <w:r>
        <w:t xml:space="preserve">, as mined cobalt is primarily from the DRC and refined </w:t>
      </w:r>
      <w:r>
        <w:t xml:space="preserve">cobalt is </w:t>
      </w:r>
      <w:r>
        <w:t>from China</w:t>
      </w:r>
      <w:r>
        <w:t>.</w:t>
      </w:r>
      <w:r>
        <w:rPr>
          <w:rStyle w:val="FootnoteReference"/>
        </w:rPr>
        <w:footnoteReference w:id="8"/>
      </w:r>
      <w:r>
        <w:t xml:space="preserve">  </w:t>
      </w:r>
      <w:r w:rsidRPr="00484E21">
        <w:t xml:space="preserve"> </w:t>
      </w:r>
    </w:p>
    <w:p w:rsidR="00310B76" w:rsidRPr="00484E21" w:rsidP="001342DF">
      <w:pPr>
        <w:pStyle w:val="ListParagraph"/>
        <w:numPr>
          <w:ilvl w:val="0"/>
          <w:numId w:val="41"/>
        </w:numPr>
      </w:pPr>
      <w:r>
        <w:rPr>
          <w:b/>
          <w:bCs/>
        </w:rPr>
        <w:t>I</w:t>
      </w:r>
      <w:r w:rsidRPr="00484E21">
        <w:rPr>
          <w:b/>
          <w:bCs/>
        </w:rPr>
        <w:t>ndium, gallium, and germanium</w:t>
      </w:r>
      <w:r w:rsidRPr="00484E21">
        <w:t xml:space="preserve"> are </w:t>
      </w:r>
      <w:r w:rsidRPr="00484E21">
        <w:t>key inputs for</w:t>
      </w:r>
      <w:r w:rsidRPr="00484E21">
        <w:t xml:space="preserve"> the</w:t>
      </w:r>
      <w:r w:rsidRPr="00484E21">
        <w:t xml:space="preserve"> semiconductors </w:t>
      </w:r>
      <w:r w:rsidRPr="00484E21">
        <w:t xml:space="preserve">used </w:t>
      </w:r>
      <w:r w:rsidRPr="00484E21">
        <w:t>in</w:t>
      </w:r>
      <w:r w:rsidRPr="00484E21">
        <w:t xml:space="preserve"> advanced</w:t>
      </w:r>
      <w:r w:rsidRPr="00484E21">
        <w:t xml:space="preserve"> communication systems</w:t>
      </w:r>
      <w:r>
        <w:t>.</w:t>
      </w:r>
      <w:r>
        <w:rPr>
          <w:vertAlign w:val="superscript"/>
        </w:rPr>
        <w:footnoteReference w:id="9"/>
      </w:r>
      <w:r>
        <w:t xml:space="preserve"> For all three minerals, the UK’s supply chain is particularly at risk because it is highly reliant on China</w:t>
      </w:r>
      <w:r>
        <w:t>.</w:t>
      </w:r>
      <w:r>
        <w:rPr>
          <w:rStyle w:val="FootnoteReference"/>
        </w:rPr>
        <w:footnoteReference w:id="10"/>
      </w:r>
    </w:p>
    <w:p w:rsidR="00310B76" w:rsidRPr="00484E21" w:rsidP="001342DF">
      <w:pPr>
        <w:pStyle w:val="ListParagraph"/>
        <w:numPr>
          <w:ilvl w:val="0"/>
          <w:numId w:val="41"/>
        </w:numPr>
      </w:pPr>
      <w:r>
        <w:rPr>
          <w:b/>
          <w:bCs/>
        </w:rPr>
        <w:t>G</w:t>
      </w:r>
      <w:r w:rsidRPr="00484E21">
        <w:rPr>
          <w:b/>
          <w:bCs/>
        </w:rPr>
        <w:t xml:space="preserve">allium </w:t>
      </w:r>
      <w:r w:rsidRPr="00484E21">
        <w:t xml:space="preserve">specifically </w:t>
      </w:r>
      <w:r w:rsidRPr="00484E21">
        <w:t xml:space="preserve">is used within </w:t>
      </w:r>
      <w:r w:rsidRPr="00484E21">
        <w:t>sensors and communication equipment including GPS,</w:t>
      </w:r>
      <w:r w:rsidRPr="00484E21">
        <w:t xml:space="preserve"> radar systems, </w:t>
      </w:r>
      <w:r w:rsidRPr="00484E21">
        <w:t>precision</w:t>
      </w:r>
      <w:r>
        <w:t>-</w:t>
      </w:r>
      <w:r w:rsidRPr="00484E21">
        <w:t xml:space="preserve">guided weapons and </w:t>
      </w:r>
      <w:r w:rsidRPr="00484E21">
        <w:t>hypersonic missiles</w:t>
      </w:r>
      <w:r>
        <w:t>.</w:t>
      </w:r>
      <w:r>
        <w:rPr>
          <w:rStyle w:val="FootnoteReference"/>
        </w:rPr>
        <w:footnoteReference w:id="11"/>
      </w:r>
      <w:r>
        <w:t xml:space="preserve"> </w:t>
      </w:r>
    </w:p>
    <w:p w:rsidR="00310B76" w:rsidRPr="007A4C0D" w:rsidP="009048D9">
      <w:pPr>
        <w:pStyle w:val="ListParagraph"/>
        <w:numPr>
          <w:ilvl w:val="0"/>
          <w:numId w:val="41"/>
        </w:numPr>
      </w:pPr>
      <w:r>
        <w:rPr>
          <w:b/>
          <w:bCs/>
        </w:rPr>
        <w:t>T</w:t>
      </w:r>
      <w:r>
        <w:rPr>
          <w:b/>
          <w:bCs/>
        </w:rPr>
        <w:t xml:space="preserve">ungsten </w:t>
      </w:r>
      <w:r w:rsidRPr="00484E21">
        <w:t>is</w:t>
      </w:r>
      <w:r>
        <w:t xml:space="preserve"> a hard metal </w:t>
      </w:r>
      <w:r w:rsidRPr="003464BB">
        <w:t>valued</w:t>
      </w:r>
      <w:r>
        <w:t xml:space="preserve"> for its strength and thermal stability. </w:t>
      </w:r>
      <w:r>
        <w:t xml:space="preserve">Within the </w:t>
      </w:r>
      <w:r>
        <w:t xml:space="preserve">defence </w:t>
      </w:r>
      <w:r>
        <w:t xml:space="preserve">industry, it is widely used, including </w:t>
      </w:r>
      <w:r>
        <w:t xml:space="preserve">within </w:t>
      </w:r>
      <w:r w:rsidRPr="00484E21">
        <w:t xml:space="preserve">tank </w:t>
      </w:r>
      <w:r w:rsidRPr="007A4C0D">
        <w:t>armour</w:t>
      </w:r>
      <w:r w:rsidRPr="00484E21">
        <w:t>, boat hulls</w:t>
      </w:r>
      <w:r>
        <w:t xml:space="preserve"> and airframes.</w:t>
      </w:r>
      <w:r>
        <w:rPr>
          <w:rStyle w:val="FootnoteReference"/>
        </w:rPr>
        <w:footnoteReference w:id="12"/>
      </w:r>
      <w:r w:rsidRPr="00567EE4">
        <w:t xml:space="preserve"> </w:t>
      </w:r>
      <w:r>
        <w:t>With</w:t>
      </w:r>
      <w:r>
        <w:t xml:space="preserve"> its</w:t>
      </w:r>
      <w:r>
        <w:t xml:space="preserve"> high </w:t>
      </w:r>
      <w:r>
        <w:t>wear resistance, t</w:t>
      </w:r>
      <w:r>
        <w:t>ungsten is also used within</w:t>
      </w:r>
      <w:r w:rsidRPr="00567EE4">
        <w:t xml:space="preserve"> </w:t>
      </w:r>
      <w:r w:rsidRPr="00567EE4">
        <w:t xml:space="preserve">manufacturing </w:t>
      </w:r>
      <w:r>
        <w:t>and construction</w:t>
      </w:r>
      <w:r>
        <w:t xml:space="preserve"> </w:t>
      </w:r>
      <w:r>
        <w:t xml:space="preserve">more widely, </w:t>
      </w:r>
      <w:r>
        <w:t>as</w:t>
      </w:r>
      <w:r>
        <w:t xml:space="preserve"> it</w:t>
      </w:r>
      <w:r>
        <w:t xml:space="preserve"> can be used for </w:t>
      </w:r>
      <w:r>
        <w:t xml:space="preserve">abrasive applications, </w:t>
      </w:r>
      <w:r>
        <w:t>such</w:t>
      </w:r>
      <w:r>
        <w:t xml:space="preserve"> as</w:t>
      </w:r>
      <w:r>
        <w:t xml:space="preserve"> </w:t>
      </w:r>
      <w:r>
        <w:t xml:space="preserve">drilling, </w:t>
      </w:r>
      <w:r>
        <w:t>c</w:t>
      </w:r>
      <w:r w:rsidRPr="00567EE4">
        <w:t xml:space="preserve">utting and </w:t>
      </w:r>
      <w:r>
        <w:t xml:space="preserve">metal </w:t>
      </w:r>
      <w:r w:rsidRPr="00567EE4">
        <w:t>machining</w:t>
      </w:r>
      <w:r>
        <w:t>.</w:t>
      </w:r>
      <w:r>
        <w:rPr>
          <w:rStyle w:val="FootnoteReference"/>
        </w:rPr>
        <w:footnoteReference w:id="13"/>
      </w:r>
      <w:r>
        <w:t xml:space="preserve"> The UK’s supply of tungsten is at risk due to</w:t>
      </w:r>
      <w:r>
        <w:t xml:space="preserve"> </w:t>
      </w:r>
      <w:r>
        <w:t>C</w:t>
      </w:r>
      <w:r>
        <w:t>hina</w:t>
      </w:r>
      <w:r>
        <w:t xml:space="preserve">’s dominance in </w:t>
      </w:r>
      <w:r>
        <w:t>mining</w:t>
      </w:r>
      <w:r>
        <w:t>, but the UK</w:t>
      </w:r>
      <w:r>
        <w:t xml:space="preserve"> has </w:t>
      </w:r>
      <w:r>
        <w:t>plans to boost domestic supply</w:t>
      </w:r>
      <w:r>
        <w:t xml:space="preserve">, with possible </w:t>
      </w:r>
      <w:r>
        <w:t xml:space="preserve">mining opportunities in </w:t>
      </w:r>
      <w:r>
        <w:t>Devon</w:t>
      </w:r>
      <w:r>
        <w:t xml:space="preserve"> and Cornwall</w:t>
      </w:r>
      <w:r>
        <w:t>.</w:t>
      </w:r>
      <w:r>
        <w:rPr>
          <w:rStyle w:val="FootnoteReference"/>
        </w:rPr>
        <w:footnoteReference w:id="14"/>
      </w:r>
      <w:r>
        <w:t xml:space="preserve"> </w:t>
      </w:r>
    </w:p>
    <w:p w:rsidR="00310B76" w:rsidRPr="003464BB" w:rsidP="009048D9">
      <w:pPr>
        <w:pStyle w:val="ListParagraph"/>
        <w:numPr>
          <w:ilvl w:val="0"/>
          <w:numId w:val="41"/>
        </w:numPr>
      </w:pPr>
      <w:r w:rsidRPr="00EC591C">
        <w:t xml:space="preserve">More broadly, </w:t>
      </w:r>
      <w:r w:rsidRPr="003464BB">
        <w:rPr>
          <w:b/>
          <w:bCs/>
        </w:rPr>
        <w:t>r</w:t>
      </w:r>
      <w:r w:rsidRPr="003464BB">
        <w:rPr>
          <w:b/>
          <w:bCs/>
        </w:rPr>
        <w:t xml:space="preserve">are Earth </w:t>
      </w:r>
      <w:r w:rsidRPr="003464BB">
        <w:rPr>
          <w:b/>
          <w:bCs/>
        </w:rPr>
        <w:t>elements</w:t>
      </w:r>
      <w:r w:rsidRPr="003464BB">
        <w:rPr>
          <w:b/>
          <w:bCs/>
        </w:rPr>
        <w:t xml:space="preserve"> (REE)</w:t>
      </w:r>
      <w:r w:rsidRPr="00EC591C">
        <w:t xml:space="preserve"> are </w:t>
      </w:r>
      <w:r w:rsidRPr="00EC591C">
        <w:t xml:space="preserve">used within </w:t>
      </w:r>
      <w:r w:rsidRPr="00EC591C">
        <w:t xml:space="preserve">critical </w:t>
      </w:r>
      <w:r w:rsidRPr="00EC591C">
        <w:t>components</w:t>
      </w:r>
      <w:r w:rsidRPr="00EC591C">
        <w:t xml:space="preserve"> </w:t>
      </w:r>
      <w:r w:rsidRPr="00EC591C">
        <w:t>of</w:t>
      </w:r>
      <w:r w:rsidRPr="00EC591C">
        <w:t xml:space="preserve">  </w:t>
      </w:r>
      <w:r w:rsidRPr="00EC591C">
        <w:t>military</w:t>
      </w:r>
      <w:r w:rsidRPr="00EC591C">
        <w:t xml:space="preserve"> </w:t>
      </w:r>
      <w:r w:rsidRPr="00EC591C">
        <w:t>technologies</w:t>
      </w:r>
      <w:r w:rsidRPr="00EC591C">
        <w:t>.</w:t>
      </w:r>
      <w:r>
        <w:rPr>
          <w:vertAlign w:val="superscript"/>
        </w:rPr>
        <w:footnoteReference w:id="15"/>
      </w:r>
      <w:r w:rsidRPr="00EC591C">
        <w:rPr>
          <w:vertAlign w:val="superscript"/>
        </w:rPr>
        <w:t xml:space="preserve"> </w:t>
      </w:r>
      <w:r w:rsidRPr="00EC591C">
        <w:rPr>
          <w:vertAlign w:val="superscript"/>
        </w:rPr>
        <w:t xml:space="preserve"> </w:t>
      </w:r>
      <w:r w:rsidRPr="00EC591C">
        <w:t>These include</w:t>
      </w:r>
      <w:r w:rsidRPr="00EC591C">
        <w:t xml:space="preserve"> </w:t>
      </w:r>
      <w:r w:rsidRPr="00EC591C">
        <w:t xml:space="preserve">batteries, </w:t>
      </w:r>
      <w:r w:rsidRPr="00EC591C">
        <w:t xml:space="preserve">chemical catalysts, </w:t>
      </w:r>
      <w:r w:rsidRPr="00EC591C">
        <w:t xml:space="preserve">computer hard drives, </w:t>
      </w:r>
      <w:r w:rsidRPr="00EC591C">
        <w:t xml:space="preserve">lasers, high-power magnets, </w:t>
      </w:r>
      <w:r w:rsidRPr="00EC591C">
        <w:t>light</w:t>
      </w:r>
      <w:r>
        <w:t>-</w:t>
      </w:r>
      <w:r w:rsidRPr="00EC591C">
        <w:t>emitting diodes (</w:t>
      </w:r>
      <w:r w:rsidRPr="00EC591C">
        <w:t>LEDs</w:t>
      </w:r>
      <w:r w:rsidRPr="00EC591C">
        <w:t>)</w:t>
      </w:r>
      <w:r w:rsidRPr="00EC591C">
        <w:t xml:space="preserve">, night-vision goggles, </w:t>
      </w:r>
      <w:r w:rsidRPr="00EC591C">
        <w:t>and</w:t>
      </w:r>
      <w:r w:rsidRPr="00EC591C">
        <w:t xml:space="preserve"> lithium-ion batteries </w:t>
      </w:r>
      <w:r w:rsidRPr="00EC591C">
        <w:t xml:space="preserve">that </w:t>
      </w:r>
      <w:r w:rsidRPr="00EC591C">
        <w:t>are</w:t>
      </w:r>
      <w:r w:rsidRPr="00EC591C">
        <w:t xml:space="preserve"> </w:t>
      </w:r>
      <w:r w:rsidRPr="00EC591C">
        <w:t>used in aeronautics, military surveillance systems, and communication</w:t>
      </w:r>
      <w:r w:rsidRPr="00EC591C">
        <w:t xml:space="preserve"> systems</w:t>
      </w:r>
      <w:r w:rsidRPr="00EC591C">
        <w:t>.</w:t>
      </w:r>
      <w:r>
        <w:rPr>
          <w:vertAlign w:val="superscript"/>
        </w:rPr>
        <w:footnoteReference w:id="16"/>
      </w:r>
      <w:r w:rsidRPr="00EC591C">
        <w:rPr>
          <w:vertAlign w:val="superscript"/>
        </w:rPr>
        <w:t xml:space="preserve"> </w:t>
      </w:r>
      <w:r w:rsidRPr="003464BB">
        <w:t xml:space="preserve">There </w:t>
      </w:r>
      <w:r>
        <w:t>are several risks</w:t>
      </w:r>
      <w:r>
        <w:t xml:space="preserve"> in the REE supply chain</w:t>
      </w:r>
      <w:r>
        <w:t xml:space="preserve">, </w:t>
      </w:r>
      <w:r>
        <w:t>i</w:t>
      </w:r>
      <w:r>
        <w:t xml:space="preserve">ncluding a highly volatile price and </w:t>
      </w:r>
      <w:r>
        <w:t>reliance on China</w:t>
      </w:r>
      <w:r>
        <w:t xml:space="preserve"> for both mining and refining</w:t>
      </w:r>
      <w:r>
        <w:t>.</w:t>
      </w:r>
      <w:r>
        <w:rPr>
          <w:rStyle w:val="FootnoteReference"/>
        </w:rPr>
        <w:footnoteReference w:id="17"/>
      </w:r>
      <w:r>
        <w:t xml:space="preserve"> </w:t>
      </w:r>
      <w:r>
        <w:t xml:space="preserve"> </w:t>
      </w:r>
    </w:p>
    <w:p w:rsidR="00310B76" w:rsidRPr="00396F0C" w:rsidP="006B5550">
      <w:pPr>
        <w:rPr>
          <w:b/>
        </w:rPr>
      </w:pPr>
      <w:r>
        <w:rPr>
          <w:b/>
          <w:bCs/>
        </w:rPr>
        <w:t>C</w:t>
      </w:r>
      <w:r w:rsidRPr="00567EE4">
        <w:rPr>
          <w:b/>
          <w:bCs/>
        </w:rPr>
        <w:t>ritical minerals</w:t>
      </w:r>
      <w:r w:rsidRPr="002960B5">
        <w:rPr>
          <w:b/>
          <w:bCs/>
        </w:rPr>
        <w:t xml:space="preserve"> </w:t>
      </w:r>
      <w:r>
        <w:rPr>
          <w:b/>
          <w:bCs/>
        </w:rPr>
        <w:t>are not just</w:t>
      </w:r>
      <w:r w:rsidRPr="00567EE4">
        <w:rPr>
          <w:b/>
          <w:bCs/>
        </w:rPr>
        <w:t xml:space="preserve"> </w:t>
      </w:r>
      <w:r>
        <w:rPr>
          <w:b/>
        </w:rPr>
        <w:t xml:space="preserve">required for </w:t>
      </w:r>
      <w:r>
        <w:rPr>
          <w:b/>
        </w:rPr>
        <w:t xml:space="preserve">meeting </w:t>
      </w:r>
      <w:r>
        <w:rPr>
          <w:b/>
        </w:rPr>
        <w:t xml:space="preserve">the UK’s </w:t>
      </w:r>
      <w:r>
        <w:rPr>
          <w:b/>
        </w:rPr>
        <w:t xml:space="preserve">defence and security priorities, but they are crucial for decarbonisation and the </w:t>
      </w:r>
      <w:r w:rsidRPr="00567EE4">
        <w:rPr>
          <w:b/>
        </w:rPr>
        <w:t xml:space="preserve">green </w:t>
      </w:r>
      <w:r>
        <w:rPr>
          <w:b/>
        </w:rPr>
        <w:t xml:space="preserve">energy </w:t>
      </w:r>
      <w:r w:rsidRPr="00567EE4">
        <w:rPr>
          <w:b/>
        </w:rPr>
        <w:t>transition</w:t>
      </w:r>
      <w:r w:rsidRPr="00567EE4">
        <w:rPr>
          <w:b/>
          <w:bCs/>
        </w:rPr>
        <w:t xml:space="preserve">. </w:t>
      </w:r>
      <w:r w:rsidRPr="00567EE4">
        <w:t>Nickel, cobalt, lithium, and copper are crucial components of</w:t>
      </w:r>
      <w:r w:rsidRPr="00567EE4">
        <w:t xml:space="preserve"> batteries, </w:t>
      </w:r>
      <w:r w:rsidRPr="00567EE4">
        <w:t xml:space="preserve">wind turbines and </w:t>
      </w:r>
      <w:r w:rsidRPr="00567EE4">
        <w:t>electric motors for e-vehicles.</w:t>
      </w:r>
      <w:r>
        <w:rPr>
          <w:rStyle w:val="FootnoteReference"/>
        </w:rPr>
        <w:footnoteReference w:id="18"/>
      </w:r>
      <w:r w:rsidRPr="00567EE4">
        <w:t xml:space="preserve"> </w:t>
      </w:r>
      <w:r>
        <w:t xml:space="preserve">As the UK pursues </w:t>
      </w:r>
      <w:r>
        <w:t>d</w:t>
      </w:r>
      <w:r w:rsidRPr="00567EE4">
        <w:t>ecarbonisation</w:t>
      </w:r>
      <w:r w:rsidRPr="00567EE4">
        <w:t xml:space="preserve"> efforts</w:t>
      </w:r>
      <w:r>
        <w:t xml:space="preserve">, parallel </w:t>
      </w:r>
      <w:r>
        <w:t>i</w:t>
      </w:r>
      <w:r w:rsidRPr="00567EE4">
        <w:t xml:space="preserve">ncreases in military spending </w:t>
      </w:r>
      <w:r w:rsidRPr="00567EE4">
        <w:t xml:space="preserve">will </w:t>
      </w:r>
      <w:r>
        <w:t>lead to competing sources of</w:t>
      </w:r>
      <w:r w:rsidRPr="00567EE4">
        <w:t xml:space="preserve"> demand for critical </w:t>
      </w:r>
      <w:r w:rsidRPr="00567EE4">
        <w:t>m</w:t>
      </w:r>
      <w:r>
        <w:t>ineral</w:t>
      </w:r>
      <w:r w:rsidRPr="00567EE4">
        <w:t>s</w:t>
      </w:r>
      <w:r w:rsidRPr="00567EE4">
        <w:t>.</w:t>
      </w:r>
      <w:r>
        <w:rPr>
          <w:rStyle w:val="FootnoteReference"/>
        </w:rPr>
        <w:footnoteReference w:id="19"/>
      </w:r>
      <w:r>
        <w:t xml:space="preserve"> For example, t</w:t>
      </w:r>
      <w:r w:rsidRPr="00567EE4">
        <w:t>he</w:t>
      </w:r>
      <w:r w:rsidRPr="00567EE4">
        <w:t xml:space="preserve"> </w:t>
      </w:r>
      <w:r w:rsidRPr="00567EE4">
        <w:t xml:space="preserve">International Energy Agency </w:t>
      </w:r>
      <w:r w:rsidRPr="00567EE4">
        <w:t>predict</w:t>
      </w:r>
      <w:r>
        <w:t>s</w:t>
      </w:r>
      <w:r w:rsidRPr="00567EE4">
        <w:t xml:space="preserve"> that </w:t>
      </w:r>
      <w:r w:rsidRPr="00567EE4">
        <w:t xml:space="preserve">by </w:t>
      </w:r>
      <w:r w:rsidRPr="00567EE4">
        <w:t xml:space="preserve">2040, </w:t>
      </w:r>
      <w:r w:rsidRPr="00567EE4">
        <w:t>international</w:t>
      </w:r>
      <w:r w:rsidRPr="00567EE4">
        <w:t xml:space="preserve"> demand </w:t>
      </w:r>
      <w:r w:rsidRPr="00567EE4">
        <w:t xml:space="preserve">for nickel and cobalt </w:t>
      </w:r>
      <w:r w:rsidRPr="00567EE4">
        <w:t>will</w:t>
      </w:r>
      <w:r w:rsidRPr="00567EE4">
        <w:t xml:space="preserve"> be six to </w:t>
      </w:r>
      <w:r w:rsidRPr="00567EE4">
        <w:t>twenty</w:t>
      </w:r>
      <w:r w:rsidRPr="00567EE4">
        <w:t xml:space="preserve"> times </w:t>
      </w:r>
      <w:r w:rsidRPr="00567EE4">
        <w:t>higher</w:t>
      </w:r>
      <w:r w:rsidRPr="00567EE4">
        <w:t xml:space="preserve"> than </w:t>
      </w:r>
      <w:r w:rsidRPr="00567EE4">
        <w:t xml:space="preserve">it was </w:t>
      </w:r>
      <w:r w:rsidRPr="00567EE4">
        <w:t>in 2020.</w:t>
      </w:r>
      <w:r>
        <w:rPr>
          <w:rStyle w:val="FootnoteReference"/>
        </w:rPr>
        <w:footnoteReference w:id="20"/>
      </w:r>
      <w:r w:rsidRPr="00567EE4">
        <w:t xml:space="preserve"> </w:t>
      </w:r>
      <w:r>
        <w:t>To</w:t>
      </w:r>
      <w:r>
        <w:t xml:space="preserve"> meet this growing demand, </w:t>
      </w:r>
      <w:r>
        <w:t xml:space="preserve">the </w:t>
      </w:r>
      <w:r>
        <w:t xml:space="preserve">UK has signalled its </w:t>
      </w:r>
      <w:r>
        <w:t xml:space="preserve">ambitions of </w:t>
      </w:r>
      <w:r>
        <w:t xml:space="preserve">diversifying its supply chains and </w:t>
      </w:r>
      <w:r>
        <w:t>increas</w:t>
      </w:r>
      <w:r>
        <w:t>ing</w:t>
      </w:r>
      <w:r>
        <w:t xml:space="preserve"> domestic supply of some </w:t>
      </w:r>
      <w:r>
        <w:t xml:space="preserve">critical </w:t>
      </w:r>
      <w:r>
        <w:t>minerals</w:t>
      </w:r>
      <w:r>
        <w:t>.</w:t>
      </w:r>
      <w:r>
        <w:rPr>
          <w:rStyle w:val="FootnoteReference"/>
        </w:rPr>
        <w:footnoteReference w:id="21"/>
      </w:r>
      <w:r>
        <w:t xml:space="preserve"> </w:t>
      </w:r>
      <w:r>
        <w:t>Whi</w:t>
      </w:r>
      <w:r>
        <w:t>l</w:t>
      </w:r>
      <w:r>
        <w:t xml:space="preserve">st </w:t>
      </w:r>
      <w:r>
        <w:t xml:space="preserve">the UK </w:t>
      </w:r>
      <w:r>
        <w:t xml:space="preserve">is exploring mineral deposits in Anglesey, Aberdeenshire and Mid-Tyrone, </w:t>
      </w:r>
      <w:r>
        <w:t xml:space="preserve">it is </w:t>
      </w:r>
      <w:r>
        <w:t xml:space="preserve">costly to establish new mines, and </w:t>
      </w:r>
      <w:r>
        <w:t xml:space="preserve">they </w:t>
      </w:r>
      <w:r>
        <w:t xml:space="preserve">often have </w:t>
      </w:r>
      <w:r>
        <w:t>long lead time</w:t>
      </w:r>
      <w:r>
        <w:t>s</w:t>
      </w:r>
      <w:r>
        <w:t xml:space="preserve"> before they </w:t>
      </w:r>
      <w:r>
        <w:t>are</w:t>
      </w:r>
      <w:r>
        <w:t xml:space="preserve"> fully operational</w:t>
      </w:r>
      <w:r>
        <w:t>.</w:t>
      </w:r>
      <w:r>
        <w:rPr>
          <w:rStyle w:val="FootnoteReference"/>
        </w:rPr>
        <w:footnoteReference w:id="22"/>
      </w:r>
      <w:r>
        <w:t xml:space="preserve"> </w:t>
      </w:r>
      <w:r>
        <w:t xml:space="preserve">The UK’s </w:t>
      </w:r>
      <w:r>
        <w:t>ability to source these materials at a reasonable cost will</w:t>
      </w:r>
      <w:r>
        <w:t xml:space="preserve"> come under further pressure as demand increases</w:t>
      </w:r>
      <w:r>
        <w:t xml:space="preserve"> and vulnerabilities in the supply chain are exposed.</w:t>
      </w:r>
      <w:r>
        <w:t xml:space="preserve"> </w:t>
      </w:r>
    </w:p>
    <w:p w:rsidR="00310B76" w:rsidP="00F81D21">
      <w:r w:rsidRPr="00567EE4">
        <w:rPr>
          <w:b/>
        </w:rPr>
        <w:t>T</w:t>
      </w:r>
      <w:r w:rsidRPr="00567EE4">
        <w:rPr>
          <w:b/>
        </w:rPr>
        <w:t xml:space="preserve">he dominance of China in the </w:t>
      </w:r>
      <w:r w:rsidRPr="00567EE4">
        <w:rPr>
          <w:b/>
        </w:rPr>
        <w:t>supply of critical minerals</w:t>
      </w:r>
      <w:r w:rsidRPr="00567EE4">
        <w:rPr>
          <w:b/>
        </w:rPr>
        <w:t xml:space="preserve"> is </w:t>
      </w:r>
      <w:r w:rsidRPr="00567EE4">
        <w:rPr>
          <w:b/>
        </w:rPr>
        <w:t xml:space="preserve">a </w:t>
      </w:r>
      <w:r w:rsidRPr="00567EE4">
        <w:rPr>
          <w:b/>
        </w:rPr>
        <w:t>particular</w:t>
      </w:r>
      <w:r w:rsidRPr="00567EE4">
        <w:rPr>
          <w:b/>
        </w:rPr>
        <w:t xml:space="preserve"> vulnerability for the UK</w:t>
      </w:r>
      <w:r w:rsidRPr="00567EE4">
        <w:rPr>
          <w:b/>
        </w:rPr>
        <w:t>.</w:t>
      </w:r>
      <w:r w:rsidRPr="00567EE4">
        <w:t xml:space="preserve"> </w:t>
      </w:r>
      <w:r w:rsidRPr="00567EE4">
        <w:t>China</w:t>
      </w:r>
      <w:r w:rsidRPr="00567EE4">
        <w:t xml:space="preserve"> dominates </w:t>
      </w:r>
      <w:r w:rsidRPr="00567EE4">
        <w:t xml:space="preserve">via </w:t>
      </w:r>
      <w:r w:rsidRPr="00567EE4">
        <w:t>resource</w:t>
      </w:r>
      <w:r w:rsidRPr="00567EE4">
        <w:t xml:space="preserve"> extraction and </w:t>
      </w:r>
      <w:r w:rsidRPr="00567EE4">
        <w:t>processing in</w:t>
      </w:r>
      <w:r w:rsidRPr="00567EE4">
        <w:t xml:space="preserve"> the</w:t>
      </w:r>
      <w:r w:rsidRPr="00567EE4">
        <w:t xml:space="preserve"> </w:t>
      </w:r>
      <w:r w:rsidRPr="00567EE4">
        <w:t>m</w:t>
      </w:r>
      <w:r w:rsidRPr="00567EE4">
        <w:t xml:space="preserve">idstream </w:t>
      </w:r>
      <w:r w:rsidRPr="00567EE4">
        <w:t xml:space="preserve">(smelting, separation and magnet </w:t>
      </w:r>
      <w:r w:rsidRPr="00567EE4">
        <w:t>manufacturing)</w:t>
      </w:r>
      <w:r w:rsidRPr="00567EE4">
        <w:t xml:space="preserve"> of the supply chain</w:t>
      </w:r>
      <w:r w:rsidRPr="00567EE4">
        <w:t>.</w:t>
      </w:r>
      <w:r>
        <w:rPr>
          <w:rStyle w:val="FootnoteReference"/>
        </w:rPr>
        <w:footnoteReference w:id="23"/>
      </w:r>
      <w:r w:rsidRPr="00567EE4">
        <w:t xml:space="preserve"> </w:t>
      </w:r>
      <w:r>
        <w:t>It fur</w:t>
      </w:r>
      <w:r>
        <w:t>ther</w:t>
      </w:r>
      <w:r w:rsidRPr="00567EE4">
        <w:t xml:space="preserve"> dominate</w:t>
      </w:r>
      <w:r>
        <w:t>s supply</w:t>
      </w:r>
      <w:r w:rsidRPr="00567EE4">
        <w:t xml:space="preserve"> </w:t>
      </w:r>
      <w:r>
        <w:t>through its ownership of</w:t>
      </w:r>
      <w:r>
        <w:t xml:space="preserve"> </w:t>
      </w:r>
      <w:r w:rsidRPr="00567EE4">
        <w:t>foreign</w:t>
      </w:r>
      <w:r>
        <w:t xml:space="preserve"> resources</w:t>
      </w:r>
      <w:r w:rsidRPr="00567EE4">
        <w:t xml:space="preserve">, like cobalt </w:t>
      </w:r>
      <w:r>
        <w:t>mines in</w:t>
      </w:r>
      <w:r w:rsidRPr="00567EE4">
        <w:t xml:space="preserve"> </w:t>
      </w:r>
      <w:r w:rsidRPr="00567EE4">
        <w:t>the Democratic Republic of the</w:t>
      </w:r>
      <w:r>
        <w:t xml:space="preserve"> </w:t>
      </w:r>
      <w:r w:rsidRPr="00567EE4">
        <w:t>Congo</w:t>
      </w:r>
      <w:r w:rsidRPr="00567EE4">
        <w:t>.</w:t>
      </w:r>
      <w:r>
        <w:rPr>
          <w:rStyle w:val="FootnoteReference"/>
        </w:rPr>
        <w:footnoteReference w:id="24"/>
      </w:r>
      <w:r w:rsidRPr="00567EE4">
        <w:t xml:space="preserve"> </w:t>
      </w:r>
      <w:r>
        <w:t>Consequently</w:t>
      </w:r>
      <w:r>
        <w:t>,</w:t>
      </w:r>
      <w:r>
        <w:t xml:space="preserve"> any</w:t>
      </w:r>
      <w:r>
        <w:t xml:space="preserve"> </w:t>
      </w:r>
      <w:r w:rsidRPr="00567EE4">
        <w:t xml:space="preserve">trade restrictions or export controls </w:t>
      </w:r>
      <w:r>
        <w:t xml:space="preserve">implemented by China </w:t>
      </w:r>
      <w:r>
        <w:t xml:space="preserve">relating to these critical minerals </w:t>
      </w:r>
      <w:r>
        <w:t>will</w:t>
      </w:r>
      <w:r w:rsidRPr="00567EE4">
        <w:t xml:space="preserve"> </w:t>
      </w:r>
      <w:r w:rsidRPr="00567EE4">
        <w:t>significant</w:t>
      </w:r>
      <w:r w:rsidRPr="00567EE4">
        <w:t>ly impact the market</w:t>
      </w:r>
      <w:r w:rsidRPr="00567EE4">
        <w:t>.</w:t>
      </w:r>
      <w:r w:rsidRPr="00567EE4">
        <w:t xml:space="preserve"> </w:t>
      </w:r>
      <w:r>
        <w:t xml:space="preserve">For </w:t>
      </w:r>
      <w:r>
        <w:t>example</w:t>
      </w:r>
      <w:r>
        <w:t xml:space="preserve">, </w:t>
      </w:r>
      <w:r w:rsidRPr="00567EE4">
        <w:t>i</w:t>
      </w:r>
      <w:r w:rsidRPr="00567EE4">
        <w:t xml:space="preserve">n </w:t>
      </w:r>
      <w:r>
        <w:t xml:space="preserve">October </w:t>
      </w:r>
      <w:r w:rsidRPr="00567EE4">
        <w:t xml:space="preserve">2025, </w:t>
      </w:r>
      <w:r>
        <w:t>the Chinese government introduced a new</w:t>
      </w:r>
      <w:r>
        <w:t xml:space="preserve"> </w:t>
      </w:r>
      <w:r w:rsidRPr="00567EE4">
        <w:t xml:space="preserve">policy </w:t>
      </w:r>
      <w:r w:rsidRPr="00567EE4">
        <w:t xml:space="preserve">on </w:t>
      </w:r>
      <w:r>
        <w:t xml:space="preserve">a select number of </w:t>
      </w:r>
      <w:r>
        <w:t xml:space="preserve">REE </w:t>
      </w:r>
      <w:r>
        <w:t>whereby</w:t>
      </w:r>
      <w:r>
        <w:t xml:space="preserve"> </w:t>
      </w:r>
      <w:r w:rsidRPr="00567EE4">
        <w:t>t</w:t>
      </w:r>
      <w:r w:rsidRPr="00567EE4">
        <w:t>he e</w:t>
      </w:r>
      <w:r w:rsidRPr="00567EE4">
        <w:t>x</w:t>
      </w:r>
      <w:r w:rsidRPr="00567EE4">
        <w:t xml:space="preserve">port of </w:t>
      </w:r>
      <w:r>
        <w:t xml:space="preserve">products and </w:t>
      </w:r>
      <w:r w:rsidRPr="00567EE4">
        <w:t xml:space="preserve">components </w:t>
      </w:r>
      <w:r>
        <w:t>which</w:t>
      </w:r>
      <w:r w:rsidRPr="00567EE4">
        <w:t xml:space="preserve"> use China-origin </w:t>
      </w:r>
      <w:r>
        <w:t>REE</w:t>
      </w:r>
      <w:r w:rsidRPr="00567EE4">
        <w:t xml:space="preserve"> </w:t>
      </w:r>
      <w:r w:rsidRPr="00567EE4">
        <w:t>requires government approval.</w:t>
      </w:r>
      <w:r>
        <w:rPr>
          <w:rStyle w:val="FootnoteReference"/>
        </w:rPr>
        <w:footnoteReference w:id="25"/>
      </w:r>
      <w:r w:rsidRPr="00567EE4">
        <w:t xml:space="preserve"> </w:t>
      </w:r>
      <w:r>
        <w:t>Immediately, m</w:t>
      </w:r>
      <w:r w:rsidRPr="00567EE4">
        <w:t>any sectors experience</w:t>
      </w:r>
      <w:r>
        <w:t>d</w:t>
      </w:r>
      <w:r w:rsidRPr="00567EE4">
        <w:t xml:space="preserve"> disruptions to their supply chains, </w:t>
      </w:r>
      <w:r>
        <w:t>a</w:t>
      </w:r>
      <w:r w:rsidRPr="002477B6">
        <w:t>nd today there is still a shortage of yttrium globally as a direct result of these restrictions</w:t>
      </w:r>
      <w:r w:rsidRPr="00567EE4">
        <w:t>.</w:t>
      </w:r>
      <w:r>
        <w:rPr>
          <w:rStyle w:val="FootnoteReference"/>
        </w:rPr>
        <w:footnoteReference w:id="26"/>
      </w:r>
    </w:p>
    <w:p w:rsidR="00310B76">
      <w:r>
        <w:br w:type="page"/>
      </w:r>
    </w:p>
    <w:p w:rsidR="00310B76" w:rsidRPr="00567EE4" w:rsidP="00BF335D">
      <w:pPr>
        <w:pStyle w:val="Heading1"/>
      </w:pPr>
      <w:r w:rsidRPr="00567EE4">
        <w:t>What can the UK learn from the implementation of similar strategies in other countries?</w:t>
      </w:r>
    </w:p>
    <w:p w:rsidR="00310B76" w:rsidRPr="007C5F25" w:rsidP="001D3F53">
      <w:pPr>
        <w:rPr>
          <w:bCs/>
        </w:rPr>
      </w:pPr>
      <w:r w:rsidRPr="00E13438">
        <w:rPr>
          <w:bCs/>
        </w:rPr>
        <w:t>Many countries have long recognised the strategic importance of securing reliable access to critical minerals and have developed a range of policies to strengthen and diversify their supply chains</w:t>
      </w:r>
      <w:r>
        <w:rPr>
          <w:bCs/>
        </w:rPr>
        <w:t xml:space="preserve">. </w:t>
      </w:r>
      <w:r>
        <w:rPr>
          <w:bCs/>
        </w:rPr>
        <w:t xml:space="preserve">While these strategies are tailored to each nation’s unique domestic context, there </w:t>
      </w:r>
      <w:r>
        <w:rPr>
          <w:bCs/>
        </w:rPr>
        <w:t xml:space="preserve">are </w:t>
      </w:r>
      <w:r>
        <w:rPr>
          <w:bCs/>
        </w:rPr>
        <w:t xml:space="preserve">lessons which the UK can draw </w:t>
      </w:r>
      <w:r>
        <w:rPr>
          <w:bCs/>
        </w:rPr>
        <w:t xml:space="preserve">on </w:t>
      </w:r>
      <w:r>
        <w:rPr>
          <w:bCs/>
        </w:rPr>
        <w:t>to develop its own approach to critical minerals.</w:t>
      </w:r>
      <w:r>
        <w:rPr>
          <w:bCs/>
        </w:rPr>
        <w:t xml:space="preserve"> </w:t>
      </w:r>
      <w:r>
        <w:rPr>
          <w:bCs/>
        </w:rPr>
        <w:t xml:space="preserve">Drawing on </w:t>
      </w:r>
      <w:r>
        <w:rPr>
          <w:bCs/>
        </w:rPr>
        <w:t xml:space="preserve">findings from </w:t>
      </w:r>
      <w:r>
        <w:rPr>
          <w:bCs/>
        </w:rPr>
        <w:t>recent RAND research, t</w:t>
      </w:r>
      <w:r>
        <w:rPr>
          <w:bCs/>
        </w:rPr>
        <w:t xml:space="preserve">he following presents </w:t>
      </w:r>
      <w:r>
        <w:rPr>
          <w:bCs/>
        </w:rPr>
        <w:t>lessons</w:t>
      </w:r>
      <w:r>
        <w:rPr>
          <w:bCs/>
        </w:rPr>
        <w:t xml:space="preserve"> </w:t>
      </w:r>
      <w:r>
        <w:rPr>
          <w:bCs/>
        </w:rPr>
        <w:t>from four nations: China, South Korea, Japan, and the U</w:t>
      </w:r>
      <w:r>
        <w:rPr>
          <w:bCs/>
        </w:rPr>
        <w:t xml:space="preserve">nited </w:t>
      </w:r>
      <w:r>
        <w:rPr>
          <w:bCs/>
        </w:rPr>
        <w:t>S</w:t>
      </w:r>
      <w:r>
        <w:rPr>
          <w:bCs/>
        </w:rPr>
        <w:t>tates</w:t>
      </w:r>
      <w:r>
        <w:rPr>
          <w:bCs/>
        </w:rPr>
        <w:t xml:space="preserve">. </w:t>
      </w:r>
    </w:p>
    <w:p w:rsidR="00310B76" w:rsidP="00474DEF">
      <w:r w:rsidRPr="00ED4BC7">
        <w:rPr>
          <w:b/>
          <w:bCs/>
        </w:rPr>
        <w:t xml:space="preserve">A national strategy for critical minerals </w:t>
      </w:r>
      <w:r w:rsidRPr="005C105F">
        <w:rPr>
          <w:b/>
          <w:bCs/>
        </w:rPr>
        <w:t xml:space="preserve">within a market-driven ecosystem </w:t>
      </w:r>
      <w:r>
        <w:rPr>
          <w:b/>
          <w:bCs/>
        </w:rPr>
        <w:t>requires</w:t>
      </w:r>
      <w:r w:rsidRPr="005C105F">
        <w:rPr>
          <w:b/>
          <w:bCs/>
        </w:rPr>
        <w:t xml:space="preserve"> long</w:t>
      </w:r>
      <w:r w:rsidRPr="005C105F">
        <w:rPr>
          <w:rFonts w:ascii="Cambria Math" w:hAnsi="Cambria Math" w:cs="Cambria Math"/>
          <w:b/>
          <w:bCs/>
        </w:rPr>
        <w:t>‑</w:t>
      </w:r>
      <w:r w:rsidRPr="005C105F">
        <w:rPr>
          <w:b/>
          <w:bCs/>
        </w:rPr>
        <w:t xml:space="preserve">term </w:t>
      </w:r>
      <w:r>
        <w:rPr>
          <w:b/>
          <w:bCs/>
        </w:rPr>
        <w:t>planning</w:t>
      </w:r>
      <w:r w:rsidRPr="005C105F">
        <w:rPr>
          <w:b/>
          <w:bCs/>
        </w:rPr>
        <w:t xml:space="preserve"> and </w:t>
      </w:r>
      <w:r>
        <w:rPr>
          <w:b/>
          <w:bCs/>
        </w:rPr>
        <w:t>iterative development</w:t>
      </w:r>
      <w:r w:rsidRPr="005C105F">
        <w:rPr>
          <w:b/>
          <w:bCs/>
        </w:rPr>
        <w:t xml:space="preserve"> across the </w:t>
      </w:r>
      <w:r>
        <w:rPr>
          <w:b/>
          <w:bCs/>
        </w:rPr>
        <w:t>critical mineral supply</w:t>
      </w:r>
      <w:r w:rsidRPr="005C105F">
        <w:rPr>
          <w:b/>
          <w:bCs/>
        </w:rPr>
        <w:t xml:space="preserve"> chain</w:t>
      </w:r>
      <w:r w:rsidRPr="005C105F">
        <w:t>.</w:t>
      </w:r>
      <w:r>
        <w:t xml:space="preserve"> </w:t>
      </w:r>
      <w:r w:rsidRPr="00B07514">
        <w:t xml:space="preserve">China’s ability to influence the REE supply chain </w:t>
      </w:r>
      <w:r>
        <w:t xml:space="preserve">is </w:t>
      </w:r>
      <w:r>
        <w:t>the result of</w:t>
      </w:r>
      <w:r>
        <w:t xml:space="preserve"> decades </w:t>
      </w:r>
      <w:r>
        <w:t xml:space="preserve">of </w:t>
      </w:r>
      <w:r>
        <w:t xml:space="preserve">strategic planning and </w:t>
      </w:r>
      <w:r>
        <w:t xml:space="preserve">management </w:t>
      </w:r>
      <w:r>
        <w:t xml:space="preserve">of the </w:t>
      </w:r>
      <w:r>
        <w:t xml:space="preserve">related </w:t>
      </w:r>
      <w:r>
        <w:t>ecosystem</w:t>
      </w:r>
      <w:r>
        <w:t>.</w:t>
      </w:r>
      <w:r>
        <w:t xml:space="preserve"> </w:t>
      </w:r>
      <w:r>
        <w:t xml:space="preserve">China began mining REEs in the 1950s, and by 1980 the nation had become a global exporter of </w:t>
      </w:r>
      <w:r>
        <w:t>rare earths.</w:t>
      </w:r>
      <w:r>
        <w:rPr>
          <w:rStyle w:val="FootnoteReference"/>
        </w:rPr>
        <w:footnoteReference w:id="27"/>
      </w:r>
      <w:r>
        <w:t xml:space="preserve"> Foreign presence in the </w:t>
      </w:r>
      <w:r>
        <w:t>industry</w:t>
      </w:r>
      <w:r>
        <w:t xml:space="preserve"> was heavily controlled </w:t>
      </w:r>
      <w:r>
        <w:t xml:space="preserve">and only permitted under set circumstances </w:t>
      </w:r>
      <w:r>
        <w:t xml:space="preserve">that </w:t>
      </w:r>
      <w:r>
        <w:t xml:space="preserve">allowed the transfer of foreign knowledge and capabilities to the Chinese </w:t>
      </w:r>
      <w:r>
        <w:t>market.</w:t>
      </w:r>
      <w:r>
        <w:t xml:space="preserve"> </w:t>
      </w:r>
      <w:r>
        <w:t xml:space="preserve">In 2014, China’s Ministry of Industry and Information Technology (MIIT) introduced a series of reforms which consolidated domestic </w:t>
      </w:r>
      <w:r>
        <w:t xml:space="preserve">production into six entities, absorbing hundreds of smaller </w:t>
      </w:r>
      <w:r>
        <w:t>producers.</w:t>
      </w:r>
      <w:r>
        <w:t xml:space="preserve"> </w:t>
      </w:r>
      <w:r>
        <w:t>I</w:t>
      </w:r>
      <w:r>
        <w:t>n 2021, these six entities were again cut down to three</w:t>
      </w:r>
      <w:r>
        <w:t>,</w:t>
      </w:r>
      <w:r>
        <w:rPr>
          <w:rStyle w:val="FootnoteReference"/>
        </w:rPr>
        <w:footnoteReference w:id="28"/>
      </w:r>
      <w:r>
        <w:t xml:space="preserve"> allowing for greater state control over supply, pricing and standard setting.</w:t>
      </w:r>
      <w:r>
        <w:t xml:space="preserve"> </w:t>
      </w:r>
      <w:r w:rsidRPr="00E24C60">
        <w:t>In addition to its domestic efforts, China has also taken steps to increase cooperation with other REE producers to codevelop the sector, aiming to mitigate against diversification efforts and ensuring its continued access</w:t>
      </w:r>
      <w:r>
        <w:t>.</w:t>
      </w:r>
    </w:p>
    <w:p w:rsidR="00310B76" w:rsidP="00474DEF">
      <w:r>
        <w:t xml:space="preserve">The UK can draw several lessons from China’s long-term approach to </w:t>
      </w:r>
      <w:r>
        <w:t>REE</w:t>
      </w:r>
      <w:r>
        <w:t xml:space="preserve"> </w:t>
      </w:r>
      <w:r>
        <w:t xml:space="preserve">supply </w:t>
      </w:r>
      <w:r>
        <w:t xml:space="preserve">management. </w:t>
      </w:r>
      <w:r>
        <w:t xml:space="preserve">The most important one </w:t>
      </w:r>
      <w:r>
        <w:t>is the value of sustained strategic planning that integrates industrial p</w:t>
      </w:r>
      <w:r>
        <w:t>lanning and diplomatic efforts.</w:t>
      </w:r>
      <w:r>
        <w:t xml:space="preserve"> Establishing clear institutional coordination between government, academia, and private industry could help the UK cultivate domestic capacity for processing and innovation, rather than relying solely on imported materials. While</w:t>
      </w:r>
      <w:r w:rsidRPr="000C5BD4">
        <w:t xml:space="preserve"> a direct replication of China’s state-led model may not be possible given t</w:t>
      </w:r>
      <w:r>
        <w:t xml:space="preserve">he </w:t>
      </w:r>
      <w:r w:rsidRPr="00484E21">
        <w:t>lack of REE deposits</w:t>
      </w:r>
      <w:r>
        <w:t xml:space="preserve"> in the UK</w:t>
      </w:r>
      <w:r>
        <w:rPr>
          <w:rStyle w:val="FootnoteReference"/>
          <w:rFonts w:eastAsiaTheme="minorEastAsia"/>
        </w:rPr>
        <w:footnoteReference w:id="29"/>
      </w:r>
      <w:r>
        <w:t xml:space="preserve"> and</w:t>
      </w:r>
      <w:r>
        <w:t xml:space="preserve"> </w:t>
      </w:r>
      <w:r>
        <w:t>the UK’s</w:t>
      </w:r>
      <w:r>
        <w:t xml:space="preserve"> market structure, adopting elements of coordinated planning</w:t>
      </w:r>
      <w:r>
        <w:t xml:space="preserve">, </w:t>
      </w:r>
      <w:r>
        <w:t>such as targeted incentives, joint research frameworks and infrastructure investment</w:t>
      </w:r>
      <w:r>
        <w:t xml:space="preserve">, </w:t>
      </w:r>
      <w:r>
        <w:t>could strengthen Britain’s position within the global REE supply chain</w:t>
      </w:r>
      <w:r>
        <w:t>.</w:t>
      </w:r>
      <w:r>
        <w:t xml:space="preserve"> Finally, and crucial</w:t>
      </w:r>
      <w:r>
        <w:t>ly</w:t>
      </w:r>
      <w:r>
        <w:t xml:space="preserve">, </w:t>
      </w:r>
      <w:r>
        <w:t>the UK should learn from China’s iterative approach. It is likely that any initial effort to strengthen the critical mineral supply chain will be imperfect</w:t>
      </w:r>
      <w:r>
        <w:t xml:space="preserve"> but will be a necessary </w:t>
      </w:r>
      <w:r>
        <w:t>foundation</w:t>
      </w:r>
      <w:r>
        <w:t xml:space="preserve"> for later </w:t>
      </w:r>
      <w:r>
        <w:t>policies</w:t>
      </w:r>
      <w:r>
        <w:t xml:space="preserve"> </w:t>
      </w:r>
      <w:r>
        <w:t xml:space="preserve">to </w:t>
      </w:r>
      <w:r>
        <w:t>develop</w:t>
      </w:r>
      <w:r>
        <w:t xml:space="preserve"> long-term resilience</w:t>
      </w:r>
      <w:r>
        <w:t>.</w:t>
      </w:r>
      <w:r>
        <w:t xml:space="preserve"> Inaction is </w:t>
      </w:r>
      <w:r>
        <w:t>more harmful than imperfection.</w:t>
      </w:r>
    </w:p>
    <w:p w:rsidR="00310B76" w:rsidP="002538B7">
      <w:r w:rsidRPr="00560CC9">
        <w:rPr>
          <w:b/>
          <w:bCs/>
        </w:rPr>
        <w:t xml:space="preserve">A </w:t>
      </w:r>
      <w:r>
        <w:rPr>
          <w:b/>
          <w:bCs/>
        </w:rPr>
        <w:t xml:space="preserve">whole of government approach with </w:t>
      </w:r>
      <w:r>
        <w:rPr>
          <w:b/>
          <w:bCs/>
        </w:rPr>
        <w:t>continuous risk monitoring</w:t>
      </w:r>
      <w:r>
        <w:rPr>
          <w:b/>
          <w:bCs/>
        </w:rPr>
        <w:t xml:space="preserve"> can reduce strategic vulnerability and increase long-term resilience</w:t>
      </w:r>
      <w:r w:rsidRPr="00560CC9">
        <w:rPr>
          <w:b/>
          <w:bCs/>
        </w:rPr>
        <w:t>.</w:t>
      </w:r>
      <w:r>
        <w:t xml:space="preserve"> </w:t>
      </w:r>
      <w:r>
        <w:t xml:space="preserve">South Korea has developed a wide-ranging, </w:t>
      </w:r>
      <w:r>
        <w:t xml:space="preserve">whole of </w:t>
      </w:r>
      <w:r>
        <w:t xml:space="preserve">government </w:t>
      </w:r>
      <w:r>
        <w:t xml:space="preserve">framework that </w:t>
      </w:r>
      <w:r>
        <w:t xml:space="preserve">clearly </w:t>
      </w:r>
      <w:r>
        <w:t>delineates</w:t>
      </w:r>
      <w:r>
        <w:t xml:space="preserve"> responsibilities</w:t>
      </w:r>
      <w:r>
        <w:t xml:space="preserve"> to specific ministries responsible for </w:t>
      </w:r>
      <w:r>
        <w:t xml:space="preserve">different </w:t>
      </w:r>
      <w:r>
        <w:t xml:space="preserve">aspects of </w:t>
      </w:r>
      <w:r>
        <w:t>securing the critical mineral supply chain.</w:t>
      </w:r>
      <w:r>
        <w:rPr>
          <w:rStyle w:val="FootnoteReference"/>
        </w:rPr>
        <w:footnoteReference w:id="30"/>
      </w:r>
      <w:r w:rsidRPr="00D07D51">
        <w:t xml:space="preserve"> </w:t>
      </w:r>
      <w:r>
        <w:t>To strengthen</w:t>
      </w:r>
      <w:r w:rsidRPr="00D07D51">
        <w:t xml:space="preserve"> the resilience of its critical mineral supply chains</w:t>
      </w:r>
      <w:r>
        <w:t>, the strategy</w:t>
      </w:r>
      <w:r w:rsidRPr="00D07D51">
        <w:t xml:space="preserve"> </w:t>
      </w:r>
      <w:r>
        <w:t>focuses</w:t>
      </w:r>
      <w:r w:rsidRPr="00D07D51">
        <w:t xml:space="preserve"> on proactive monitoring, strategic preparedness, and international cooperation. </w:t>
      </w:r>
      <w:r>
        <w:t xml:space="preserve">Ministerial responsibilities include: </w:t>
      </w:r>
      <w:r>
        <w:t>financial policy</w:t>
      </w:r>
      <w:r>
        <w:t>, risk monitoring, domestic capability building and targeted international engagement.</w:t>
      </w:r>
      <w:r>
        <w:t xml:space="preserve"> </w:t>
      </w:r>
      <w:r>
        <w:t xml:space="preserve">For those critical minerals the government deems crucial to </w:t>
      </w:r>
      <w:r w:rsidRPr="00D07D51">
        <w:t>economic security</w:t>
      </w:r>
      <w:r>
        <w:t xml:space="preserve">, </w:t>
      </w:r>
      <w:r>
        <w:t>there is regular assessment of their</w:t>
      </w:r>
      <w:r w:rsidRPr="00D07D51">
        <w:t xml:space="preserve"> vulnerabilities, supported by an integrated early warning system that tracks domestic</w:t>
      </w:r>
      <w:r w:rsidRPr="00D07D51">
        <w:t xml:space="preserve"> and global supply chain conditions.</w:t>
      </w:r>
      <w:r>
        <w:rPr>
          <w:rStyle w:val="FootnoteReference"/>
        </w:rPr>
        <w:footnoteReference w:id="31"/>
      </w:r>
      <w:r w:rsidRPr="00D07D51">
        <w:t xml:space="preserve"> To ensure rapid action during disruptions, </w:t>
      </w:r>
      <w:r>
        <w:t>So</w:t>
      </w:r>
      <w:r>
        <w:t>u</w:t>
      </w:r>
      <w:r>
        <w:t xml:space="preserve">th Korea </w:t>
      </w:r>
      <w:r>
        <w:t xml:space="preserve">plans to </w:t>
      </w:r>
      <w:r w:rsidRPr="00D07D51">
        <w:t>expan</w:t>
      </w:r>
      <w:r>
        <w:t>d</w:t>
      </w:r>
      <w:r w:rsidRPr="00D07D51">
        <w:t xml:space="preserve"> public stockpiles of critical resources such as rare metals. The strategy also emphasi</w:t>
      </w:r>
      <w:r>
        <w:t>s</w:t>
      </w:r>
      <w:r w:rsidRPr="00D07D51">
        <w:t xml:space="preserve">es boosting domestic production capacity in essential sectors and diversifying import sources to reduce </w:t>
      </w:r>
      <w:r>
        <w:t xml:space="preserve">dependencies and </w:t>
      </w:r>
      <w:r w:rsidRPr="00D07D51">
        <w:t xml:space="preserve">overreliance on specific countries. Additional priorities include upgrading logistics infrastructure, </w:t>
      </w:r>
      <w:r>
        <w:t xml:space="preserve">fostering </w:t>
      </w:r>
      <w:r>
        <w:t xml:space="preserve">bilateral and multilateral cooperation initiatives with </w:t>
      </w:r>
      <w:r>
        <w:t>resource rich countries</w:t>
      </w:r>
      <w:r w:rsidRPr="00D07D51">
        <w:t xml:space="preserve">, and investing in </w:t>
      </w:r>
      <w:r>
        <w:t>research and development</w:t>
      </w:r>
      <w:r w:rsidRPr="00D07D51">
        <w:t xml:space="preserve"> to maintain competitiveness </w:t>
      </w:r>
      <w:r>
        <w:t>and resilience</w:t>
      </w:r>
      <w:r w:rsidRPr="00D07D51">
        <w:t xml:space="preserve"> in core technologies vita</w:t>
      </w:r>
      <w:r w:rsidRPr="00D07D51">
        <w:t>l to economic security.</w:t>
      </w:r>
      <w:r>
        <w:rPr>
          <w:rStyle w:val="FootnoteReference"/>
        </w:rPr>
        <w:footnoteReference w:id="32"/>
      </w:r>
      <w:r w:rsidRPr="00D07D51">
        <w:t xml:space="preserve"> </w:t>
      </w:r>
      <w:r>
        <w:t>T</w:t>
      </w:r>
      <w:r>
        <w:t xml:space="preserve">he </w:t>
      </w:r>
      <w:r w:rsidRPr="000C5FFD">
        <w:t>Supply Chain Stabilization Committee</w:t>
      </w:r>
      <w:r>
        <w:t>,</w:t>
      </w:r>
      <w:r>
        <w:t xml:space="preserve"> </w:t>
      </w:r>
      <w:r>
        <w:t xml:space="preserve">chaired by the Deputy Prime Minister, </w:t>
      </w:r>
      <w:r>
        <w:t>oversee</w:t>
      </w:r>
      <w:r>
        <w:t xml:space="preserve"> the approach overall, </w:t>
      </w:r>
      <w:r>
        <w:t xml:space="preserve">coordinate efforts </w:t>
      </w:r>
      <w:r>
        <w:t xml:space="preserve">and maintain an early warning system to </w:t>
      </w:r>
      <w:r>
        <w:t>foresee</w:t>
      </w:r>
      <w:r>
        <w:t xml:space="preserve"> </w:t>
      </w:r>
      <w:r>
        <w:t>supply shocks.</w:t>
      </w:r>
      <w:r>
        <w:rPr>
          <w:rStyle w:val="FootnoteReference"/>
        </w:rPr>
        <w:footnoteReference w:id="33"/>
      </w:r>
      <w:r w:rsidRPr="00D07D51">
        <w:t xml:space="preserve"> </w:t>
      </w:r>
      <w:r>
        <w:t>South Korea</w:t>
      </w:r>
      <w:r>
        <w:t xml:space="preserve">’s approach </w:t>
      </w:r>
      <w:r>
        <w:t>reflects</w:t>
      </w:r>
      <w:r>
        <w:t xml:space="preserve"> that supply</w:t>
      </w:r>
      <w:r>
        <w:t xml:space="preserve"> </w:t>
      </w:r>
      <w:r>
        <w:t xml:space="preserve">chain resilience cannot be achieved through isolated initiatives or ad hoc interventions. </w:t>
      </w:r>
    </w:p>
    <w:p w:rsidR="00310B76" w:rsidRPr="00696507" w:rsidP="002538B7">
      <w:r w:rsidRPr="003464BB">
        <w:rPr>
          <w:b/>
          <w:bCs/>
        </w:rPr>
        <w:t>South Korea’s approach</w:t>
      </w:r>
      <w:r>
        <w:rPr>
          <w:b/>
          <w:bCs/>
        </w:rPr>
        <w:t xml:space="preserve"> showcases the value of </w:t>
      </w:r>
      <w:r>
        <w:rPr>
          <w:b/>
          <w:bCs/>
        </w:rPr>
        <w:t xml:space="preserve">a </w:t>
      </w:r>
      <w:r w:rsidRPr="003464BB">
        <w:rPr>
          <w:b/>
          <w:bCs/>
        </w:rPr>
        <w:t>coordinated, whole of government approach.</w:t>
      </w:r>
      <w:r>
        <w:t xml:space="preserve"> </w:t>
      </w:r>
      <w:r>
        <w:t xml:space="preserve">By having an overseeing body to coordinate the implementation of the UK’s </w:t>
      </w:r>
      <w:r w:rsidRPr="00BF0B99">
        <w:rPr>
          <w:i/>
          <w:iCs/>
        </w:rPr>
        <w:t>Vision 2035: Critical Minerals Strategy</w:t>
      </w:r>
      <w:r>
        <w:t xml:space="preserve">, </w:t>
      </w:r>
      <w:r>
        <w:t xml:space="preserve">the UK would benefit from clarity over where responsibility for </w:t>
      </w:r>
      <w:r>
        <w:t>strategic implementation</w:t>
      </w:r>
      <w:r>
        <w:t xml:space="preserve"> lies</w:t>
      </w:r>
      <w:r>
        <w:t xml:space="preserve">. A </w:t>
      </w:r>
      <w:r>
        <w:t>delineat</w:t>
      </w:r>
      <w:r>
        <w:t>ion of</w:t>
      </w:r>
      <w:r>
        <w:t xml:space="preserve"> </w:t>
      </w:r>
      <w:r>
        <w:t>roles</w:t>
      </w:r>
      <w:r>
        <w:t xml:space="preserve"> </w:t>
      </w:r>
      <w:r>
        <w:t>to specific</w:t>
      </w:r>
      <w:r>
        <w:t xml:space="preserve"> ministries</w:t>
      </w:r>
      <w:r>
        <w:t xml:space="preserve"> and</w:t>
      </w:r>
      <w:r>
        <w:t xml:space="preserve"> agencie</w:t>
      </w:r>
      <w:r>
        <w:t>s</w:t>
      </w:r>
      <w:r>
        <w:t xml:space="preserve"> </w:t>
      </w:r>
      <w:r>
        <w:t>may</w:t>
      </w:r>
      <w:r>
        <w:t xml:space="preserve"> better connect </w:t>
      </w:r>
      <w:r>
        <w:t>risk assessment</w:t>
      </w:r>
      <w:r>
        <w:t>s</w:t>
      </w:r>
      <w:r>
        <w:t xml:space="preserve">, </w:t>
      </w:r>
      <w:r>
        <w:t xml:space="preserve">early warnings, </w:t>
      </w:r>
      <w:r>
        <w:t>industrial policy, and international collaborative efforts.</w:t>
      </w:r>
      <w:r>
        <w:t xml:space="preserve"> </w:t>
      </w:r>
      <w:r>
        <w:t xml:space="preserve">This </w:t>
      </w:r>
      <w:r>
        <w:t xml:space="preserve">approach enables </w:t>
      </w:r>
      <w:r>
        <w:t>better coordination of effort</w:t>
      </w:r>
      <w:r>
        <w:t xml:space="preserve">s and enhances </w:t>
      </w:r>
      <w:r>
        <w:t>accountability</w:t>
      </w:r>
      <w:r>
        <w:t xml:space="preserve"> </w:t>
      </w:r>
      <w:r>
        <w:t>to ensure th</w:t>
      </w:r>
      <w:r>
        <w:t>at</w:t>
      </w:r>
      <w:r>
        <w:t xml:space="preserve"> the necessary steps are being take</w:t>
      </w:r>
      <w:r>
        <w:t xml:space="preserve">n to </w:t>
      </w:r>
      <w:r>
        <w:t xml:space="preserve">guarantee </w:t>
      </w:r>
      <w:r>
        <w:t xml:space="preserve">the </w:t>
      </w:r>
      <w:r>
        <w:t xml:space="preserve">necessary supply of </w:t>
      </w:r>
      <w:r>
        <w:t xml:space="preserve">critical minerals </w:t>
      </w:r>
      <w:r>
        <w:t>for the</w:t>
      </w:r>
      <w:r>
        <w:t xml:space="preserve"> UK </w:t>
      </w:r>
      <w:r>
        <w:t xml:space="preserve">to meet </w:t>
      </w:r>
      <w:r>
        <w:t>i</w:t>
      </w:r>
      <w:r>
        <w:t>t</w:t>
      </w:r>
      <w:r>
        <w:t xml:space="preserve">s </w:t>
      </w:r>
      <w:r>
        <w:t>national priorities</w:t>
      </w:r>
      <w:r>
        <w:t>.</w:t>
      </w:r>
      <w:r>
        <w:t xml:space="preserve"> </w:t>
      </w:r>
    </w:p>
    <w:p w:rsidR="00310B76" w:rsidP="002538B7">
      <w:r w:rsidRPr="00AC7835">
        <w:rPr>
          <w:b/>
          <w:bCs/>
        </w:rPr>
        <w:t xml:space="preserve">Identifying priority resources and allocating funding </w:t>
      </w:r>
      <w:r w:rsidRPr="00AC7835">
        <w:rPr>
          <w:b/>
          <w:bCs/>
        </w:rPr>
        <w:t>is</w:t>
      </w:r>
      <w:r w:rsidRPr="00AC7835">
        <w:rPr>
          <w:b/>
          <w:bCs/>
        </w:rPr>
        <w:t xml:space="preserve"> essential for </w:t>
      </w:r>
      <w:r>
        <w:rPr>
          <w:b/>
          <w:bCs/>
        </w:rPr>
        <w:t>adapting and responding to disruptions</w:t>
      </w:r>
      <w:r>
        <w:rPr>
          <w:b/>
          <w:bCs/>
        </w:rPr>
        <w:t xml:space="preserve"> and geopolitical shocks</w:t>
      </w:r>
      <w:r w:rsidRPr="00AC7835">
        <w:rPr>
          <w:b/>
          <w:bCs/>
        </w:rPr>
        <w:t>.</w:t>
      </w:r>
      <w:r>
        <w:rPr>
          <w:rStyle w:val="FootnoteReference"/>
        </w:rPr>
        <w:footnoteReference w:id="34"/>
      </w:r>
      <w:r w:rsidRPr="00567EE4">
        <w:t xml:space="preserve"> </w:t>
      </w:r>
      <w:r w:rsidRPr="00567EE4">
        <w:t>Japan</w:t>
      </w:r>
      <w:r w:rsidRPr="00567EE4">
        <w:t>’s economic securi</w:t>
      </w:r>
      <w:r w:rsidRPr="00567EE4">
        <w:t>t</w:t>
      </w:r>
      <w:r w:rsidRPr="00567EE4">
        <w:t xml:space="preserve">y strategy also offers valuable insights </w:t>
      </w:r>
      <w:r w:rsidRPr="00567EE4">
        <w:t>to strengthen the resilience of critical minerals supply chains.</w:t>
      </w:r>
      <w:r>
        <w:t xml:space="preserve"> </w:t>
      </w:r>
      <w:r w:rsidRPr="00567EE4">
        <w:t xml:space="preserve">Central to its approach is the designation of </w:t>
      </w:r>
      <w:r>
        <w:t>12</w:t>
      </w:r>
      <w:r w:rsidRPr="00567EE4">
        <w:t xml:space="preserve"> </w:t>
      </w:r>
      <w:r>
        <w:t>products</w:t>
      </w:r>
      <w:r w:rsidRPr="00567EE4">
        <w:t xml:space="preserve"> </w:t>
      </w:r>
      <w:r w:rsidRPr="00567EE4">
        <w:t>as critical</w:t>
      </w:r>
      <w:r>
        <w:t xml:space="preserve"> to its </w:t>
      </w:r>
      <w:r>
        <w:t>defence</w:t>
      </w:r>
      <w:r>
        <w:t xml:space="preserve"> industrial base</w:t>
      </w:r>
      <w:r>
        <w:t>,</w:t>
      </w:r>
      <w:r w:rsidRPr="00567EE4">
        <w:t xml:space="preserve"> accompanied by substantial public investment aimed at stabilising</w:t>
      </w:r>
      <w:r>
        <w:t xml:space="preserve"> the</w:t>
      </w:r>
      <w:r w:rsidRPr="00567EE4">
        <w:t xml:space="preserve"> supply</w:t>
      </w:r>
      <w:r>
        <w:t xml:space="preserve"> of </w:t>
      </w:r>
      <w:r>
        <w:t xml:space="preserve">materials </w:t>
      </w:r>
      <w:r>
        <w:t>for</w:t>
      </w:r>
      <w:r>
        <w:t xml:space="preserve"> these products</w:t>
      </w:r>
      <w:r w:rsidRPr="00567EE4">
        <w:t xml:space="preserve"> and supporting research in key sectors</w:t>
      </w:r>
      <w:r w:rsidRPr="00567EE4">
        <w:t>.</w:t>
      </w:r>
      <w:r>
        <w:rPr>
          <w:rStyle w:val="FootnoteReference"/>
        </w:rPr>
        <w:footnoteReference w:id="35"/>
      </w:r>
      <w:r w:rsidRPr="00567EE4">
        <w:t xml:space="preserve"> </w:t>
      </w:r>
      <w:r w:rsidRPr="00567EE4">
        <w:t>Japan’s overarching goal of ensuring stable access to essential raw materials demonstrates the value of defining critical resources early and dedicating sustained public investment to their secure supply</w:t>
      </w:r>
      <w:r>
        <w:t>.</w:t>
      </w:r>
      <w:r>
        <w:rPr>
          <w:rStyle w:val="FootnoteReference"/>
        </w:rPr>
        <w:footnoteReference w:id="36"/>
      </w:r>
      <w:r>
        <w:t xml:space="preserve"> </w:t>
      </w:r>
      <w:r>
        <w:t>Japan’s</w:t>
      </w:r>
      <w:r w:rsidRPr="00567EE4">
        <w:t xml:space="preserve"> </w:t>
      </w:r>
      <w:r w:rsidRPr="00A90E82">
        <w:t xml:space="preserve">Ministry of Economy, Trade, and Industry </w:t>
      </w:r>
      <w:r>
        <w:t xml:space="preserve">implement its </w:t>
      </w:r>
      <w:r>
        <w:t xml:space="preserve">critical minerals policy </w:t>
      </w:r>
      <w:r>
        <w:t xml:space="preserve">through </w:t>
      </w:r>
      <w:r>
        <w:t>an</w:t>
      </w:r>
      <w:r w:rsidRPr="00925EA5">
        <w:t xml:space="preserve"> </w:t>
      </w:r>
      <w:r>
        <w:t>independent agency</w:t>
      </w:r>
      <w:r>
        <w:t xml:space="preserve"> - </w:t>
      </w:r>
      <w:r>
        <w:t xml:space="preserve"> </w:t>
      </w:r>
      <w:r>
        <w:t>J</w:t>
      </w:r>
      <w:r w:rsidRPr="00925EA5">
        <w:t>apan Organization for Metals and Energy Security</w:t>
      </w:r>
      <w:r w:rsidRPr="00567EE4">
        <w:t xml:space="preserve"> </w:t>
      </w:r>
      <w:r>
        <w:t>(</w:t>
      </w:r>
      <w:r w:rsidRPr="00C12717">
        <w:t>JOGMEC</w:t>
      </w:r>
      <w:r>
        <w:t xml:space="preserve">) who </w:t>
      </w:r>
      <w:r>
        <w:t>are responsible for financing</w:t>
      </w:r>
      <w:r>
        <w:t xml:space="preserve"> </w:t>
      </w:r>
      <w:r>
        <w:t>mineral exploration, mining and refining projects</w:t>
      </w:r>
      <w:r>
        <w:t xml:space="preserve"> as well as geological surveys and technical support</w:t>
      </w:r>
      <w:r>
        <w:t>.</w:t>
      </w:r>
      <w:r>
        <w:rPr>
          <w:rStyle w:val="FootnoteReference"/>
        </w:rPr>
        <w:footnoteReference w:id="37"/>
      </w:r>
      <w:r>
        <w:t xml:space="preserve"> </w:t>
      </w:r>
      <w:r>
        <w:t>JOGM</w:t>
      </w:r>
      <w:r>
        <w:t>EC</w:t>
      </w:r>
      <w:r>
        <w:t xml:space="preserve"> provide</w:t>
      </w:r>
      <w:r>
        <w:t>s</w:t>
      </w:r>
      <w:r>
        <w:t xml:space="preserve"> </w:t>
      </w:r>
      <w:r>
        <w:t xml:space="preserve">subsidies and </w:t>
      </w:r>
      <w:r>
        <w:t xml:space="preserve">loans </w:t>
      </w:r>
      <w:r>
        <w:t xml:space="preserve">for </w:t>
      </w:r>
      <w:r>
        <w:t>these</w:t>
      </w:r>
      <w:r>
        <w:t xml:space="preserve"> </w:t>
      </w:r>
      <w:r>
        <w:t xml:space="preserve">projects </w:t>
      </w:r>
      <w:r>
        <w:t xml:space="preserve">if they are </w:t>
      </w:r>
      <w:r>
        <w:t>Japanese</w:t>
      </w:r>
      <w:r>
        <w:t xml:space="preserve"> </w:t>
      </w:r>
      <w:r>
        <w:t>owned or</w:t>
      </w:r>
      <w:r>
        <w:t xml:space="preserve"> </w:t>
      </w:r>
      <w:r>
        <w:t xml:space="preserve">invested in by Japanese </w:t>
      </w:r>
      <w:r>
        <w:t>companies</w:t>
      </w:r>
      <w:r>
        <w:t>.</w:t>
      </w:r>
      <w:r>
        <w:rPr>
          <w:rStyle w:val="FootnoteReference"/>
        </w:rPr>
        <w:footnoteReference w:id="38"/>
      </w:r>
      <w:r>
        <w:t xml:space="preserve"> </w:t>
      </w:r>
      <w:r>
        <w:t>Japan’s economic security strategy</w:t>
      </w:r>
      <w:r w:rsidRPr="007869CF">
        <w:t xml:space="preserve"> </w:t>
      </w:r>
      <w:r>
        <w:t xml:space="preserve">also </w:t>
      </w:r>
      <w:r w:rsidRPr="00567EE4">
        <w:t xml:space="preserve">emphasises </w:t>
      </w:r>
      <w:r>
        <w:t xml:space="preserve">the </w:t>
      </w:r>
      <w:r w:rsidRPr="00567EE4">
        <w:t xml:space="preserve">protection of </w:t>
      </w:r>
      <w:r>
        <w:t>sensitive</w:t>
      </w:r>
      <w:r w:rsidRPr="007869CF">
        <w:t xml:space="preserve"> </w:t>
      </w:r>
      <w:r w:rsidRPr="00567EE4">
        <w:t xml:space="preserve">technologies through a process that allows officials to pause patent procedures when an invention contains information that could threaten national security if </w:t>
      </w:r>
      <w:r>
        <w:t xml:space="preserve">publicly </w:t>
      </w:r>
      <w:r w:rsidRPr="00567EE4">
        <w:t>released.</w:t>
      </w:r>
      <w:r w:rsidRPr="00C46722">
        <w:rPr>
          <w:rStyle w:val="FootnoteReference"/>
        </w:rPr>
        <w:t xml:space="preserve"> </w:t>
      </w:r>
      <w:r>
        <w:rPr>
          <w:rStyle w:val="FootnoteReference"/>
        </w:rPr>
        <w:footnoteReference w:id="39"/>
      </w:r>
      <w:r w:rsidRPr="00567EE4">
        <w:t xml:space="preserve"> </w:t>
      </w:r>
    </w:p>
    <w:p w:rsidR="00310B76" w:rsidRPr="00567EE4" w:rsidP="002538B7">
      <w:r>
        <w:t xml:space="preserve">The UK </w:t>
      </w:r>
      <w:r w:rsidRPr="002637EC">
        <w:t>may</w:t>
      </w:r>
      <w:r>
        <w:t xml:space="preserve"> draw two</w:t>
      </w:r>
      <w:r>
        <w:t xml:space="preserve"> </w:t>
      </w:r>
      <w:r w:rsidRPr="002637EC">
        <w:t>principal</w:t>
      </w:r>
      <w:r>
        <w:t xml:space="preserve"> lessons from </w:t>
      </w:r>
      <w:r w:rsidRPr="002637EC">
        <w:t>Japan’s experience</w:t>
      </w:r>
      <w:r>
        <w:t xml:space="preserve">. First, it </w:t>
      </w:r>
      <w:r>
        <w:t>should</w:t>
      </w:r>
      <w:r>
        <w:t xml:space="preserve"> </w:t>
      </w:r>
      <w:r>
        <w:t>clarify</w:t>
      </w:r>
      <w:r w:rsidRPr="00905598">
        <w:t xml:space="preserve"> its own list of strategically critical resources and</w:t>
      </w:r>
      <w:r>
        <w:t xml:space="preserve"> related technologies</w:t>
      </w:r>
      <w:r w:rsidRPr="00905598">
        <w:t xml:space="preserve"> </w:t>
      </w:r>
      <w:r>
        <w:t xml:space="preserve">- </w:t>
      </w:r>
      <w:r w:rsidRPr="00A07804">
        <w:t xml:space="preserve">an </w:t>
      </w:r>
      <w:r w:rsidRPr="0008209E">
        <w:t>endeavour</w:t>
      </w:r>
      <w:r>
        <w:t xml:space="preserve"> already </w:t>
      </w:r>
      <w:r w:rsidRPr="00A07804">
        <w:t>reflected</w:t>
      </w:r>
      <w:r>
        <w:t xml:space="preserve"> </w:t>
      </w:r>
      <w:r>
        <w:t>in the questions of this inquiry</w:t>
      </w:r>
      <w:r w:rsidRPr="00A07804">
        <w:t>.</w:t>
      </w:r>
      <w:r>
        <w:t xml:space="preserve"> </w:t>
      </w:r>
      <w:r>
        <w:t xml:space="preserve">Second, Japan’s approach </w:t>
      </w:r>
      <w:r w:rsidRPr="00567EE4">
        <w:t xml:space="preserve">highlights the importance of </w:t>
      </w:r>
      <w:r>
        <w:t>endorsing</w:t>
      </w:r>
      <w:r>
        <w:t xml:space="preserve"> its strategic ambitions </w:t>
      </w:r>
      <w:r>
        <w:t>with stabl</w:t>
      </w:r>
      <w:r w:rsidRPr="00905598">
        <w:t>e, long</w:t>
      </w:r>
      <w:r w:rsidRPr="00905598">
        <w:rPr>
          <w:rFonts w:ascii="Cambria Math" w:hAnsi="Cambria Math" w:cs="Cambria Math"/>
        </w:rPr>
        <w:t>‑</w:t>
      </w:r>
      <w:r w:rsidRPr="00905598">
        <w:t>term funding to secure supply</w:t>
      </w:r>
      <w:r>
        <w:t xml:space="preserve">. The UK </w:t>
      </w:r>
      <w:r>
        <w:t xml:space="preserve">could </w:t>
      </w:r>
      <w:r>
        <w:t xml:space="preserve">establish a dedicated agency </w:t>
      </w:r>
      <w:r>
        <w:t>to administer fundi</w:t>
      </w:r>
      <w:r>
        <w:t xml:space="preserve">ng </w:t>
      </w:r>
      <w:r>
        <w:t xml:space="preserve">relating to projects that strengthen </w:t>
      </w:r>
      <w:r>
        <w:t>the UK</w:t>
      </w:r>
      <w:r>
        <w:t>’s</w:t>
      </w:r>
      <w:r>
        <w:t xml:space="preserve"> ability to </w:t>
      </w:r>
      <w:r>
        <w:t>deliver critical minerals</w:t>
      </w:r>
      <w:r>
        <w:t xml:space="preserve">. </w:t>
      </w:r>
    </w:p>
    <w:p w:rsidR="00310B76" w:rsidP="00975B04">
      <w:r w:rsidRPr="0012447E">
        <w:rPr>
          <w:b/>
          <w:bCs/>
        </w:rPr>
        <w:t>C</w:t>
      </w:r>
      <w:r w:rsidRPr="0012447E">
        <w:rPr>
          <w:b/>
          <w:bCs/>
        </w:rPr>
        <w:t xml:space="preserve">ritical mineral supply chain security </w:t>
      </w:r>
      <w:r w:rsidRPr="0012447E">
        <w:rPr>
          <w:b/>
          <w:bCs/>
        </w:rPr>
        <w:t xml:space="preserve">can be improved </w:t>
      </w:r>
      <w:r>
        <w:rPr>
          <w:b/>
          <w:bCs/>
        </w:rPr>
        <w:t xml:space="preserve">by incentivising </w:t>
      </w:r>
      <w:r>
        <w:rPr>
          <w:b/>
          <w:bCs/>
        </w:rPr>
        <w:t xml:space="preserve">domestic production </w:t>
      </w:r>
      <w:r w:rsidRPr="0012447E">
        <w:rPr>
          <w:b/>
          <w:bCs/>
        </w:rPr>
        <w:t>through a combination of targeted financial interventions</w:t>
      </w:r>
      <w:r>
        <w:rPr>
          <w:b/>
          <w:bCs/>
        </w:rPr>
        <w:t xml:space="preserve"> </w:t>
      </w:r>
      <w:r w:rsidRPr="0012447E">
        <w:rPr>
          <w:b/>
          <w:bCs/>
        </w:rPr>
        <w:t xml:space="preserve">and </w:t>
      </w:r>
      <w:r>
        <w:rPr>
          <w:b/>
          <w:bCs/>
        </w:rPr>
        <w:t>trade policies</w:t>
      </w:r>
      <w:r w:rsidRPr="0012447E">
        <w:rPr>
          <w:b/>
          <w:bCs/>
        </w:rPr>
        <w:t>.</w:t>
      </w:r>
      <w:r w:rsidRPr="0012447E">
        <w:t xml:space="preserve"> </w:t>
      </w:r>
      <w:r>
        <w:t xml:space="preserve">The </w:t>
      </w:r>
      <w:r>
        <w:t>US</w:t>
      </w:r>
      <w:r>
        <w:t xml:space="preserve"> government </w:t>
      </w:r>
      <w:r>
        <w:t xml:space="preserve">has </w:t>
      </w:r>
      <w:r w:rsidRPr="0012447E">
        <w:t>prioritise</w:t>
      </w:r>
      <w:r>
        <w:t>d</w:t>
      </w:r>
      <w:r w:rsidRPr="0012447E">
        <w:t xml:space="preserve"> </w:t>
      </w:r>
      <w:r w:rsidRPr="0012447E">
        <w:t>the development of mining and manufacturing capacity</w:t>
      </w:r>
      <w:r w:rsidRPr="00551DF8">
        <w:t xml:space="preserve"> </w:t>
      </w:r>
      <w:r w:rsidRPr="00484E21">
        <w:t>in several ways</w:t>
      </w:r>
      <w:r>
        <w:t xml:space="preserve">. For example, </w:t>
      </w:r>
      <w:r w:rsidRPr="0012447E">
        <w:t xml:space="preserve">the </w:t>
      </w:r>
      <w:r w:rsidRPr="0012447E">
        <w:t xml:space="preserve">Office of Strategic Capital </w:t>
      </w:r>
      <w:r w:rsidRPr="0012447E">
        <w:t>offer</w:t>
      </w:r>
      <w:r w:rsidRPr="00484E21">
        <w:t xml:space="preserve">s </w:t>
      </w:r>
      <w:r w:rsidRPr="0012447E">
        <w:t>de</w:t>
      </w:r>
      <w:r w:rsidRPr="0012447E">
        <w:t>b</w:t>
      </w:r>
      <w:r w:rsidRPr="0012447E">
        <w:t>t and investment funding for companies developing critical technologies for national security,</w:t>
      </w:r>
      <w:r w:rsidRPr="0012447E">
        <w:t xml:space="preserve"> </w:t>
      </w:r>
      <w:r w:rsidRPr="00484E21">
        <w:t xml:space="preserve">whilst </w:t>
      </w:r>
      <w:r w:rsidRPr="0012447E">
        <w:t>t</w:t>
      </w:r>
      <w:r w:rsidRPr="0012447E">
        <w:t>he US Department of Energy (DOE) provide</w:t>
      </w:r>
      <w:r>
        <w:t>s</w:t>
      </w:r>
      <w:r w:rsidRPr="0012447E">
        <w:t xml:space="preserve"> </w:t>
      </w:r>
      <w:r w:rsidRPr="0012447E">
        <w:t xml:space="preserve">loans to incentivise companies to relocate </w:t>
      </w:r>
      <w:r w:rsidRPr="0012447E">
        <w:t xml:space="preserve">foreign </w:t>
      </w:r>
      <w:r w:rsidRPr="0012447E">
        <w:t xml:space="preserve">production </w:t>
      </w:r>
      <w:r w:rsidRPr="0012447E">
        <w:t xml:space="preserve">to </w:t>
      </w:r>
      <w:r w:rsidRPr="0012447E">
        <w:t xml:space="preserve">relocate </w:t>
      </w:r>
      <w:r w:rsidRPr="0012447E">
        <w:t>domestically</w:t>
      </w:r>
      <w:r w:rsidRPr="00484E21">
        <w:t>.</w:t>
      </w:r>
      <w:r>
        <w:rPr>
          <w:rStyle w:val="FootnoteReference"/>
        </w:rPr>
        <w:footnoteReference w:id="40"/>
      </w:r>
      <w:r w:rsidRPr="00484E21">
        <w:t xml:space="preserve"> </w:t>
      </w:r>
      <w:r>
        <w:t>The U</w:t>
      </w:r>
      <w:r>
        <w:t xml:space="preserve">nited </w:t>
      </w:r>
      <w:r>
        <w:t>S</w:t>
      </w:r>
      <w:r>
        <w:t>tates</w:t>
      </w:r>
      <w:r>
        <w:t xml:space="preserve"> </w:t>
      </w:r>
      <w:r w:rsidRPr="003B0E15">
        <w:t xml:space="preserve">has also </w:t>
      </w:r>
      <w:r>
        <w:t>made use of</w:t>
      </w:r>
      <w:r w:rsidRPr="003B0E15">
        <w:t xml:space="preserve"> trade policy </w:t>
      </w:r>
      <w:r>
        <w:t xml:space="preserve">tools </w:t>
      </w:r>
      <w:r w:rsidRPr="003B0E15">
        <w:t>in response to strategic competition with China, applying tariffs on electric vehicles, batteries and critical minerals</w:t>
      </w:r>
      <w:r>
        <w:t xml:space="preserve"> from China</w:t>
      </w:r>
      <w:r w:rsidRPr="003B0E15">
        <w:t>, and tightening export controls on advanced technologies.</w:t>
      </w:r>
      <w:r>
        <w:rPr>
          <w:rStyle w:val="FootnoteReference"/>
        </w:rPr>
        <w:footnoteReference w:id="41"/>
      </w:r>
    </w:p>
    <w:p w:rsidR="00310B76" w:rsidP="00975B04">
      <w:r>
        <w:rPr>
          <w:b/>
          <w:bCs/>
        </w:rPr>
        <w:t xml:space="preserve">Providing funding to overseas projects can </w:t>
      </w:r>
      <w:r>
        <w:rPr>
          <w:b/>
          <w:bCs/>
        </w:rPr>
        <w:t xml:space="preserve">offer a way for the UK to </w:t>
      </w:r>
      <w:r>
        <w:rPr>
          <w:b/>
          <w:bCs/>
        </w:rPr>
        <w:t>diversif</w:t>
      </w:r>
      <w:r>
        <w:rPr>
          <w:b/>
          <w:bCs/>
        </w:rPr>
        <w:t xml:space="preserve">y its </w:t>
      </w:r>
      <w:r>
        <w:rPr>
          <w:b/>
          <w:bCs/>
        </w:rPr>
        <w:t>suppl</w:t>
      </w:r>
      <w:r>
        <w:rPr>
          <w:b/>
          <w:bCs/>
        </w:rPr>
        <w:t xml:space="preserve">y chains </w:t>
      </w:r>
      <w:r>
        <w:rPr>
          <w:b/>
          <w:bCs/>
        </w:rPr>
        <w:t xml:space="preserve">and </w:t>
      </w:r>
      <w:r>
        <w:rPr>
          <w:b/>
          <w:bCs/>
        </w:rPr>
        <w:t>reduce dependencies on single countries</w:t>
      </w:r>
      <w:r>
        <w:rPr>
          <w:b/>
          <w:bCs/>
        </w:rPr>
        <w:t xml:space="preserve">. </w:t>
      </w:r>
      <w:r>
        <w:t>The</w:t>
      </w:r>
      <w:r w:rsidRPr="00537321">
        <w:t xml:space="preserve"> U</w:t>
      </w:r>
      <w:r>
        <w:t xml:space="preserve">nited </w:t>
      </w:r>
      <w:r w:rsidRPr="00537321">
        <w:t>S</w:t>
      </w:r>
      <w:r>
        <w:t>tates</w:t>
      </w:r>
      <w:r w:rsidRPr="00537321">
        <w:t xml:space="preserve"> has </w:t>
      </w:r>
      <w:r w:rsidRPr="00484E21">
        <w:t>pursued</w:t>
      </w:r>
      <w:r w:rsidRPr="00484E21">
        <w:t xml:space="preserve"> measures internationally</w:t>
      </w:r>
      <w:r w:rsidRPr="00537321">
        <w:t xml:space="preserve"> to </w:t>
      </w:r>
      <w:r w:rsidRPr="003B0E15">
        <w:t>improve access to key mineral sources</w:t>
      </w:r>
      <w:r>
        <w:t xml:space="preserve"> by </w:t>
      </w:r>
      <w:r w:rsidRPr="00B86E9F">
        <w:t>financ</w:t>
      </w:r>
      <w:r>
        <w:t>ing</w:t>
      </w:r>
      <w:r w:rsidRPr="00B86E9F">
        <w:t xml:space="preserve"> </w:t>
      </w:r>
      <w:r>
        <w:t xml:space="preserve">overseas </w:t>
      </w:r>
      <w:r w:rsidRPr="00B86E9F">
        <w:t>infrastructure</w:t>
      </w:r>
      <w:r>
        <w:t xml:space="preserve"> projects</w:t>
      </w:r>
      <w:r w:rsidRPr="003B0E15">
        <w:t>.</w:t>
      </w:r>
      <w:r>
        <w:rPr>
          <w:rStyle w:val="FootnoteReference"/>
        </w:rPr>
        <w:footnoteReference w:id="42"/>
      </w:r>
      <w:r w:rsidRPr="003B0E15">
        <w:t xml:space="preserve"> </w:t>
      </w:r>
      <w:r>
        <w:t>For instance,</w:t>
      </w:r>
      <w:r>
        <w:t xml:space="preserve"> the US</w:t>
      </w:r>
      <w:r w:rsidRPr="00FF1486">
        <w:t xml:space="preserve"> Development Finance Corporation</w:t>
      </w:r>
      <w:r>
        <w:t xml:space="preserve"> </w:t>
      </w:r>
      <w:r>
        <w:t>has partnered with</w:t>
      </w:r>
      <w:r w:rsidRPr="00FF1486">
        <w:t xml:space="preserve"> </w:t>
      </w:r>
      <w:r>
        <w:t>the E</w:t>
      </w:r>
      <w:r>
        <w:t xml:space="preserve">uropean </w:t>
      </w:r>
      <w:r>
        <w:t>U</w:t>
      </w:r>
      <w:r>
        <w:t>nion</w:t>
      </w:r>
      <w:r>
        <w:t>, the</w:t>
      </w:r>
      <w:r w:rsidRPr="00CC5396">
        <w:t xml:space="preserve"> African Development Bank, the Africa Finance Corporation, the World Bank</w:t>
      </w:r>
      <w:r>
        <w:t>,</w:t>
      </w:r>
      <w:r>
        <w:t xml:space="preserve"> </w:t>
      </w:r>
      <w:r>
        <w:t xml:space="preserve">and </w:t>
      </w:r>
      <w:r>
        <w:t>g</w:t>
      </w:r>
      <w:r>
        <w:t xml:space="preserve">overnments of Angola, the </w:t>
      </w:r>
      <w:r w:rsidRPr="00FF1486">
        <w:t>Democratic Republic of the Congo</w:t>
      </w:r>
      <w:r>
        <w:t xml:space="preserve"> (DRC), and Zambia</w:t>
      </w:r>
      <w:r>
        <w:t xml:space="preserve"> to </w:t>
      </w:r>
      <w:r>
        <w:t xml:space="preserve">develop the </w:t>
      </w:r>
      <w:r w:rsidRPr="00961304">
        <w:t>Lobito Atlantic Railway</w:t>
      </w:r>
      <w:r>
        <w:t xml:space="preserve">. The project aims to improve </w:t>
      </w:r>
      <w:r>
        <w:t xml:space="preserve">transportation networks </w:t>
      </w:r>
      <w:r>
        <w:t xml:space="preserve">in Central and Southern Africa </w:t>
      </w:r>
      <w:r>
        <w:t xml:space="preserve">by connecting </w:t>
      </w:r>
      <w:r>
        <w:t>coastal Angola with</w:t>
      </w:r>
      <w:r>
        <w:t xml:space="preserve"> mining regions in the DRC and Zambia</w:t>
      </w:r>
      <w:r>
        <w:t xml:space="preserve"> by rail</w:t>
      </w:r>
      <w:r>
        <w:t>.</w:t>
      </w:r>
      <w:r>
        <w:rPr>
          <w:rStyle w:val="FootnoteReference"/>
        </w:rPr>
        <w:footnoteReference w:id="43"/>
      </w:r>
      <w:r>
        <w:t xml:space="preserve"> </w:t>
      </w:r>
      <w:r>
        <w:t>In addition, t</w:t>
      </w:r>
      <w:r>
        <w:t>he U</w:t>
      </w:r>
      <w:r>
        <w:t xml:space="preserve">nited </w:t>
      </w:r>
      <w:r>
        <w:t>S</w:t>
      </w:r>
      <w:r>
        <w:t>tates</w:t>
      </w:r>
      <w:r>
        <w:t xml:space="preserve"> has f</w:t>
      </w:r>
      <w:r>
        <w:t xml:space="preserve">urther </w:t>
      </w:r>
      <w:r>
        <w:t>pledged</w:t>
      </w:r>
      <w:r>
        <w:t xml:space="preserve"> support to the DRC and Zambia </w:t>
      </w:r>
      <w:r>
        <w:t xml:space="preserve">to </w:t>
      </w:r>
      <w:r>
        <w:t xml:space="preserve">produce </w:t>
      </w:r>
      <w:r>
        <w:t>electric vehicle (</w:t>
      </w:r>
      <w:r>
        <w:t>EV</w:t>
      </w:r>
      <w:r>
        <w:t>)</w:t>
      </w:r>
      <w:r>
        <w:t xml:space="preserve"> batteries</w:t>
      </w:r>
      <w:r>
        <w:t xml:space="preserve">, from </w:t>
      </w:r>
      <w:r>
        <w:t xml:space="preserve">the </w:t>
      </w:r>
      <w:r>
        <w:t>mining of critical mineral components through to the assembly line.</w:t>
      </w:r>
      <w:r>
        <w:rPr>
          <w:rStyle w:val="FootnoteReference"/>
        </w:rPr>
        <w:footnoteReference w:id="44"/>
      </w:r>
      <w:r>
        <w:t xml:space="preserve"> </w:t>
      </w:r>
      <w:r>
        <w:t xml:space="preserve">These examples illustrate </w:t>
      </w:r>
      <w:r>
        <w:t xml:space="preserve">how investments overseas can enable </w:t>
      </w:r>
      <w:r w:rsidRPr="00FF1486">
        <w:t>access to upstream resources an</w:t>
      </w:r>
      <w:r>
        <w:t xml:space="preserve">d </w:t>
      </w:r>
      <w:r w:rsidRPr="00FF1486">
        <w:t>create alternative routes to global markets</w:t>
      </w:r>
      <w:r>
        <w:t>.</w:t>
      </w:r>
      <w:r>
        <w:rPr>
          <w:rStyle w:val="FootnoteReference"/>
        </w:rPr>
        <w:footnoteReference w:id="45"/>
      </w:r>
      <w:r>
        <w:t xml:space="preserve"> </w:t>
      </w:r>
    </w:p>
    <w:p w:rsidR="00310B76" w:rsidRPr="003464BB" w:rsidP="00804AE2">
      <w:pPr>
        <w:rPr>
          <w:b/>
          <w:bCs/>
        </w:rPr>
      </w:pPr>
      <w:r>
        <w:t>Two</w:t>
      </w:r>
      <w:r>
        <w:t xml:space="preserve"> </w:t>
      </w:r>
      <w:r>
        <w:t>principal</w:t>
      </w:r>
      <w:r>
        <w:t xml:space="preserve"> </w:t>
      </w:r>
      <w:r>
        <w:t xml:space="preserve">lessons </w:t>
      </w:r>
      <w:r>
        <w:t xml:space="preserve">can be drawn </w:t>
      </w:r>
      <w:r>
        <w:t>from the U</w:t>
      </w:r>
      <w:r>
        <w:t xml:space="preserve">nited </w:t>
      </w:r>
      <w:r>
        <w:t>S</w:t>
      </w:r>
      <w:r>
        <w:t>tates</w:t>
      </w:r>
      <w:r>
        <w:t>’ approach to</w:t>
      </w:r>
      <w:r>
        <w:t xml:space="preserve"> reducing dependency on </w:t>
      </w:r>
      <w:r>
        <w:t xml:space="preserve">single countries for critical minerals. First, </w:t>
      </w:r>
      <w:r>
        <w:t xml:space="preserve">the UK </w:t>
      </w:r>
      <w:r>
        <w:t xml:space="preserve">could explore opportunities to join multi-lateral initiatives overseas, akin to the </w:t>
      </w:r>
      <w:r w:rsidRPr="00F73D91">
        <w:t>Lobito Atlantic Railway</w:t>
      </w:r>
      <w:r>
        <w:t xml:space="preserve"> project</w:t>
      </w:r>
      <w:r>
        <w:t>,</w:t>
      </w:r>
      <w:r>
        <w:t xml:space="preserve"> to establish alternative suppl</w:t>
      </w:r>
      <w:r>
        <w:t>ies</w:t>
      </w:r>
      <w:r>
        <w:t xml:space="preserve"> of critical minerals. Second, t</w:t>
      </w:r>
      <w:r>
        <w:t xml:space="preserve">he UK </w:t>
      </w:r>
      <w:r>
        <w:t xml:space="preserve">could </w:t>
      </w:r>
      <w:r>
        <w:t xml:space="preserve">bolster domestic production of critical minerals. As highlighted by the Critical Mineral Strategy, this could happen at different stages of the supply chain, from </w:t>
      </w:r>
      <w:r w:rsidRPr="00F94895">
        <w:t>mining</w:t>
      </w:r>
      <w:r>
        <w:t xml:space="preserve"> (if viable)</w:t>
      </w:r>
      <w:r w:rsidRPr="00F94895">
        <w:t>, processing and recycling</w:t>
      </w:r>
      <w:r>
        <w:t xml:space="preserve">. </w:t>
      </w:r>
    </w:p>
    <w:p w:rsidR="00310B76" w:rsidP="001835C2">
      <w:r w:rsidRPr="00484E21">
        <w:rPr>
          <w:b/>
          <w:bCs/>
        </w:rPr>
        <w:t xml:space="preserve">The UK could </w:t>
      </w:r>
      <w:r>
        <w:rPr>
          <w:b/>
          <w:bCs/>
        </w:rPr>
        <w:t xml:space="preserve">also </w:t>
      </w:r>
      <w:r w:rsidRPr="00484E21">
        <w:rPr>
          <w:b/>
          <w:bCs/>
        </w:rPr>
        <w:t>explore ways to simulate a domestic research community to explore new sources of critical minerals.</w:t>
      </w:r>
      <w:r>
        <w:t xml:space="preserve"> For example, </w:t>
      </w:r>
      <w:r w:rsidRPr="003B0E15">
        <w:t xml:space="preserve">the </w:t>
      </w:r>
      <w:r>
        <w:t>U</w:t>
      </w:r>
      <w:r>
        <w:t xml:space="preserve">nited </w:t>
      </w:r>
      <w:r>
        <w:t>S</w:t>
      </w:r>
      <w:r>
        <w:t>tates</w:t>
      </w:r>
      <w:r w:rsidRPr="003B0E15">
        <w:t xml:space="preserve"> continues to invest in research aimed at improving extraction and processing technologies</w:t>
      </w:r>
      <w:r>
        <w:t>. The US</w:t>
      </w:r>
      <w:r w:rsidRPr="0012447E">
        <w:t xml:space="preserve"> DO</w:t>
      </w:r>
      <w:r w:rsidRPr="00484E21">
        <w:t>E</w:t>
      </w:r>
      <w:r w:rsidRPr="0012447E">
        <w:t xml:space="preserve"> oversee</w:t>
      </w:r>
      <w:r>
        <w:t>s</w:t>
      </w:r>
      <w:r w:rsidRPr="0012447E">
        <w:t xml:space="preserve"> a network of laboratories to </w:t>
      </w:r>
      <w:r w:rsidRPr="0012447E">
        <w:t>maintain re</w:t>
      </w:r>
      <w:r w:rsidRPr="00E536DD">
        <w:t xml:space="preserve">search into </w:t>
      </w:r>
      <w:r>
        <w:t xml:space="preserve">advancing technologies that use critical minerals, including </w:t>
      </w:r>
      <w:r w:rsidRPr="003B0E15">
        <w:t xml:space="preserve">identifying new or alternative sources of </w:t>
      </w:r>
      <w:r w:rsidRPr="00E536DD">
        <w:t>including critical mineral extraction</w:t>
      </w:r>
      <w:r>
        <w:t xml:space="preserve">, </w:t>
      </w:r>
      <w:r w:rsidRPr="00E536DD">
        <w:t>from coal and other sources</w:t>
      </w:r>
      <w:r>
        <w:t>.</w:t>
      </w:r>
      <w:r>
        <w:rPr>
          <w:rStyle w:val="FootnoteReference"/>
        </w:rPr>
        <w:footnoteReference w:id="46"/>
      </w:r>
      <w:r>
        <w:t xml:space="preserve"> </w:t>
      </w:r>
    </w:p>
    <w:p w:rsidR="00310B76" w:rsidRPr="00567EE4" w:rsidP="001835C2">
      <w:r>
        <w:t xml:space="preserve">To further reduce UK dependency on </w:t>
      </w:r>
      <w:r>
        <w:t xml:space="preserve">single countries for its critical mineral supply, the UK could </w:t>
      </w:r>
      <w:r>
        <w:t>learn</w:t>
      </w:r>
      <w:r>
        <w:t xml:space="preserve"> from the US approach</w:t>
      </w:r>
      <w:r>
        <w:t xml:space="preserve"> to fostering </w:t>
      </w:r>
      <w:r>
        <w:t>a research community. T</w:t>
      </w:r>
      <w:r>
        <w:t xml:space="preserve">he UK could further support </w:t>
      </w:r>
      <w:r>
        <w:t xml:space="preserve">academia and the research community by </w:t>
      </w:r>
      <w:r>
        <w:t xml:space="preserve">establishing </w:t>
      </w:r>
      <w:r>
        <w:t xml:space="preserve">grants and research funds specifically targeted towards </w:t>
      </w:r>
      <w:r>
        <w:t xml:space="preserve">researching </w:t>
      </w:r>
      <w:r>
        <w:t>alternative sources of critical minerals.</w:t>
      </w:r>
      <w:r>
        <w:t xml:space="preserve"> A central </w:t>
      </w:r>
      <w:r>
        <w:t xml:space="preserve">body </w:t>
      </w:r>
      <w:r>
        <w:t xml:space="preserve">to </w:t>
      </w:r>
      <w:r>
        <w:t>coordinat</w:t>
      </w:r>
      <w:r>
        <w:t>e</w:t>
      </w:r>
      <w:r>
        <w:t xml:space="preserve"> and oversee such research could also streamline efforts</w:t>
      </w:r>
      <w:r>
        <w:t xml:space="preserve"> and provide high level guidance on areas of </w:t>
      </w:r>
      <w:r>
        <w:t>relevance to the UK’s national priorities.</w:t>
      </w:r>
    </w:p>
    <w:p w:rsidR="00310B76" w:rsidP="00347242"/>
    <w:p w:rsidR="00310B76" w:rsidRPr="00567EE4" w:rsidP="00BF335D"/>
    <w:p w:rsidR="00310B76" w:rsidRPr="00567EE4" w:rsidP="00BF335D"/>
    <w:p w:rsidR="00310B76" w:rsidRPr="00567EE4" w:rsidP="00BF335D"/>
    <w:p w:rsidR="00310B76" w:rsidRPr="00567EE4" w:rsidP="00BF335D"/>
    <w:p w:rsidR="00310B76" w:rsidRPr="00567EE4" w:rsidP="00BF335D"/>
    <w:p w:rsidR="00310B76" w:rsidRPr="00567EE4" w:rsidP="00BF335D"/>
    <w:p w:rsidR="00310B76" w:rsidRPr="00567EE4" w:rsidP="00BF335D"/>
    <w:p w:rsidR="00310B76" w:rsidRPr="00567EE4" w:rsidP="00BF335D">
      <w:pPr>
        <w:sectPr w:rsidSect="00310B7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310B76" w:rsidRPr="00567EE4" w:rsidP="003F0035"/>
    <w:p w:rsidR="00310B76" w:rsidRPr="004507D4" w:rsidP="00B56C2A">
      <w:pPr>
        <w:pStyle w:val="Frontmattertitles"/>
        <w:rPr>
          <w:lang w:val="it-IT"/>
        </w:rPr>
      </w:pPr>
      <w:bookmarkStart w:id="1" w:name="_Toc491600397"/>
      <w:bookmarkStart w:id="2" w:name="_Toc491601292"/>
      <w:bookmarkStart w:id="3" w:name="_Toc5025998"/>
      <w:bookmarkStart w:id="4" w:name="_Toc202361901"/>
      <w:r w:rsidRPr="004507D4">
        <w:rPr>
          <w:lang w:val="it-IT"/>
        </w:rPr>
        <w:t>References</w:t>
      </w:r>
      <w:bookmarkEnd w:id="1"/>
      <w:bookmarkEnd w:id="2"/>
      <w:bookmarkEnd w:id="3"/>
      <w:bookmarkEnd w:id="4"/>
    </w:p>
    <w:p w:rsidR="00310B76" w:rsidP="00EF2EB9">
      <w:pPr>
        <w:pStyle w:val="Reference"/>
        <w:spacing w:after="0"/>
      </w:pPr>
      <w:r w:rsidRPr="003A6D28">
        <w:t>Department for Business &amp; Trade. 2026.</w:t>
      </w:r>
      <w:r w:rsidRPr="00E73FB9">
        <w:t xml:space="preserve"> </w:t>
      </w:r>
      <w:r>
        <w:t>‘</w:t>
      </w:r>
      <w:r w:rsidRPr="003A6D28">
        <w:t>Vision 2035: Critical Minerals Strategy.</w:t>
      </w:r>
      <w:r w:rsidRPr="003A6D28">
        <w:t>’</w:t>
      </w:r>
      <w:r w:rsidRPr="003A6D28">
        <w:t xml:space="preserve"> </w:t>
      </w:r>
      <w:r w:rsidRPr="003A6D28">
        <w:t>UK Government</w:t>
      </w:r>
      <w:r>
        <w:t>.</w:t>
      </w:r>
      <w:r w:rsidRPr="003A6D28">
        <w:t xml:space="preserve"> As of 7 </w:t>
      </w:r>
      <w:r w:rsidRPr="003A6D28">
        <w:t xml:space="preserve">April 2026: </w:t>
      </w:r>
    </w:p>
    <w:p w:rsidR="00310B76" w:rsidRPr="003A6D28" w:rsidP="00EF2EB9">
      <w:pPr>
        <w:pStyle w:val="Reference"/>
        <w:ind w:firstLine="0"/>
      </w:pPr>
      <w:r>
        <w:fldChar w:fldCharType="begin"/>
      </w:r>
      <w:r>
        <w:instrText xml:space="preserve"> HYPERLINK "https://www.gov.uk/government/publications/uk-critical-minerals-strategy/vision-2035-critical-minerals-strategy" </w:instrText>
      </w:r>
      <w:r>
        <w:fldChar w:fldCharType="separate"/>
      </w:r>
      <w:r w:rsidRPr="00FD0708">
        <w:rPr>
          <w:rStyle w:val="Hyperlink"/>
        </w:rPr>
        <w:t>https://www.gov.uk/government/publications/uk-critical-minerals-strategy/vision-2035-critical-minerals-strategy</w:t>
      </w:r>
      <w:r>
        <w:fldChar w:fldCharType="end"/>
      </w:r>
      <w:r w:rsidRPr="003A6D28">
        <w:t xml:space="preserve"> </w:t>
      </w:r>
    </w:p>
    <w:p w:rsidR="00310B76" w:rsidRPr="00567EE4" w:rsidP="00FD0DE8">
      <w:pPr>
        <w:pStyle w:val="Reference"/>
      </w:pPr>
      <w:r w:rsidRPr="003A6D28">
        <w:t xml:space="preserve">Ghiretti, Francesca </w:t>
      </w:r>
      <w:r w:rsidRPr="003A6D28">
        <w:t>&amp;</w:t>
      </w:r>
      <w:r w:rsidRPr="003A6D28">
        <w:t xml:space="preserve"> Conlan Ellis. </w:t>
      </w:r>
      <w:r w:rsidRPr="00567EE4">
        <w:t xml:space="preserve">2026. </w:t>
      </w:r>
      <w:r w:rsidRPr="00567EE4">
        <w:rPr>
          <w:i/>
          <w:iCs/>
        </w:rPr>
        <w:t>Old priorities, new contexts: The institutional roots and new developments of China's rare earth policy</w:t>
      </w:r>
      <w:r w:rsidRPr="00567EE4">
        <w:t>. Santa Monica, C</w:t>
      </w:r>
      <w:r>
        <w:t>alif.</w:t>
      </w:r>
      <w:r w:rsidRPr="00567EE4">
        <w:t xml:space="preserve">: RAND Corporation. </w:t>
      </w:r>
      <w:r>
        <w:t xml:space="preserve">PE-A4756-1. </w:t>
      </w:r>
      <w:r w:rsidRPr="00567EE4">
        <w:t xml:space="preserve">As of 1 April 2026: </w:t>
      </w:r>
      <w:r>
        <w:fldChar w:fldCharType="begin"/>
      </w:r>
      <w:r>
        <w:instrText xml:space="preserve"> HYPERLINK "https://www.rand.org/pubs/perspectives/PEA4756-1.html" </w:instrText>
      </w:r>
      <w:r>
        <w:fldChar w:fldCharType="separate"/>
      </w:r>
      <w:r w:rsidRPr="00567EE4">
        <w:rPr>
          <w:rStyle w:val="Hyperlink"/>
        </w:rPr>
        <w:t>https://www.rand.org/pubs/perspectives/PEA4756-1.html</w:t>
      </w:r>
      <w:r>
        <w:fldChar w:fldCharType="end"/>
      </w:r>
      <w:r w:rsidRPr="00567EE4">
        <w:t xml:space="preserve"> </w:t>
      </w:r>
    </w:p>
    <w:p w:rsidR="00310B76" w:rsidP="00FD0DE8">
      <w:pPr>
        <w:pStyle w:val="Reference"/>
      </w:pPr>
      <w:r>
        <w:t xml:space="preserve">Hill, Daniel &amp; Rebecca Lucas. 2024. ‘NATO Needs to Align on Supply of Critical Raw Materials.’ RAND Europe, 25 June. As of 2 April 2026: </w:t>
      </w:r>
      <w:r>
        <w:fldChar w:fldCharType="begin"/>
      </w:r>
      <w:r>
        <w:instrText xml:space="preserve"> HYPERLINK "https://www.rand.org/pubs/commentary/2024/06/nato-needs-to-align-on-supply-of-critical-raw-materials.html" </w:instrText>
      </w:r>
      <w:r>
        <w:fldChar w:fldCharType="separate"/>
      </w:r>
      <w:r w:rsidRPr="0030246A">
        <w:rPr>
          <w:rStyle w:val="Hyperlink"/>
        </w:rPr>
        <w:t>https://www.rand.org/pubs/commentary/2024/06/nato-needs-to-align-on-supply-of-critical-raw-materials.html</w:t>
      </w:r>
      <w:r>
        <w:fldChar w:fldCharType="end"/>
      </w:r>
      <w:r>
        <w:t xml:space="preserve"> </w:t>
      </w:r>
    </w:p>
    <w:p w:rsidR="00310B76" w:rsidP="00274A3D">
      <w:pPr>
        <w:pStyle w:val="Reference"/>
      </w:pPr>
      <w:r>
        <w:t xml:space="preserve">HM Government. 2025. </w:t>
      </w:r>
      <w:r w:rsidRPr="00F63F55">
        <w:rPr>
          <w:i/>
          <w:iCs/>
        </w:rPr>
        <w:t>National Security Strategy 2025 Security for the British people in a dangerous world.</w:t>
      </w:r>
      <w:r>
        <w:t xml:space="preserve"> As of 1 April 2026: </w:t>
      </w:r>
      <w:r>
        <w:fldChar w:fldCharType="begin"/>
      </w:r>
      <w:r>
        <w:instrText xml:space="preserve"> HYPERLINK "https://assets.publishing.service.gov.uk/media/685ab0da72588f418862075c/E03360428_National_Security_Strategy_Accessible.pdf" </w:instrText>
      </w:r>
      <w:r>
        <w:fldChar w:fldCharType="separate"/>
      </w:r>
      <w:r w:rsidRPr="4CCA34D0">
        <w:rPr>
          <w:rStyle w:val="Hyperlink"/>
        </w:rPr>
        <w:t>https://assets.publishing.service.gov.uk/media/685ab0da72588f418862075c/E03360428_National_Security_Strategy_Accessible.pdf</w:t>
      </w:r>
      <w:r>
        <w:fldChar w:fldCharType="end"/>
      </w:r>
      <w:r>
        <w:t xml:space="preserve"> </w:t>
      </w:r>
    </w:p>
    <w:p w:rsidR="00310B76" w:rsidP="00EF2EB9">
      <w:pPr>
        <w:pStyle w:val="Reference"/>
        <w:spacing w:after="0"/>
      </w:pPr>
      <w:r>
        <w:t xml:space="preserve">Innovate UK. 2025. ‘Rare Earth Exploration, Extraction, Beneficiation and Concentration.’ As of 7 April 2026: </w:t>
      </w:r>
    </w:p>
    <w:p w:rsidR="00310B76" w:rsidP="00EF2EB9">
      <w:pPr>
        <w:pStyle w:val="Reference"/>
        <w:ind w:firstLine="0"/>
      </w:pPr>
      <w:r>
        <w:fldChar w:fldCharType="begin"/>
      </w:r>
      <w:r>
        <w:instrText xml:space="preserve"> HYPERLINK "https://iuk-business-connect.org.uk/wp-content/uploads/2025/07/IUK-Climate-Extraction-Report-TW-D6-compressed.pdf" </w:instrText>
      </w:r>
      <w:r>
        <w:fldChar w:fldCharType="separate"/>
      </w:r>
      <w:r w:rsidRPr="00AB5CCB">
        <w:rPr>
          <w:rStyle w:val="Hyperlink"/>
        </w:rPr>
        <w:t>https://iuk-business-connect.org.uk/wp-content/uploads/2025/07/IUK-Climate-Extraction-Report-TW-D6-compressed.pdf</w:t>
      </w:r>
      <w:r>
        <w:fldChar w:fldCharType="end"/>
      </w:r>
      <w:r>
        <w:t xml:space="preserve"> </w:t>
      </w:r>
    </w:p>
    <w:p w:rsidR="00310B76" w:rsidP="00805059">
      <w:pPr>
        <w:pStyle w:val="Reference"/>
      </w:pPr>
      <w:r w:rsidRPr="002220B6">
        <w:t xml:space="preserve">Kepe, Marta &amp; Villalobos, Fabian. </w:t>
      </w:r>
      <w:r w:rsidRPr="00B53817">
        <w:t xml:space="preserve">2022. ‘Enhance U.S. Rare Earth Security Through International Cooperation’. RAND Corporation, </w:t>
      </w:r>
      <w:r>
        <w:t>3 November</w:t>
      </w:r>
      <w:r w:rsidRPr="00B53817">
        <w:t xml:space="preserve">. </w:t>
      </w:r>
      <w:r w:rsidRPr="002220B6">
        <w:t xml:space="preserve">As of </w:t>
      </w:r>
      <w:r>
        <w:t>7</w:t>
      </w:r>
      <w:r w:rsidRPr="00567EE4">
        <w:t xml:space="preserve"> April 2026</w:t>
      </w:r>
      <w:r w:rsidRPr="002220B6">
        <w:t xml:space="preserve">: </w:t>
      </w:r>
      <w:r>
        <w:fldChar w:fldCharType="begin"/>
      </w:r>
      <w:r>
        <w:instrText xml:space="preserve"> HYPERLINK "https://www.rand.org/pubs/commentary/2022/11/enhance-us-rare-earth-security-through-international.html" </w:instrText>
      </w:r>
      <w:r>
        <w:fldChar w:fldCharType="separate"/>
      </w:r>
      <w:r w:rsidRPr="0023474A">
        <w:rPr>
          <w:rStyle w:val="Hyperlink"/>
        </w:rPr>
        <w:t>https://www.rand.org/pubs/commentary/2022/11/enhance-us-rare-earth-security-through-international.html</w:t>
      </w:r>
      <w:r>
        <w:fldChar w:fldCharType="end"/>
      </w:r>
      <w:r>
        <w:t xml:space="preserve"> </w:t>
      </w:r>
    </w:p>
    <w:p w:rsidR="00310B76" w:rsidRPr="00567EE4" w:rsidP="00CD1148">
      <w:pPr>
        <w:pStyle w:val="Reference"/>
      </w:pPr>
      <w:r w:rsidRPr="00567EE4">
        <w:t>LaTourrette, Tom. 2022. ‘Is Seabed Mining an Opportunity to Break China's Stranglehold on Critical Minerals Supply</w:t>
      </w:r>
      <w:r w:rsidRPr="00567EE4">
        <w:t>.’</w:t>
      </w:r>
      <w:r w:rsidRPr="00567EE4">
        <w:t xml:space="preserve"> </w:t>
      </w:r>
      <w:r>
        <w:t xml:space="preserve">RAND Corporation, </w:t>
      </w:r>
      <w:r>
        <w:t>21 November</w:t>
      </w:r>
      <w:r w:rsidRPr="00567EE4">
        <w:t xml:space="preserve">. As of </w:t>
      </w:r>
      <w:r w:rsidRPr="00567EE4">
        <w:t>1 April 2026</w:t>
      </w:r>
      <w:r w:rsidRPr="00567EE4">
        <w:t xml:space="preserve">: </w:t>
      </w:r>
      <w:r>
        <w:fldChar w:fldCharType="begin"/>
      </w:r>
      <w:r>
        <w:instrText xml:space="preserve"> HYPERLINK "https://www.rand.org/blog/2022/11/is-seabed-mining-an-opportunity-to-break-chinas-stranglehold.html" </w:instrText>
      </w:r>
      <w:r>
        <w:fldChar w:fldCharType="separate"/>
      </w:r>
      <w:r w:rsidRPr="00567EE4">
        <w:rPr>
          <w:rStyle w:val="Hyperlink"/>
        </w:rPr>
        <w:t>https://www.rand.org/blog/2022/11/is-seabed-mining-an-opportunity-to-break-chinas-stranglehold.html</w:t>
      </w:r>
      <w:r>
        <w:fldChar w:fldCharType="end"/>
      </w:r>
      <w:r w:rsidRPr="00567EE4">
        <w:t xml:space="preserve">  </w:t>
      </w:r>
    </w:p>
    <w:p w:rsidR="00310B76" w:rsidP="00CD1148">
      <w:pPr>
        <w:pStyle w:val="Reference"/>
      </w:pPr>
      <w:r>
        <w:br w:type="page"/>
      </w:r>
    </w:p>
    <w:p w:rsidR="00310B76" w:rsidP="00CD1148">
      <w:pPr>
        <w:pStyle w:val="Reference"/>
      </w:pPr>
      <w:r w:rsidRPr="00153723">
        <w:t>LaTourrette, Tom, Fabian Villalobos, Elisa Yoshiara</w:t>
      </w:r>
      <w:r>
        <w:t xml:space="preserve"> &amp;</w:t>
      </w:r>
      <w:r w:rsidRPr="00153723">
        <w:t xml:space="preserve"> Zohan Hasan Tariq</w:t>
      </w:r>
      <w:r>
        <w:t>. 2025.</w:t>
      </w:r>
      <w:r w:rsidRPr="00153723">
        <w:t> </w:t>
      </w:r>
      <w:r w:rsidRPr="00153723">
        <w:rPr>
          <w:i/>
          <w:iCs/>
        </w:rPr>
        <w:t>The Potential Impact of Seabed Mining on Critical Mineral Supply Chains and Global Geopolitics</w:t>
      </w:r>
      <w:r>
        <w:rPr>
          <w:i/>
          <w:iCs/>
        </w:rPr>
        <w:t>.</w:t>
      </w:r>
      <w:r w:rsidRPr="00153723">
        <w:t> </w:t>
      </w:r>
      <w:r>
        <w:t xml:space="preserve">Santa Monica, Calif.: </w:t>
      </w:r>
      <w:r w:rsidRPr="00153723">
        <w:t>RAND Corporation, RR-A3560</w:t>
      </w:r>
      <w:r>
        <w:t>-1</w:t>
      </w:r>
      <w:r w:rsidRPr="00153723">
        <w:t xml:space="preserve">. As of </w:t>
      </w:r>
      <w:r>
        <w:t>2 April</w:t>
      </w:r>
      <w:r w:rsidRPr="00153723">
        <w:t xml:space="preserve"> 2026: </w:t>
      </w:r>
      <w:r>
        <w:fldChar w:fldCharType="begin"/>
      </w:r>
      <w:r>
        <w:instrText xml:space="preserve"> HYPERLINK "https://www.rand.org/pubs/research_reports/RRA3560-1.html" </w:instrText>
      </w:r>
      <w:r>
        <w:fldChar w:fldCharType="separate"/>
      </w:r>
      <w:r w:rsidRPr="0030246A">
        <w:rPr>
          <w:rStyle w:val="Hyperlink"/>
        </w:rPr>
        <w:t>https://www.rand.org/pubs/research_reports/RRA3560-1.html</w:t>
      </w:r>
      <w:r>
        <w:fldChar w:fldCharType="end"/>
      </w:r>
      <w:r>
        <w:t xml:space="preserve"> </w:t>
      </w:r>
    </w:p>
    <w:p w:rsidR="00310B76" w:rsidRPr="00567EE4" w:rsidP="00CD1148">
      <w:pPr>
        <w:pStyle w:val="Reference"/>
      </w:pPr>
      <w:r w:rsidRPr="00567EE4">
        <w:t xml:space="preserve">Ministry of Defence. 2025. </w:t>
      </w:r>
      <w:r w:rsidRPr="00567EE4">
        <w:rPr>
          <w:i/>
          <w:iCs/>
        </w:rPr>
        <w:t>Strategic Defence Review</w:t>
      </w:r>
      <w:r w:rsidRPr="00567EE4">
        <w:rPr>
          <w:i/>
          <w:iCs/>
        </w:rPr>
        <w:t>,</w:t>
      </w:r>
      <w:r w:rsidRPr="00567EE4">
        <w:rPr>
          <w:i/>
          <w:iCs/>
        </w:rPr>
        <w:t xml:space="preserve"> Making Britain Safer: secure at home, strong abroad.</w:t>
      </w:r>
      <w:r w:rsidRPr="00567EE4">
        <w:t xml:space="preserve"> </w:t>
      </w:r>
      <w:r w:rsidRPr="00567EE4">
        <w:t>HM</w:t>
      </w:r>
      <w:r w:rsidRPr="00567EE4">
        <w:t xml:space="preserve"> Government. </w:t>
      </w:r>
      <w:r w:rsidRPr="00567EE4">
        <w:t>As of 1 April 2026:</w:t>
      </w:r>
      <w:r w:rsidRPr="00567EE4">
        <w:t xml:space="preserve"> </w:t>
      </w:r>
      <w:r>
        <w:fldChar w:fldCharType="begin"/>
      </w:r>
      <w:r>
        <w:instrText xml:space="preserve"> HYPERLINK "https://assets.publishing.service.gov.uk/media/683d89f181deb72cce2680a5/The_Strategic_Defence_Review_2025_-_Making_Britain_Safer_-_secure_at_home__strong_abroad.pdf" </w:instrText>
      </w:r>
      <w:r>
        <w:fldChar w:fldCharType="separate"/>
      </w:r>
      <w:r w:rsidRPr="00567EE4">
        <w:rPr>
          <w:rStyle w:val="Hyperlink"/>
        </w:rPr>
        <w:t>https://assets.publishing.service.gov.uk/media/683d89f181deb72cce2680a5/The_Strategic_Defence_Review_2025_-_Making_Britain_Safer_-_secure_at_home__strong_abroad.pdf</w:t>
      </w:r>
      <w:r>
        <w:fldChar w:fldCharType="end"/>
      </w:r>
      <w:r w:rsidRPr="00567EE4">
        <w:t xml:space="preserve"> </w:t>
      </w:r>
    </w:p>
    <w:p w:rsidR="00310B76" w:rsidP="00EF2EB9">
      <w:pPr>
        <w:pStyle w:val="Reference"/>
        <w:spacing w:after="0"/>
      </w:pPr>
      <w:r w:rsidRPr="00484E21">
        <w:t>Ministry of Economy, Trade and Industry, Japan (METI). 2024.</w:t>
      </w:r>
      <w:r>
        <w:rPr>
          <w:i/>
          <w:iCs/>
        </w:rPr>
        <w:t xml:space="preserve"> M</w:t>
      </w:r>
      <w:r w:rsidRPr="00484E21">
        <w:rPr>
          <w:i/>
          <w:iCs/>
        </w:rPr>
        <w:t>ETI Industry Policy</w:t>
      </w:r>
      <w:r>
        <w:rPr>
          <w:i/>
          <w:iCs/>
        </w:rPr>
        <w:t xml:space="preserve"> </w:t>
      </w:r>
      <w:r w:rsidRPr="00484E21">
        <w:rPr>
          <w:i/>
          <w:iCs/>
        </w:rPr>
        <w:t>for the Defense Industrial Base</w:t>
      </w:r>
      <w:r>
        <w:t xml:space="preserve">. </w:t>
      </w:r>
      <w:r>
        <w:t xml:space="preserve">Japan Government. </w:t>
      </w:r>
      <w:r>
        <w:t xml:space="preserve">As of 7 April 2026: </w:t>
      </w:r>
    </w:p>
    <w:p w:rsidR="00310B76" w:rsidRPr="00484E21" w:rsidP="00EF2EB9">
      <w:pPr>
        <w:pStyle w:val="Reference"/>
        <w:ind w:firstLine="0"/>
        <w:rPr>
          <w:i/>
          <w:iCs/>
        </w:rPr>
      </w:pPr>
      <w:r>
        <w:fldChar w:fldCharType="begin"/>
      </w:r>
      <w:r>
        <w:instrText xml:space="preserve"> HYPERLINK "https://www.ndia.org/-/media/sites/ndia/divisions/international/2025/japan-did-17/meti--usjpn-did17.pdf" </w:instrText>
      </w:r>
      <w:r>
        <w:fldChar w:fldCharType="separate"/>
      </w:r>
      <w:r w:rsidRPr="0029540B">
        <w:rPr>
          <w:rStyle w:val="Hyperlink"/>
        </w:rPr>
        <w:t>https://www.ndia.org/-/media/sites/ndia/divisions/international/2025/japan-did-17/meti--usjpn-did17.pdf</w:t>
      </w:r>
      <w:r>
        <w:fldChar w:fldCharType="end"/>
      </w:r>
      <w:r>
        <w:t xml:space="preserve"> </w:t>
      </w:r>
    </w:p>
    <w:p w:rsidR="00310B76" w:rsidP="00484E21">
      <w:pPr>
        <w:pStyle w:val="Reference"/>
      </w:pPr>
      <w:r w:rsidRPr="00567EE4">
        <w:t xml:space="preserve">O'Connell, Caolionn, Elizabeth Hastings Roer, Rick Eden, Spencer Pfeifer, Yuliya Shokh, Lauren A. Mayer, Jake McKeon, Jared Mondschein, Phillip Carter, Victoria A. Greenfield &amp; Mark Ashby. 2021. </w:t>
      </w:r>
      <w:r w:rsidRPr="00567EE4">
        <w:rPr>
          <w:i/>
          <w:iCs/>
        </w:rPr>
        <w:t>Managing Risk in Globalized Supply Chains</w:t>
      </w:r>
      <w:r w:rsidRPr="00567EE4">
        <w:t>. Santa Monica, C</w:t>
      </w:r>
      <w:r>
        <w:t>alif.</w:t>
      </w:r>
      <w:r w:rsidRPr="00567EE4">
        <w:t xml:space="preserve">: RAND Corporation. </w:t>
      </w:r>
      <w:r>
        <w:t>RR-A425</w:t>
      </w:r>
      <w:r>
        <w:t>-1</w:t>
      </w:r>
      <w:r>
        <w:t xml:space="preserve">. </w:t>
      </w:r>
      <w:r>
        <w:t xml:space="preserve">As of 7 April 2026: </w:t>
      </w:r>
      <w:r>
        <w:fldChar w:fldCharType="begin"/>
      </w:r>
      <w:r>
        <w:instrText xml:space="preserve"> HYPERLINK "https://www.rand.org/pubs/research_reports/RRA425-1.html" </w:instrText>
      </w:r>
      <w:r>
        <w:fldChar w:fldCharType="separate"/>
      </w:r>
      <w:r w:rsidRPr="25D05454">
        <w:rPr>
          <w:rStyle w:val="Hyperlink"/>
        </w:rPr>
        <w:t>https://www.rand.org/pubs/research_reports/RRA425-1.html</w:t>
      </w:r>
      <w:r>
        <w:fldChar w:fldCharType="end"/>
      </w:r>
      <w:r>
        <w:t xml:space="preserve"> </w:t>
      </w:r>
    </w:p>
    <w:p w:rsidR="00310B76" w:rsidP="00DA57AD">
      <w:pPr>
        <w:pStyle w:val="Reference"/>
      </w:pPr>
      <w:r>
        <w:t>Our World in Data. 2024.</w:t>
      </w:r>
      <w:r>
        <w:t xml:space="preserve"> ‘</w:t>
      </w:r>
      <w:r w:rsidRPr="001A1A3B">
        <w:t>Most of the world’s cobalt is mined in the Democratic Republic of Congo, but refined in China</w:t>
      </w:r>
      <w:r>
        <w:t xml:space="preserve">.’ </w:t>
      </w:r>
      <w:r>
        <w:t xml:space="preserve">University of Oxford, </w:t>
      </w:r>
      <w:r>
        <w:t xml:space="preserve">2 October. As of 8 April 2026: </w:t>
      </w:r>
      <w:r>
        <w:fldChar w:fldCharType="begin"/>
      </w:r>
      <w:r>
        <w:instrText xml:space="preserve"> HYPERLINK "https://ourworldindata.org/data-insights/most-of-the-worlds-cobalt-is-mined-in-the-democratic-republic-of-congo-but-refined-in-china" </w:instrText>
      </w:r>
      <w:r>
        <w:fldChar w:fldCharType="separate"/>
      </w:r>
      <w:r w:rsidRPr="00770996">
        <w:rPr>
          <w:rStyle w:val="Hyperlink"/>
        </w:rPr>
        <w:t>https://ourworldindata.org/data-insights/most-of-the-worlds-cobalt-is-mined-in-the-democratic-republic-of-congo-but-refined-in-china</w:t>
      </w:r>
      <w:r>
        <w:fldChar w:fldCharType="end"/>
      </w:r>
      <w:r>
        <w:t xml:space="preserve">   </w:t>
      </w:r>
    </w:p>
    <w:p w:rsidR="00310B76" w:rsidP="00DA57AD">
      <w:pPr>
        <w:pStyle w:val="Reference"/>
      </w:pPr>
      <w:r w:rsidRPr="00715AAB">
        <w:t xml:space="preserve">Silberglitt, Richard. 2015. ‘Critical Materials, U.S. Import Dependence, and Recommended Actions’. </w:t>
      </w:r>
      <w:r w:rsidRPr="00B371C8">
        <w:t>Santa Monica</w:t>
      </w:r>
      <w:r>
        <w:t>, C</w:t>
      </w:r>
      <w:r>
        <w:t>alif.</w:t>
      </w:r>
      <w:r>
        <w:t>:</w:t>
      </w:r>
      <w:r w:rsidRPr="00B371C8">
        <w:t xml:space="preserve"> </w:t>
      </w:r>
      <w:r w:rsidRPr="00715AAB">
        <w:t>RAND</w:t>
      </w:r>
      <w:r>
        <w:t xml:space="preserve"> </w:t>
      </w:r>
      <w:r w:rsidRPr="00B371C8">
        <w:t>Corporation</w:t>
      </w:r>
      <w:r>
        <w:t>.</w:t>
      </w:r>
      <w:r w:rsidRPr="00B371C8">
        <w:t xml:space="preserve"> </w:t>
      </w:r>
      <w:r>
        <w:t>CT-432</w:t>
      </w:r>
      <w:r>
        <w:t xml:space="preserve">. </w:t>
      </w:r>
      <w:r>
        <w:t xml:space="preserve">As of 1 April 2026: </w:t>
      </w:r>
      <w:r>
        <w:fldChar w:fldCharType="begin"/>
      </w:r>
      <w:r>
        <w:instrText xml:space="preserve"> HYPERLINK "https://www.rand.org/pubs/testimonies/CT432.html" </w:instrText>
      </w:r>
      <w:r>
        <w:fldChar w:fldCharType="separate"/>
      </w:r>
      <w:r w:rsidRPr="005957B1">
        <w:rPr>
          <w:rStyle w:val="Hyperlink"/>
        </w:rPr>
        <w:t>https://www.rand.org/pubs/testimonies/CT432.html</w:t>
      </w:r>
      <w:r>
        <w:fldChar w:fldCharType="end"/>
      </w:r>
    </w:p>
    <w:p w:rsidR="00310B76" w:rsidRPr="00567EE4" w:rsidP="00E878EF">
      <w:pPr>
        <w:pStyle w:val="Reference"/>
      </w:pPr>
      <w:r w:rsidRPr="00567EE4">
        <w:t>Tariq</w:t>
      </w:r>
      <w:r w:rsidRPr="00567EE4">
        <w:t>, Zohan Hassan</w:t>
      </w:r>
      <w:r w:rsidRPr="00567EE4">
        <w:t xml:space="preserve"> &amp; Tom LaTourette. 2025. ‘The Missing Piece: Minerals Processing and Deep Sea Mining.’ RAND</w:t>
      </w:r>
      <w:r>
        <w:t xml:space="preserve"> Corporation</w:t>
      </w:r>
      <w:r w:rsidRPr="00567EE4">
        <w:t xml:space="preserve">, 18 September. As of 1 April 2026: </w:t>
      </w:r>
      <w:r>
        <w:fldChar w:fldCharType="begin"/>
      </w:r>
      <w:r>
        <w:instrText xml:space="preserve"> HYPERLINK "https://www.rand.org/pubs/commentary/2025/09/the-missing-piece-minerals-processing-and-deep-sea.html" </w:instrText>
      </w:r>
      <w:r>
        <w:fldChar w:fldCharType="separate"/>
      </w:r>
      <w:r w:rsidRPr="00567EE4">
        <w:rPr>
          <w:rStyle w:val="Hyperlink"/>
        </w:rPr>
        <w:t>https://www.rand.org/pubs/commentary/2025/09/the-missing-piece-minerals-processing-and-deep-sea.html</w:t>
      </w:r>
      <w:r>
        <w:fldChar w:fldCharType="end"/>
      </w:r>
      <w:r w:rsidRPr="00567EE4">
        <w:t xml:space="preserve">  </w:t>
      </w:r>
    </w:p>
    <w:p w:rsidR="00310B76" w:rsidP="00DD4DD7">
      <w:pPr>
        <w:pStyle w:val="Reference"/>
      </w:pPr>
      <w:r>
        <w:t>Tungsten West</w:t>
      </w:r>
      <w:r>
        <w:t xml:space="preserve"> (homepage)</w:t>
      </w:r>
      <w:r>
        <w:t xml:space="preserve">. </w:t>
      </w:r>
      <w:r>
        <w:t>2026</w:t>
      </w:r>
      <w:r>
        <w:t>.</w:t>
      </w:r>
      <w:r>
        <w:t xml:space="preserve"> </w:t>
      </w:r>
      <w:r w:rsidRPr="00567EE4">
        <w:t xml:space="preserve">As of </w:t>
      </w:r>
      <w:r>
        <w:t xml:space="preserve">8 </w:t>
      </w:r>
      <w:r w:rsidRPr="00567EE4">
        <w:t xml:space="preserve">April 2026: </w:t>
      </w:r>
      <w:r>
        <w:t xml:space="preserve"> </w:t>
      </w:r>
      <w:r>
        <w:fldChar w:fldCharType="begin"/>
      </w:r>
      <w:r>
        <w:instrText xml:space="preserve"> HYPERLINK "https://www.tungstenwest.com/" </w:instrText>
      </w:r>
      <w:r>
        <w:fldChar w:fldCharType="separate"/>
      </w:r>
      <w:r w:rsidRPr="00FD6882">
        <w:rPr>
          <w:rStyle w:val="Hyperlink"/>
        </w:rPr>
        <w:t>https://www.tungstenwest.com/</w:t>
      </w:r>
      <w:r>
        <w:fldChar w:fldCharType="end"/>
      </w:r>
      <w:r>
        <w:t xml:space="preserve"> </w:t>
      </w:r>
    </w:p>
    <w:p w:rsidR="00310B76" w:rsidP="00E878EF">
      <w:pPr>
        <w:pStyle w:val="Reference"/>
      </w:pPr>
      <w:r w:rsidRPr="00CB628E">
        <w:t>UK Critical Minerals Intelligence Centre</w:t>
      </w:r>
      <w:r>
        <w:t xml:space="preserve">. </w:t>
      </w:r>
      <w:r w:rsidRPr="00CB628E">
        <w:t>2024a</w:t>
      </w:r>
      <w:r>
        <w:t>.</w:t>
      </w:r>
      <w:r>
        <w:t xml:space="preserve"> </w:t>
      </w:r>
      <w:r>
        <w:t xml:space="preserve">‘Critical Minerals Data Cards.’ </w:t>
      </w:r>
      <w:r>
        <w:t>British Geological Survey. As of 8 April 2026:</w:t>
      </w:r>
      <w:r>
        <w:t xml:space="preserve"> </w:t>
      </w:r>
      <w:r>
        <w:fldChar w:fldCharType="begin"/>
      </w:r>
      <w:r>
        <w:instrText xml:space="preserve"> HYPERLINK "https://ukcmic.org/reports/critical-mineral-data-cards.html" </w:instrText>
      </w:r>
      <w:r>
        <w:fldChar w:fldCharType="separate"/>
      </w:r>
      <w:r w:rsidRPr="00FD6882">
        <w:rPr>
          <w:rStyle w:val="Hyperlink"/>
        </w:rPr>
        <w:t>https://ukcmic.org/reports/critical-mineral-data-cards.html</w:t>
      </w:r>
      <w:r>
        <w:fldChar w:fldCharType="end"/>
      </w:r>
      <w:r>
        <w:t xml:space="preserve"> </w:t>
      </w:r>
    </w:p>
    <w:p w:rsidR="00310B76" w:rsidP="00676C61">
      <w:pPr>
        <w:pStyle w:val="Reference"/>
      </w:pPr>
      <w:r>
        <w:t xml:space="preserve">———. </w:t>
      </w:r>
      <w:r w:rsidRPr="00CB628E">
        <w:t>2024</w:t>
      </w:r>
      <w:r>
        <w:t>b.</w:t>
      </w:r>
      <w:r>
        <w:t xml:space="preserve"> </w:t>
      </w:r>
      <w:r w:rsidRPr="003464BB">
        <w:rPr>
          <w:i/>
          <w:iCs/>
        </w:rPr>
        <w:t>UK 2024 Criticality Assessment</w:t>
      </w:r>
      <w:r>
        <w:t xml:space="preserve">. </w:t>
      </w:r>
      <w:r>
        <w:t>British Geological Survey</w:t>
      </w:r>
      <w:r>
        <w:t xml:space="preserve">. As of 8 April 2026: </w:t>
      </w:r>
      <w:r>
        <w:fldChar w:fldCharType="begin"/>
      </w:r>
      <w:r>
        <w:instrText xml:space="preserve"> HYPERLINK "https://nora.nerc.ac.uk/id/eprint/539735/1/OR24059.pdf" </w:instrText>
      </w:r>
      <w:r>
        <w:fldChar w:fldCharType="separate"/>
      </w:r>
      <w:r w:rsidRPr="00FD6882">
        <w:rPr>
          <w:rStyle w:val="Hyperlink"/>
        </w:rPr>
        <w:t>https://nora.nerc.ac.uk/id/eprint/539735/1/OR24059.pdf</w:t>
      </w:r>
      <w:r>
        <w:fldChar w:fldCharType="end"/>
      </w:r>
      <w:r>
        <w:t xml:space="preserve"> </w:t>
      </w:r>
    </w:p>
    <w:p w:rsidR="00310B76" w:rsidP="00E878EF">
      <w:pPr>
        <w:pStyle w:val="Reference"/>
      </w:pPr>
      <w:r>
        <w:t>UK Parliament. 2026. ‘Call for evidence</w:t>
      </w:r>
      <w:r>
        <w:t xml:space="preserve">: Critical minerals.’ </w:t>
      </w:r>
      <w:r w:rsidRPr="00854BF9">
        <w:t>Business and Trade Sub Committee on Economic Security, Arms and Export Controls</w:t>
      </w:r>
      <w:r>
        <w:t xml:space="preserve">. As of 2 April 2026: </w:t>
      </w:r>
      <w:r>
        <w:fldChar w:fldCharType="begin"/>
      </w:r>
      <w:r>
        <w:instrText xml:space="preserve"> HYPERLINK "https://committees.parliament.uk/call-for-evidence/3869/" </w:instrText>
      </w:r>
      <w:r>
        <w:fldChar w:fldCharType="separate"/>
      </w:r>
      <w:r w:rsidRPr="0030246A">
        <w:rPr>
          <w:rStyle w:val="Hyperlink"/>
        </w:rPr>
        <w:t>https://committees.parliament.uk/call-for-evidence/3869/</w:t>
      </w:r>
      <w:r>
        <w:fldChar w:fldCharType="end"/>
      </w:r>
      <w:r>
        <w:t xml:space="preserve"> </w:t>
      </w:r>
    </w:p>
    <w:p w:rsidR="00310B76" w:rsidP="00DA57AD">
      <w:pPr>
        <w:pStyle w:val="Reference"/>
        <w:ind w:left="720" w:hanging="720"/>
      </w:pPr>
      <w:r>
        <w:br w:type="page"/>
      </w:r>
    </w:p>
    <w:p w:rsidR="00310B76" w:rsidRPr="00CD1148" w:rsidP="00DA57AD">
      <w:pPr>
        <w:pStyle w:val="Reference"/>
        <w:ind w:left="720" w:hanging="720"/>
      </w:pPr>
      <w:r w:rsidRPr="00DA57AD">
        <w:t>Villalobos, Fabian, Zohan Hasan Tariq, Anujin Nergui, Elisa Yoshiara, Jinyoung Lee, Mina Pollmann, Harriet Goers</w:t>
      </w:r>
      <w:r>
        <w:t xml:space="preserve"> &amp;</w:t>
      </w:r>
      <w:r w:rsidRPr="00DA57AD">
        <w:t xml:space="preserve"> Bruce W. Bennett</w:t>
      </w:r>
      <w:r>
        <w:t>. 2025.</w:t>
      </w:r>
      <w:r w:rsidRPr="00DA57AD">
        <w:t> </w:t>
      </w:r>
      <w:r w:rsidRPr="00DA57AD">
        <w:rPr>
          <w:i/>
          <w:iCs/>
        </w:rPr>
        <w:t>Securing South Korea's Critical Minerals Supply Chains Through Trilateral Cooperation: Analysis and Tools for Supply Chain Net Assessment, Supply Chain Cooperation, and Economic Security</w:t>
      </w:r>
      <w:r>
        <w:t xml:space="preserve">. </w:t>
      </w:r>
      <w:r>
        <w:t xml:space="preserve">Santa Monica, Calif.: </w:t>
      </w:r>
      <w:r w:rsidRPr="00DA57AD">
        <w:t>RAND Corporation, RR-A4000-1</w:t>
      </w:r>
      <w:r>
        <w:t>.</w:t>
      </w:r>
      <w:r w:rsidRPr="00DA57AD">
        <w:t xml:space="preserve"> As of </w:t>
      </w:r>
      <w:r>
        <w:t>7 April</w:t>
      </w:r>
      <w:r w:rsidRPr="00DA57AD">
        <w:t xml:space="preserve"> 2026: </w:t>
      </w:r>
      <w:r>
        <w:fldChar w:fldCharType="begin"/>
      </w:r>
      <w:r>
        <w:instrText xml:space="preserve"> HYPERLINK "https://www.rand.org/pubs/research_reports/RRA4000-1.html" </w:instrText>
      </w:r>
      <w:r>
        <w:fldChar w:fldCharType="separate"/>
      </w:r>
      <w:r w:rsidRPr="0030246A">
        <w:rPr>
          <w:rStyle w:val="Hyperlink"/>
        </w:rPr>
        <w:t>https://www.rand.org/pubs/research_reports/RRA4000-1.html</w:t>
      </w:r>
      <w:r>
        <w:fldChar w:fldCharType="end"/>
      </w:r>
      <w:r>
        <w:t xml:space="preserve"> </w:t>
      </w:r>
    </w:p>
    <w:sectPr w:rsidSect="009E38D9">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Twentieth Century">
    <w:altName w:val="Calibri"/>
    <w:charset w:val="00"/>
    <w:family w:val="auto"/>
    <w:pitch w:val="default"/>
  </w:font>
  <w:font w:name="Futura Std Book">
    <w:altName w:val="Century Gothic"/>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charset w:val="81"/>
    <w:family w:val="swiss"/>
    <w:pitch w:val="variable"/>
    <w:sig w:usb0="9000002F" w:usb1="29D77CFB" w:usb2="00000012" w:usb3="00000000" w:csb0="00080001" w:csb1="00000000"/>
  </w:font>
  <w:font w:name="Bernard MT Condensed">
    <w:panose1 w:val="02050806060905020404"/>
    <w:charset w:val="00"/>
    <w:family w:val="roman"/>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B76" w:rsidRPr="00567EE4" w:rsidP="00CD1148">
    <w:pPr>
      <w:pStyle w:val="Footer"/>
      <w:jc w:val="center"/>
    </w:pPr>
    <w:r w:rsidRPr="00567EE4">
      <w:fldChar w:fldCharType="begin"/>
    </w:r>
    <w:r w:rsidRPr="00567EE4">
      <w:instrText xml:space="preserve"> PAGE   \* MERGEFORMAT </w:instrText>
    </w:r>
    <w:r w:rsidRPr="00567EE4">
      <w:fldChar w:fldCharType="separate"/>
    </w:r>
    <w:r w:rsidRPr="00567EE4">
      <w:t>1</w:t>
    </w:r>
    <w:r w:rsidRPr="00567EE4">
      <w:fldChar w:fldCharType="end"/>
    </w:r>
  </w:p>
  <w:p w:rsidR="00310B76" w:rsidRPr="00567E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B76" w:rsidRPr="00567EE4" w:rsidP="00CD1148">
    <w:pPr>
      <w:pStyle w:val="Footer"/>
      <w:jc w:val="center"/>
    </w:pPr>
    <w:r w:rsidRPr="00567EE4">
      <w:fldChar w:fldCharType="begin"/>
    </w:r>
    <w:r w:rsidRPr="00567EE4">
      <w:instrText xml:space="preserve"> PAGE   \* MERGEFORMAT </w:instrText>
    </w:r>
    <w:r w:rsidRPr="00567EE4">
      <w:fldChar w:fldCharType="separate"/>
    </w:r>
    <w:r w:rsidRPr="00567EE4">
      <w:t>1</w:t>
    </w:r>
    <w:r w:rsidRPr="00567EE4">
      <w:fldChar w:fldCharType="end"/>
    </w:r>
  </w:p>
  <w:p w:rsidR="00310B76" w:rsidRPr="00567E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44355953"/>
      <w:docPartObj>
        <w:docPartGallery w:val="Page Numbers (Bottom of Page)"/>
        <w:docPartUnique/>
      </w:docPartObj>
    </w:sdtPr>
    <w:sdtContent>
      <w:p w:rsidR="00310B76" w:rsidRPr="00567EE4">
        <w:pPr>
          <w:pStyle w:val="Footer"/>
          <w:jc w:val="center"/>
        </w:pPr>
        <w:r w:rsidRPr="00567EE4">
          <w:fldChar w:fldCharType="begin"/>
        </w:r>
        <w:r w:rsidRPr="00567EE4">
          <w:instrText xml:space="preserve"> PAGE   \* MERGEFORMAT </w:instrText>
        </w:r>
        <w:r w:rsidRPr="00567EE4">
          <w:fldChar w:fldCharType="separate"/>
        </w:r>
        <w:r w:rsidRPr="00567EE4">
          <w:t>7</w:t>
        </w:r>
        <w:r w:rsidRPr="00567EE4">
          <w:fldChar w:fldCharType="end"/>
        </w:r>
      </w:p>
      <w:p w:rsidR="00310B76" w:rsidRPr="00567EE4">
        <w:pPr>
          <w:pStyle w:val="Footer"/>
          <w:jc w:val="center"/>
        </w:pPr>
      </w:p>
      <w:p w:rsidR="00310B76" w:rsidRPr="00567EE4" w:rsidP="00BD49E3">
        <w:pPr>
          <w:pStyle w:val="Footer"/>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10B76" w:rsidRPr="00567EE4" w:rsidP="00FD7545">
      <w:r w:rsidRPr="00567EE4">
        <w:separator/>
      </w:r>
    </w:p>
  </w:footnote>
  <w:footnote w:type="continuationSeparator" w:id="1">
    <w:p w:rsidR="00310B76" w:rsidRPr="00567EE4" w:rsidP="00C85A0D">
      <w:pPr>
        <w:spacing w:after="0" w:line="240" w:lineRule="auto"/>
      </w:pPr>
      <w:r w:rsidRPr="00567EE4">
        <w:continuationSeparator/>
      </w:r>
    </w:p>
    <w:p w:rsidR="00310B76" w:rsidRPr="00567EE4"/>
    <w:p w:rsidR="00310B76" w:rsidRPr="00567EE4"/>
    <w:p w:rsidR="00310B76" w:rsidRPr="00567EE4"/>
    <w:p w:rsidR="00310B76" w:rsidRPr="00567EE4" w:rsidP="00FD7545"/>
  </w:footnote>
  <w:footnote w:id="2">
    <w:p w:rsidR="00310B76" w:rsidRPr="00567EE4" w:rsidP="007F5BC9">
      <w:pPr>
        <w:pStyle w:val="CTFootnote"/>
      </w:pPr>
      <w:r w:rsidRPr="00567EE4">
        <w:rPr>
          <w:rStyle w:val="FootnoteReference"/>
        </w:rPr>
        <w:footnoteRef/>
      </w:r>
      <w:r w:rsidRPr="00567EE4">
        <w:t xml:space="preserve"> </w:t>
      </w:r>
      <w:r w:rsidRPr="00567EE4">
        <w:tab/>
      </w:r>
      <w:r w:rsidRPr="00567EE4">
        <w:t>The opinions and conclusions expressed in this testimony are the author’s alone and should not be interpreted as representing those of RAND Europe or any of the sponsors of its research.</w:t>
      </w:r>
    </w:p>
  </w:footnote>
  <w:footnote w:id="3">
    <w:p w:rsidR="00310B76" w:rsidRPr="00567EE4" w:rsidP="007F5BC9">
      <w:pPr>
        <w:pStyle w:val="CTFootnote"/>
      </w:pPr>
      <w:r w:rsidRPr="00567EE4">
        <w:rPr>
          <w:rStyle w:val="FootnoteReference"/>
        </w:rPr>
        <w:footnoteRef/>
      </w:r>
      <w:r w:rsidRPr="00567EE4">
        <w:t xml:space="preserve"> </w:t>
      </w:r>
      <w:r w:rsidRPr="00567EE4">
        <w:tab/>
      </w:r>
      <w:r w:rsidRPr="00567EE4">
        <w:t>RAND Europe is a research organisation that develops solutions to public policy challenges to help make communities throughout the world safer and more secure, healthier and more prosperous. RAND Europe is nonprofit, nonpartisan, and committed to the public interest. RAND’s mission is enabled through its core values of quality and objectivity and its commitment to integrity and ethical behaviour. RAND Europe subjects its research publications to a robust and exacting quality-assurance process; avoids fina</w:t>
      </w:r>
      <w:r w:rsidRPr="00567EE4">
        <w:t>ncial and other conflicts of interest through staff training, project screening, and a policy of mandatory disclosure; and pursues transparency through the open publication of research findings and recommendations, disclosure of the source of funding of published research, and policies to ensure intellectual independence. This testimony is not a research publication, but witnesses affiliated with RAND Europe routinely draw on relevant research conducted in the organisation.</w:t>
      </w:r>
    </w:p>
  </w:footnote>
  <w:footnote w:id="4">
    <w:p w:rsidR="00310B76" w:rsidRPr="00567EE4" w:rsidP="007F5BC9">
      <w:pPr>
        <w:pStyle w:val="CTFootnote"/>
      </w:pPr>
      <w:r w:rsidRPr="00567EE4">
        <w:rPr>
          <w:rStyle w:val="FootnoteReference"/>
        </w:rPr>
        <w:footnoteRef/>
      </w:r>
      <w:r>
        <w:t xml:space="preserve"> </w:t>
      </w:r>
      <w:r>
        <w:tab/>
      </w:r>
      <w:r>
        <w:t>UK Parliament (2026).</w:t>
      </w:r>
      <w:r>
        <w:t xml:space="preserve"> </w:t>
      </w:r>
    </w:p>
  </w:footnote>
  <w:footnote w:id="5">
    <w:p w:rsidR="00310B76">
      <w:pPr>
        <w:pStyle w:val="FootnoteText"/>
      </w:pPr>
      <w:r>
        <w:rPr>
          <w:rStyle w:val="FootnoteReference"/>
        </w:rPr>
        <w:footnoteRef/>
      </w:r>
      <w:r>
        <w:t xml:space="preserve"> </w:t>
      </w:r>
      <w:r>
        <w:t xml:space="preserve">In the UK, critical minerals are </w:t>
      </w:r>
      <w:r>
        <w:t xml:space="preserve">commodities </w:t>
      </w:r>
      <w:r>
        <w:t xml:space="preserve">that are essential to a country’s </w:t>
      </w:r>
      <w:r>
        <w:t>economy</w:t>
      </w:r>
      <w:r>
        <w:t xml:space="preserve">, </w:t>
      </w:r>
      <w:r>
        <w:t xml:space="preserve">national </w:t>
      </w:r>
      <w:r>
        <w:t>security</w:t>
      </w:r>
      <w:r>
        <w:t xml:space="preserve"> and clean energy </w:t>
      </w:r>
      <w:r>
        <w:t>transition.</w:t>
      </w:r>
      <w:r>
        <w:t xml:space="preserve"> See: </w:t>
      </w:r>
      <w:r>
        <w:t>Department for Business &amp; Trade (2026).</w:t>
      </w:r>
      <w:r>
        <w:t xml:space="preserve"> </w:t>
      </w:r>
    </w:p>
  </w:footnote>
  <w:footnote w:id="6">
    <w:p w:rsidR="00310B76" w:rsidRPr="00567EE4">
      <w:pPr>
        <w:pStyle w:val="FootnoteText"/>
      </w:pPr>
      <w:r w:rsidRPr="00567EE4">
        <w:rPr>
          <w:rStyle w:val="FootnoteReference"/>
        </w:rPr>
        <w:footnoteRef/>
      </w:r>
      <w:r w:rsidRPr="00567EE4">
        <w:t xml:space="preserve"> Ministry of Defence (2025)</w:t>
      </w:r>
      <w:r w:rsidRPr="00567EE4">
        <w:t>; HM Government (2025)</w:t>
      </w:r>
      <w:r w:rsidRPr="00567EE4">
        <w:t>.</w:t>
      </w:r>
    </w:p>
  </w:footnote>
  <w:footnote w:id="7">
    <w:p w:rsidR="00310B76" w:rsidRPr="003A6D28" w:rsidP="00A630E6">
      <w:pPr>
        <w:pStyle w:val="FootnoteText"/>
        <w:rPr>
          <w:lang w:val="fr-BE"/>
        </w:rPr>
      </w:pPr>
      <w:r w:rsidRPr="00567EE4">
        <w:rPr>
          <w:rStyle w:val="FootnoteReference"/>
        </w:rPr>
        <w:footnoteRef/>
      </w:r>
      <w:r w:rsidRPr="003A6D28">
        <w:rPr>
          <w:lang w:val="fr-BE"/>
        </w:rPr>
        <w:t xml:space="preserve"> </w:t>
      </w:r>
      <w:r w:rsidRPr="003A6D28">
        <w:rPr>
          <w:lang w:val="fr-BE"/>
        </w:rPr>
        <w:t xml:space="preserve">Villalobos et al. (2025); </w:t>
      </w:r>
      <w:r w:rsidRPr="003A6D28">
        <w:rPr>
          <w:lang w:val="fr-BE"/>
        </w:rPr>
        <w:t>Kepe &amp; Villalobos (2022).</w:t>
      </w:r>
    </w:p>
  </w:footnote>
  <w:footnote w:id="8">
    <w:p w:rsidR="00310B76" w:rsidP="001359A4">
      <w:pPr>
        <w:pStyle w:val="FootnoteText"/>
      </w:pPr>
      <w:r>
        <w:rPr>
          <w:rStyle w:val="FootnoteReference"/>
        </w:rPr>
        <w:footnoteRef/>
      </w:r>
      <w:r>
        <w:t xml:space="preserve"> UK Critical Minerals Intelligence Centre (2024</w:t>
      </w:r>
      <w:r>
        <w:t>b</w:t>
      </w:r>
      <w:r>
        <w:t>)</w:t>
      </w:r>
      <w:r>
        <w:t xml:space="preserve">; </w:t>
      </w:r>
      <w:r>
        <w:t xml:space="preserve">Our World in Data (2024). </w:t>
      </w:r>
    </w:p>
  </w:footnote>
  <w:footnote w:id="9">
    <w:p w:rsidR="00310B76" w:rsidRPr="003A6D28" w:rsidP="00A630E6">
      <w:pPr>
        <w:pStyle w:val="FootnoteText"/>
        <w:rPr>
          <w:lang w:val="fr-BE"/>
        </w:rPr>
      </w:pPr>
      <w:r w:rsidRPr="00567EE4">
        <w:rPr>
          <w:rStyle w:val="FootnoteReference"/>
        </w:rPr>
        <w:footnoteRef/>
      </w:r>
      <w:r w:rsidRPr="003A6D28">
        <w:rPr>
          <w:lang w:val="fr-BE"/>
        </w:rPr>
        <w:t xml:space="preserve"> </w:t>
      </w:r>
      <w:r w:rsidRPr="003A6D28">
        <w:rPr>
          <w:lang w:val="fr-BE"/>
        </w:rPr>
        <w:t>Silberglitt (2015).</w:t>
      </w:r>
    </w:p>
  </w:footnote>
  <w:footnote w:id="10">
    <w:p w:rsidR="00310B76">
      <w:pPr>
        <w:pStyle w:val="FootnoteText"/>
      </w:pPr>
      <w:r>
        <w:rPr>
          <w:rStyle w:val="FootnoteReference"/>
        </w:rPr>
        <w:footnoteRef/>
      </w:r>
      <w:r>
        <w:t xml:space="preserve"> </w:t>
      </w:r>
      <w:r>
        <w:t>UK Critical Minerals Intelligence Centre (2024a)</w:t>
      </w:r>
      <w:r>
        <w:t>.</w:t>
      </w:r>
    </w:p>
  </w:footnote>
  <w:footnote w:id="11">
    <w:p w:rsidR="00310B76" w:rsidRPr="003A6D28" w:rsidP="00F621C9">
      <w:pPr>
        <w:pStyle w:val="FootnoteText"/>
        <w:rPr>
          <w:lang w:val="fr-BE"/>
        </w:rPr>
      </w:pPr>
      <w:r>
        <w:rPr>
          <w:rStyle w:val="FootnoteReference"/>
        </w:rPr>
        <w:footnoteRef/>
      </w:r>
      <w:r w:rsidRPr="003A6D28">
        <w:rPr>
          <w:lang w:val="fr-BE"/>
        </w:rPr>
        <w:t xml:space="preserve"> Villalobos et al. (2025)</w:t>
      </w:r>
      <w:r>
        <w:rPr>
          <w:lang w:val="fr-BE"/>
        </w:rPr>
        <w:t>.</w:t>
      </w:r>
    </w:p>
  </w:footnote>
  <w:footnote w:id="12">
    <w:p w:rsidR="00310B76" w:rsidRPr="003A6D28" w:rsidP="000F32EF">
      <w:pPr>
        <w:pStyle w:val="FootnoteText"/>
        <w:rPr>
          <w:lang w:val="fr-BE"/>
        </w:rPr>
      </w:pPr>
      <w:r>
        <w:rPr>
          <w:rStyle w:val="FootnoteReference"/>
        </w:rPr>
        <w:footnoteRef/>
      </w:r>
      <w:r w:rsidRPr="003A6D28">
        <w:rPr>
          <w:lang w:val="fr-BE"/>
        </w:rPr>
        <w:t xml:space="preserve"> Villalobos et al. (2025).</w:t>
      </w:r>
    </w:p>
  </w:footnote>
  <w:footnote w:id="13">
    <w:p w:rsidR="00310B76" w:rsidRPr="003A6D28" w:rsidP="000F32EF">
      <w:pPr>
        <w:pStyle w:val="FootnoteText"/>
        <w:rPr>
          <w:lang w:val="fr-BE"/>
        </w:rPr>
      </w:pPr>
      <w:r w:rsidRPr="00567EE4">
        <w:rPr>
          <w:rStyle w:val="FootnoteReference"/>
        </w:rPr>
        <w:footnoteRef/>
      </w:r>
      <w:r w:rsidRPr="003A6D28">
        <w:rPr>
          <w:lang w:val="fr-BE"/>
        </w:rPr>
        <w:t xml:space="preserve"> </w:t>
      </w:r>
      <w:r w:rsidRPr="003A6D28">
        <w:rPr>
          <w:lang w:val="fr-BE"/>
        </w:rPr>
        <w:t xml:space="preserve">Villalobos et al. (2025); </w:t>
      </w:r>
      <w:r w:rsidRPr="003A6D28">
        <w:rPr>
          <w:lang w:val="fr-BE"/>
        </w:rPr>
        <w:t>Silberglitt (2015).</w:t>
      </w:r>
    </w:p>
  </w:footnote>
  <w:footnote w:id="14">
    <w:p w:rsidR="00310B76">
      <w:pPr>
        <w:pStyle w:val="FootnoteText"/>
      </w:pPr>
      <w:r>
        <w:rPr>
          <w:rStyle w:val="FootnoteReference"/>
        </w:rPr>
        <w:footnoteRef/>
      </w:r>
      <w:r>
        <w:t xml:space="preserve"> UK Critical Minerals Intelligence Centre (2024a)</w:t>
      </w:r>
      <w:r>
        <w:t>; Tungsten West (n.d)</w:t>
      </w:r>
      <w:r>
        <w:t>;</w:t>
      </w:r>
      <w:r>
        <w:t xml:space="preserve"> </w:t>
      </w:r>
      <w:r w:rsidRPr="003D3140">
        <w:t>Department for Business &amp; Trade</w:t>
      </w:r>
      <w:r>
        <w:t xml:space="preserve"> (</w:t>
      </w:r>
      <w:r w:rsidRPr="003D3140">
        <w:t>2026</w:t>
      </w:r>
      <w:r>
        <w:t>).</w:t>
      </w:r>
    </w:p>
  </w:footnote>
  <w:footnote w:id="15">
    <w:p w:rsidR="00310B76" w:rsidRPr="00567EE4" w:rsidP="00CE78F4">
      <w:pPr>
        <w:pStyle w:val="FootnoteText"/>
      </w:pPr>
      <w:r w:rsidRPr="00567EE4">
        <w:rPr>
          <w:rStyle w:val="FootnoteReference"/>
        </w:rPr>
        <w:footnoteRef/>
      </w:r>
      <w:r w:rsidRPr="003A6D28">
        <w:rPr>
          <w:lang w:val="fr-BE"/>
        </w:rPr>
        <w:t xml:space="preserve"> Silberglitt</w:t>
      </w:r>
      <w:r>
        <w:rPr>
          <w:lang w:val="fr-BE"/>
        </w:rPr>
        <w:t xml:space="preserve"> </w:t>
      </w:r>
      <w:r w:rsidRPr="003A6D28">
        <w:rPr>
          <w:lang w:val="fr-BE"/>
        </w:rPr>
        <w:t xml:space="preserve">(2015). </w:t>
      </w:r>
      <w:r>
        <w:t xml:space="preserve">REE are a subset of critical minerals, of which there are </w:t>
      </w:r>
      <w:r>
        <w:t>17</w:t>
      </w:r>
      <w:r>
        <w:t xml:space="preserve">: </w:t>
      </w:r>
      <w:r>
        <w:t xml:space="preserve">light REE (Cerium, Lanthanum, Praseodymium, Neodymium and Samarium) and heavy REE (Erbium, Europium, Gadolinium, Holmium, Terbium, Thulium, Ytterbium, Lutetium, Scandium and Yttrium). </w:t>
      </w:r>
    </w:p>
  </w:footnote>
  <w:footnote w:id="16">
    <w:p w:rsidR="00310B76" w:rsidRPr="00567EE4" w:rsidP="003E2358">
      <w:pPr>
        <w:pStyle w:val="FootnoteText"/>
      </w:pPr>
      <w:r w:rsidRPr="00567EE4">
        <w:rPr>
          <w:rStyle w:val="FootnoteReference"/>
        </w:rPr>
        <w:footnoteRef/>
      </w:r>
      <w:r w:rsidRPr="00567EE4">
        <w:t xml:space="preserve"> Silberglitt</w:t>
      </w:r>
      <w:r>
        <w:t xml:space="preserve"> </w:t>
      </w:r>
      <w:r w:rsidRPr="00567EE4">
        <w:t>(</w:t>
      </w:r>
      <w:r w:rsidRPr="00567EE4">
        <w:t>2015</w:t>
      </w:r>
      <w:r w:rsidRPr="00567EE4">
        <w:t>)</w:t>
      </w:r>
      <w:r w:rsidRPr="00567EE4">
        <w:t xml:space="preserve">. </w:t>
      </w:r>
    </w:p>
  </w:footnote>
  <w:footnote w:id="17">
    <w:p w:rsidR="00310B76">
      <w:pPr>
        <w:pStyle w:val="FootnoteText"/>
      </w:pPr>
      <w:r>
        <w:rPr>
          <w:rStyle w:val="FootnoteReference"/>
        </w:rPr>
        <w:footnoteRef/>
      </w:r>
      <w:r>
        <w:t xml:space="preserve"> </w:t>
      </w:r>
      <w:r>
        <w:t xml:space="preserve">UK Critical Minerals </w:t>
      </w:r>
      <w:r>
        <w:t>Intelligence Centre (</w:t>
      </w:r>
      <w:r>
        <w:t xml:space="preserve">2024a &amp; </w:t>
      </w:r>
      <w:r>
        <w:t>2024</w:t>
      </w:r>
      <w:r>
        <w:t>b</w:t>
      </w:r>
      <w:r>
        <w:t>).</w:t>
      </w:r>
    </w:p>
  </w:footnote>
  <w:footnote w:id="18">
    <w:p w:rsidR="00310B76" w:rsidRPr="00567EE4">
      <w:pPr>
        <w:pStyle w:val="FootnoteText"/>
      </w:pPr>
      <w:r w:rsidRPr="00567EE4">
        <w:rPr>
          <w:rStyle w:val="FootnoteReference"/>
        </w:rPr>
        <w:footnoteRef/>
      </w:r>
      <w:r w:rsidRPr="00567EE4">
        <w:t xml:space="preserve"> Tariq &amp; LaTourette</w:t>
      </w:r>
      <w:r w:rsidRPr="00567EE4">
        <w:t xml:space="preserve"> (</w:t>
      </w:r>
      <w:r w:rsidRPr="00567EE4">
        <w:t>2025</w:t>
      </w:r>
      <w:r w:rsidRPr="00567EE4">
        <w:t>);</w:t>
      </w:r>
      <w:r w:rsidRPr="00567EE4">
        <w:t xml:space="preserve"> LaTourrette</w:t>
      </w:r>
      <w:r>
        <w:t xml:space="preserve"> (</w:t>
      </w:r>
      <w:r w:rsidRPr="00567EE4">
        <w:t>2022</w:t>
      </w:r>
      <w:r w:rsidRPr="00567EE4">
        <w:t xml:space="preserve">); Kepe &amp; Villalobos (2022).  </w:t>
      </w:r>
    </w:p>
  </w:footnote>
  <w:footnote w:id="19">
    <w:p w:rsidR="00310B76" w:rsidRPr="003A6D28">
      <w:pPr>
        <w:pStyle w:val="FootnoteText"/>
      </w:pPr>
      <w:r w:rsidRPr="00567EE4">
        <w:rPr>
          <w:rStyle w:val="FootnoteReference"/>
        </w:rPr>
        <w:footnoteRef/>
      </w:r>
      <w:r w:rsidRPr="003A6D28">
        <w:t xml:space="preserve"> Tariq &amp; LaTourette </w:t>
      </w:r>
      <w:r w:rsidRPr="003A6D28">
        <w:t>(</w:t>
      </w:r>
      <w:r w:rsidRPr="003A6D28">
        <w:t>2025</w:t>
      </w:r>
      <w:r w:rsidRPr="003A6D28">
        <w:t>).</w:t>
      </w:r>
    </w:p>
  </w:footnote>
  <w:footnote w:id="20">
    <w:p w:rsidR="00310B76" w:rsidRPr="003A6D28">
      <w:pPr>
        <w:pStyle w:val="FootnoteText"/>
      </w:pPr>
      <w:r w:rsidRPr="00567EE4">
        <w:rPr>
          <w:rStyle w:val="FootnoteReference"/>
        </w:rPr>
        <w:footnoteRef/>
      </w:r>
      <w:r w:rsidRPr="003A6D28">
        <w:t xml:space="preserve"> LaTourrette</w:t>
      </w:r>
      <w:r w:rsidRPr="003A6D28">
        <w:t xml:space="preserve"> (</w:t>
      </w:r>
      <w:r w:rsidRPr="003A6D28">
        <w:t>2022</w:t>
      </w:r>
      <w:r w:rsidRPr="003A6D28">
        <w:t>)</w:t>
      </w:r>
      <w:r w:rsidRPr="003A6D28">
        <w:t>.</w:t>
      </w:r>
    </w:p>
  </w:footnote>
  <w:footnote w:id="21">
    <w:p w:rsidR="00310B76">
      <w:pPr>
        <w:pStyle w:val="FootnoteText"/>
      </w:pPr>
      <w:r>
        <w:rPr>
          <w:rStyle w:val="FootnoteReference"/>
        </w:rPr>
        <w:footnoteRef/>
      </w:r>
      <w:r>
        <w:t xml:space="preserve"> </w:t>
      </w:r>
      <w:r w:rsidRPr="003A6D28">
        <w:t>Department for Business &amp; Trade (2026).</w:t>
      </w:r>
    </w:p>
  </w:footnote>
  <w:footnote w:id="22">
    <w:p w:rsidR="00310B76">
      <w:pPr>
        <w:pStyle w:val="FootnoteText"/>
      </w:pPr>
      <w:r>
        <w:rPr>
          <w:rStyle w:val="FootnoteReference"/>
        </w:rPr>
        <w:footnoteRef/>
      </w:r>
      <w:r>
        <w:t xml:space="preserve"> </w:t>
      </w:r>
      <w:r w:rsidRPr="003A6D28">
        <w:t xml:space="preserve">Department for Business &amp; Trade (2026); </w:t>
      </w:r>
      <w:r>
        <w:t>Whincup &amp; Kroon (2025).</w:t>
      </w:r>
    </w:p>
  </w:footnote>
  <w:footnote w:id="23">
    <w:p w:rsidR="00310B76" w:rsidRPr="0001372B" w:rsidP="002A07FA">
      <w:pPr>
        <w:pStyle w:val="FootnoteText"/>
        <w:rPr>
          <w:lang w:val="it-IT"/>
        </w:rPr>
      </w:pPr>
      <w:r w:rsidRPr="00567EE4">
        <w:rPr>
          <w:rStyle w:val="FootnoteReference"/>
        </w:rPr>
        <w:footnoteRef/>
      </w:r>
      <w:r w:rsidRPr="0001372B">
        <w:rPr>
          <w:lang w:val="it-IT"/>
        </w:rPr>
        <w:t xml:space="preserve"> LaTourrette (2022); Ghiretti &amp; Ellis (2026).</w:t>
      </w:r>
    </w:p>
  </w:footnote>
  <w:footnote w:id="24">
    <w:p w:rsidR="00310B76" w:rsidRPr="0001372B">
      <w:pPr>
        <w:pStyle w:val="FootnoteText"/>
        <w:rPr>
          <w:lang w:val="it-IT"/>
        </w:rPr>
      </w:pPr>
      <w:r w:rsidRPr="00567EE4">
        <w:rPr>
          <w:rStyle w:val="FootnoteReference"/>
        </w:rPr>
        <w:footnoteRef/>
      </w:r>
      <w:r w:rsidRPr="0001372B">
        <w:rPr>
          <w:lang w:val="it-IT"/>
        </w:rPr>
        <w:t xml:space="preserve"> </w:t>
      </w:r>
      <w:r w:rsidRPr="0001372B">
        <w:rPr>
          <w:lang w:val="it-IT"/>
        </w:rPr>
        <w:t>LaTourrette (2022)</w:t>
      </w:r>
      <w:r w:rsidRPr="0001372B">
        <w:rPr>
          <w:lang w:val="it-IT"/>
        </w:rPr>
        <w:t>.</w:t>
      </w:r>
    </w:p>
  </w:footnote>
  <w:footnote w:id="25">
    <w:p w:rsidR="00310B76" w:rsidRPr="0001372B">
      <w:pPr>
        <w:pStyle w:val="FootnoteText"/>
        <w:rPr>
          <w:lang w:val="it-IT"/>
        </w:rPr>
      </w:pPr>
      <w:r w:rsidRPr="00567EE4">
        <w:rPr>
          <w:rStyle w:val="FootnoteReference"/>
        </w:rPr>
        <w:footnoteRef/>
      </w:r>
      <w:r w:rsidRPr="0001372B">
        <w:rPr>
          <w:lang w:val="it-IT"/>
        </w:rPr>
        <w:t xml:space="preserve"> Ghiretti &amp; Ellis (2026).</w:t>
      </w:r>
    </w:p>
  </w:footnote>
  <w:footnote w:id="26">
    <w:p w:rsidR="00310B76" w:rsidRPr="0001372B">
      <w:pPr>
        <w:pStyle w:val="FootnoteText"/>
        <w:rPr>
          <w:lang w:val="it-IT"/>
        </w:rPr>
      </w:pPr>
      <w:r w:rsidRPr="00567EE4">
        <w:rPr>
          <w:rStyle w:val="FootnoteReference"/>
        </w:rPr>
        <w:footnoteRef/>
      </w:r>
      <w:r w:rsidRPr="0001372B">
        <w:rPr>
          <w:lang w:val="it-IT"/>
        </w:rPr>
        <w:t xml:space="preserve"> Ghiretti &amp; Ellis (2026).</w:t>
      </w:r>
    </w:p>
  </w:footnote>
  <w:footnote w:id="27">
    <w:p w:rsidR="00310B76" w:rsidRPr="0001372B" w:rsidP="00805C4C">
      <w:pPr>
        <w:pStyle w:val="FootnoteText"/>
        <w:rPr>
          <w:lang w:val="it-IT"/>
        </w:rPr>
      </w:pPr>
      <w:r>
        <w:rPr>
          <w:rStyle w:val="FootnoteReference"/>
        </w:rPr>
        <w:footnoteRef/>
      </w:r>
      <w:r w:rsidRPr="0001372B">
        <w:rPr>
          <w:lang w:val="it-IT"/>
        </w:rPr>
        <w:t xml:space="preserve"> Ghiretti &amp; Ellis (2026).</w:t>
      </w:r>
    </w:p>
  </w:footnote>
  <w:footnote w:id="28">
    <w:p w:rsidR="00310B76" w:rsidRPr="003A6D28" w:rsidP="00805C4C">
      <w:pPr>
        <w:pStyle w:val="FootnoteText"/>
        <w:rPr>
          <w:lang w:val="it-IT"/>
        </w:rPr>
      </w:pPr>
      <w:r>
        <w:rPr>
          <w:rStyle w:val="FootnoteReference"/>
        </w:rPr>
        <w:footnoteRef/>
      </w:r>
      <w:r w:rsidRPr="003A6D28">
        <w:rPr>
          <w:lang w:val="it-IT"/>
        </w:rPr>
        <w:t xml:space="preserve"> Ghiretti &amp; Ellis (2026).</w:t>
      </w:r>
    </w:p>
  </w:footnote>
  <w:footnote w:id="29">
    <w:p w:rsidR="00310B76" w:rsidRPr="003A6D28">
      <w:pPr>
        <w:rPr>
          <w:lang w:val="it-IT"/>
        </w:rPr>
      </w:pPr>
      <w:r w:rsidRPr="00EF2EB9">
        <w:rPr>
          <w:vertAlign w:val="superscript"/>
        </w:rPr>
        <w:footnoteRef/>
      </w:r>
      <w:r w:rsidRPr="003A6D28">
        <w:rPr>
          <w:lang w:val="it-IT"/>
        </w:rPr>
        <w:t xml:space="preserve"> </w:t>
      </w:r>
      <w:r w:rsidRPr="00EF2EB9">
        <w:rPr>
          <w:sz w:val="20"/>
          <w:szCs w:val="20"/>
          <w:lang w:val="it-IT"/>
        </w:rPr>
        <w:t>Innovate UK (2025)</w:t>
      </w:r>
      <w:r>
        <w:rPr>
          <w:sz w:val="20"/>
          <w:szCs w:val="20"/>
          <w:lang w:val="it-IT"/>
        </w:rPr>
        <w:t>.</w:t>
      </w:r>
    </w:p>
  </w:footnote>
  <w:footnote w:id="30">
    <w:p w:rsidR="00310B76" w:rsidRPr="00484E21" w:rsidP="003661B6">
      <w:pPr>
        <w:pStyle w:val="FootnoteText"/>
        <w:rPr>
          <w:lang w:val="fr-BE"/>
        </w:rPr>
      </w:pPr>
      <w:r>
        <w:rPr>
          <w:rStyle w:val="FootnoteReference"/>
        </w:rPr>
        <w:footnoteRef/>
      </w:r>
      <w:r w:rsidRPr="00484E21">
        <w:rPr>
          <w:lang w:val="fr-BE"/>
        </w:rPr>
        <w:t xml:space="preserve"> Villalobos et al. (2025).</w:t>
      </w:r>
    </w:p>
  </w:footnote>
  <w:footnote w:id="31">
    <w:p w:rsidR="00310B76" w:rsidRPr="00484E21">
      <w:pPr>
        <w:pStyle w:val="FootnoteText"/>
        <w:rPr>
          <w:lang w:val="fr-BE"/>
        </w:rPr>
      </w:pPr>
      <w:r>
        <w:rPr>
          <w:rStyle w:val="FootnoteReference"/>
        </w:rPr>
        <w:footnoteRef/>
      </w:r>
      <w:r w:rsidRPr="00484E21">
        <w:rPr>
          <w:lang w:val="fr-BE"/>
        </w:rPr>
        <w:t xml:space="preserve"> </w:t>
      </w:r>
      <w:r w:rsidRPr="00484E21">
        <w:rPr>
          <w:lang w:val="fr-BE"/>
        </w:rPr>
        <w:t>Villalobos et al. (2025).</w:t>
      </w:r>
    </w:p>
  </w:footnote>
  <w:footnote w:id="32">
    <w:p w:rsidR="00310B76" w:rsidP="0057343E">
      <w:pPr>
        <w:pStyle w:val="FootnoteText"/>
      </w:pPr>
      <w:r>
        <w:rPr>
          <w:rStyle w:val="FootnoteReference"/>
        </w:rPr>
        <w:footnoteRef/>
      </w:r>
      <w:r w:rsidRPr="00484E21">
        <w:rPr>
          <w:lang w:val="fr-BE"/>
        </w:rPr>
        <w:t xml:space="preserve"> Villalobos et al. </w:t>
      </w:r>
      <w:r>
        <w:t>(2025).</w:t>
      </w:r>
    </w:p>
  </w:footnote>
  <w:footnote w:id="33">
    <w:p w:rsidR="00310B76" w:rsidP="00F31D04">
      <w:pPr>
        <w:pStyle w:val="FootnoteText"/>
      </w:pPr>
      <w:r>
        <w:rPr>
          <w:rStyle w:val="FootnoteReference"/>
        </w:rPr>
        <w:footnoteRef/>
      </w:r>
      <w:r w:rsidRPr="00484E21">
        <w:rPr>
          <w:lang w:val="fr-BE"/>
        </w:rPr>
        <w:t xml:space="preserve"> Villalobos et al. </w:t>
      </w:r>
      <w:r>
        <w:t>(2025).</w:t>
      </w:r>
    </w:p>
  </w:footnote>
  <w:footnote w:id="34">
    <w:p w:rsidR="00310B76" w:rsidRPr="003A6D28" w:rsidP="003565F9">
      <w:pPr>
        <w:pStyle w:val="FootnoteText"/>
      </w:pPr>
      <w:r w:rsidRPr="00567EE4">
        <w:rPr>
          <w:rStyle w:val="FootnoteReference"/>
        </w:rPr>
        <w:footnoteRef/>
      </w:r>
      <w:r w:rsidRPr="00567EE4">
        <w:t xml:space="preserve"> </w:t>
      </w:r>
      <w:r w:rsidRPr="003A6D28">
        <w:t>Villalobos et al. (2025).</w:t>
      </w:r>
    </w:p>
  </w:footnote>
  <w:footnote w:id="35">
    <w:p w:rsidR="00310B76" w:rsidRPr="003A6D28" w:rsidP="00EF2EB9">
      <w:pPr>
        <w:pStyle w:val="FootnoteText"/>
        <w:keepLines/>
      </w:pPr>
      <w:r w:rsidRPr="00567EE4">
        <w:rPr>
          <w:rStyle w:val="FootnoteReference"/>
        </w:rPr>
        <w:footnoteRef/>
      </w:r>
      <w:r w:rsidRPr="00567EE4">
        <w:t xml:space="preserve"> </w:t>
      </w:r>
      <w:r>
        <w:t xml:space="preserve">As of October 2024, the 12 critical products include: </w:t>
      </w:r>
      <w:r w:rsidRPr="00567EE4">
        <w:t>advanced electronic components</w:t>
      </w:r>
      <w:r>
        <w:t xml:space="preserve">, </w:t>
      </w:r>
      <w:r w:rsidRPr="00567EE4">
        <w:t>aircraft parts</w:t>
      </w:r>
      <w:r>
        <w:t xml:space="preserve">, antibacterial preparations, </w:t>
      </w:r>
      <w:r w:rsidRPr="00567EE4">
        <w:t>cloud computing</w:t>
      </w:r>
      <w:r>
        <w:t xml:space="preserve">, fertilizers, </w:t>
      </w:r>
      <w:r w:rsidRPr="00567EE4">
        <w:t>permanent magnets, machine tools and industrial robots, important minerals, natural gas</w:t>
      </w:r>
      <w:r>
        <w:t>,</w:t>
      </w:r>
      <w:r w:rsidRPr="003527DD">
        <w:t xml:space="preserve"> </w:t>
      </w:r>
      <w:r>
        <w:t xml:space="preserve">ship parts, </w:t>
      </w:r>
      <w:r w:rsidRPr="00567EE4">
        <w:t>semiconductors</w:t>
      </w:r>
      <w:r>
        <w:t xml:space="preserve"> and </w:t>
      </w:r>
      <w:r w:rsidRPr="00567EE4">
        <w:t>storage batteries.</w:t>
      </w:r>
      <w:r>
        <w:t xml:space="preserve"> </w:t>
      </w:r>
      <w:r>
        <w:t xml:space="preserve">See: Ministry of Economy, Trade and Industry, </w:t>
      </w:r>
      <w:r>
        <w:t>Japan</w:t>
      </w:r>
      <w:r>
        <w:t xml:space="preserve"> (2024).</w:t>
      </w:r>
    </w:p>
  </w:footnote>
  <w:footnote w:id="36">
    <w:p w:rsidR="00310B76" w:rsidRPr="003A6D28">
      <w:pPr>
        <w:pStyle w:val="FootnoteText"/>
        <w:rPr>
          <w:lang w:val="fr-BE"/>
        </w:rPr>
      </w:pPr>
      <w:r>
        <w:rPr>
          <w:rStyle w:val="FootnoteReference"/>
        </w:rPr>
        <w:footnoteRef/>
      </w:r>
      <w:r>
        <w:t xml:space="preserve"> </w:t>
      </w:r>
      <w:r w:rsidRPr="003A6D28">
        <w:t xml:space="preserve">Villalobos et al. </w:t>
      </w:r>
      <w:r w:rsidRPr="003A6D28">
        <w:rPr>
          <w:lang w:val="fr-BE"/>
        </w:rPr>
        <w:t>(2025).</w:t>
      </w:r>
    </w:p>
  </w:footnote>
  <w:footnote w:id="37">
    <w:p w:rsidR="00310B76" w:rsidRPr="00484E21" w:rsidP="009B3CAB">
      <w:pPr>
        <w:pStyle w:val="FootnoteText"/>
        <w:rPr>
          <w:lang w:val="fr-BE"/>
        </w:rPr>
      </w:pPr>
      <w:r w:rsidRPr="00567EE4">
        <w:rPr>
          <w:rStyle w:val="FootnoteReference"/>
        </w:rPr>
        <w:footnoteRef/>
      </w:r>
      <w:r w:rsidRPr="00484E21">
        <w:rPr>
          <w:lang w:val="fr-BE"/>
        </w:rPr>
        <w:t xml:space="preserve"> Villalobos et al. (2025).</w:t>
      </w:r>
    </w:p>
  </w:footnote>
  <w:footnote w:id="38">
    <w:p w:rsidR="00310B76" w:rsidRPr="00484E21" w:rsidP="00D175C6">
      <w:pPr>
        <w:pStyle w:val="FootnoteText"/>
        <w:rPr>
          <w:lang w:val="fr-BE"/>
        </w:rPr>
      </w:pPr>
      <w:r w:rsidRPr="00567EE4">
        <w:rPr>
          <w:rStyle w:val="FootnoteReference"/>
        </w:rPr>
        <w:footnoteRef/>
      </w:r>
      <w:r w:rsidRPr="00484E21">
        <w:rPr>
          <w:lang w:val="fr-BE"/>
        </w:rPr>
        <w:t xml:space="preserve"> Villalobos et al. (2025).</w:t>
      </w:r>
    </w:p>
  </w:footnote>
  <w:footnote w:id="39">
    <w:p w:rsidR="00310B76" w:rsidRPr="00484E21" w:rsidP="00C46722">
      <w:pPr>
        <w:pStyle w:val="FootnoteText"/>
        <w:rPr>
          <w:lang w:val="fr-BE"/>
        </w:rPr>
      </w:pPr>
      <w:r w:rsidRPr="00567EE4">
        <w:rPr>
          <w:rStyle w:val="FootnoteReference"/>
        </w:rPr>
        <w:footnoteRef/>
      </w:r>
      <w:r w:rsidRPr="00484E21">
        <w:rPr>
          <w:lang w:val="fr-BE"/>
        </w:rPr>
        <w:t xml:space="preserve"> Villalobos et al. (2025).</w:t>
      </w:r>
    </w:p>
  </w:footnote>
  <w:footnote w:id="40">
    <w:p w:rsidR="00310B76" w:rsidRPr="00484E21">
      <w:pPr>
        <w:pStyle w:val="FootnoteText"/>
        <w:rPr>
          <w:lang w:val="fr-BE"/>
        </w:rPr>
      </w:pPr>
      <w:r>
        <w:rPr>
          <w:rStyle w:val="FootnoteReference"/>
        </w:rPr>
        <w:footnoteRef/>
      </w:r>
      <w:r w:rsidRPr="003A6D28">
        <w:rPr>
          <w:lang w:val="fr-BE"/>
        </w:rPr>
        <w:t xml:space="preserve"> </w:t>
      </w:r>
      <w:r w:rsidRPr="00E712B0">
        <w:rPr>
          <w:lang w:val="fr-BE"/>
        </w:rPr>
        <w:t>Villalobos et al. (2025).</w:t>
      </w:r>
    </w:p>
  </w:footnote>
  <w:footnote w:id="41">
    <w:p w:rsidR="00310B76" w:rsidRPr="00085B09" w:rsidP="009048D1">
      <w:pPr>
        <w:pStyle w:val="FootnoteText"/>
        <w:rPr>
          <w:lang w:val="fr-BE"/>
        </w:rPr>
      </w:pPr>
      <w:r>
        <w:rPr>
          <w:rStyle w:val="FootnoteReference"/>
        </w:rPr>
        <w:footnoteRef/>
      </w:r>
      <w:r w:rsidRPr="00085B09">
        <w:rPr>
          <w:lang w:val="fr-BE"/>
        </w:rPr>
        <w:t xml:space="preserve"> </w:t>
      </w:r>
      <w:r w:rsidRPr="0072557E">
        <w:rPr>
          <w:lang w:val="fr-BE"/>
        </w:rPr>
        <w:t>LaTourrette et al.</w:t>
      </w:r>
      <w:r w:rsidRPr="00085B09">
        <w:rPr>
          <w:lang w:val="fr-BE"/>
        </w:rPr>
        <w:t xml:space="preserve"> (2025).</w:t>
      </w:r>
    </w:p>
  </w:footnote>
  <w:footnote w:id="42">
    <w:p w:rsidR="00310B76" w:rsidRPr="00085B09" w:rsidP="00975B04">
      <w:pPr>
        <w:pStyle w:val="FootnoteText"/>
        <w:rPr>
          <w:lang w:val="fr-BE"/>
        </w:rPr>
      </w:pPr>
      <w:r>
        <w:rPr>
          <w:rStyle w:val="FootnoteReference"/>
        </w:rPr>
        <w:footnoteRef/>
      </w:r>
      <w:r w:rsidRPr="00085B09">
        <w:rPr>
          <w:lang w:val="fr-BE"/>
        </w:rPr>
        <w:t xml:space="preserve"> Villalobos et al. (2025).</w:t>
      </w:r>
    </w:p>
  </w:footnote>
  <w:footnote w:id="43">
    <w:p w:rsidR="00310B76" w:rsidRPr="003A6D28">
      <w:pPr>
        <w:pStyle w:val="FootnoteText"/>
        <w:rPr>
          <w:lang w:val="fr-BE"/>
        </w:rPr>
      </w:pPr>
      <w:r>
        <w:rPr>
          <w:rStyle w:val="FootnoteReference"/>
        </w:rPr>
        <w:footnoteRef/>
      </w:r>
      <w:r w:rsidRPr="003A6D28">
        <w:rPr>
          <w:lang w:val="fr-BE"/>
        </w:rPr>
        <w:t xml:space="preserve"> </w:t>
      </w:r>
      <w:r w:rsidRPr="00085B09">
        <w:rPr>
          <w:lang w:val="fr-BE"/>
        </w:rPr>
        <w:t>Villalobos et al. (2025).</w:t>
      </w:r>
    </w:p>
  </w:footnote>
  <w:footnote w:id="44">
    <w:p w:rsidR="00310B76">
      <w:pPr>
        <w:pStyle w:val="FootnoteText"/>
      </w:pPr>
      <w:r>
        <w:rPr>
          <w:rStyle w:val="FootnoteReference"/>
        </w:rPr>
        <w:footnoteRef/>
      </w:r>
      <w:r w:rsidRPr="003A6D28">
        <w:rPr>
          <w:lang w:val="fr-BE"/>
        </w:rPr>
        <w:t xml:space="preserve"> </w:t>
      </w:r>
      <w:r w:rsidRPr="00085B09">
        <w:rPr>
          <w:lang w:val="fr-BE"/>
        </w:rPr>
        <w:t>LaTourrette et al. (2025).</w:t>
      </w:r>
    </w:p>
  </w:footnote>
  <w:footnote w:id="45">
    <w:p w:rsidR="00310B76" w:rsidRPr="00085B09" w:rsidP="00045B7E">
      <w:pPr>
        <w:pStyle w:val="FootnoteText"/>
        <w:rPr>
          <w:lang w:val="fr-BE"/>
        </w:rPr>
      </w:pPr>
      <w:r>
        <w:rPr>
          <w:rStyle w:val="FootnoteReference"/>
        </w:rPr>
        <w:footnoteRef/>
      </w:r>
      <w:r w:rsidRPr="00085B09">
        <w:rPr>
          <w:lang w:val="fr-BE"/>
        </w:rPr>
        <w:t xml:space="preserve"> LaTourrette et al. (2025).</w:t>
      </w:r>
    </w:p>
  </w:footnote>
  <w:footnote w:id="46">
    <w:p w:rsidR="00310B76" w:rsidRPr="003A6D28" w:rsidP="001835C2">
      <w:pPr>
        <w:pStyle w:val="FootnoteText"/>
        <w:rPr>
          <w:lang w:val="fr-BE"/>
        </w:rPr>
      </w:pPr>
      <w:r>
        <w:rPr>
          <w:rStyle w:val="FootnoteReference"/>
        </w:rPr>
        <w:footnoteRef/>
      </w:r>
      <w:r w:rsidRPr="003A6D28">
        <w:rPr>
          <w:lang w:val="fr-BE"/>
        </w:rPr>
        <w:t xml:space="preserve"> </w:t>
      </w:r>
      <w:r w:rsidRPr="00E712B0">
        <w:rPr>
          <w:lang w:val="fr-BE"/>
        </w:rPr>
        <w:t>Villalobos et al. (2025)</w:t>
      </w:r>
      <w:r>
        <w:rPr>
          <w:lang w:val="fr-BE"/>
        </w:rPr>
        <w:t>;</w:t>
      </w:r>
      <w:r w:rsidRPr="00C23247">
        <w:rPr>
          <w:lang w:val="fr-BE"/>
        </w:rPr>
        <w:t xml:space="preserve"> </w:t>
      </w:r>
      <w:r w:rsidRPr="00F2349A">
        <w:rPr>
          <w:lang w:val="fr-BE"/>
        </w:rPr>
        <w:t>Hill &amp; Lucas (2024).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B76" w:rsidRPr="00567EE4">
    <w:pPr>
      <w:pStyle w:val="Header"/>
    </w:pPr>
    <w:r w:rsidRPr="00567EE4">
      <w:t>RAND Europe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B76" w:rsidRPr="00310B76" w:rsidP="00310B76">
    <w:pPr>
      <w:pStyle w:val="Header"/>
      <w:jc w:val="center"/>
      <w:rPr>
        <w:rFonts w:ascii="Aptos" w:hAnsi="Aptos"/>
      </w:rPr>
    </w:pPr>
    <w:r>
      <w:rPr>
        <w:rFonts w:ascii="Aptos" w:hAnsi="Aptos"/>
      </w:rPr>
      <w:t>Written submission from RAND Europe (CRM0019)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8752352"/>
      <w:placeholder>
        <w:docPart w:val="BA8ECF9527F8481FA6039E75744C9F85"/>
      </w:placeholder>
      <w:showingPlcHdr/>
      <w:richText/>
      <w:temporary/>
    </w:sdtPr>
    <w:sdtContent>
      <w:p w:rsidR="00310B76">
        <w:pPr>
          <w:pStyle w:val="Header"/>
        </w:pPr>
        <w:r>
          <w:t>[Type here]</w:t>
        </w:r>
      </w:p>
    </w:sdtContent>
  </w:sdt>
  <w:p w:rsidR="00310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7594A"/>
    <w:multiLevelType w:val="hybridMultilevel"/>
    <w:tmpl w:val="4E208228"/>
    <w:lvl w:ilvl="0">
      <w:start w:val="1"/>
      <w:numFmt w:val="bullet"/>
      <w:lvlText w:val=""/>
      <w:lvlJc w:val="left"/>
      <w:pPr>
        <w:ind w:left="4406" w:hanging="360"/>
      </w:pPr>
      <w:rPr>
        <w:rFonts w:ascii="Symbol" w:hAnsi="Symbol" w:hint="default"/>
      </w:rPr>
    </w:lvl>
    <w:lvl w:ilvl="1" w:tentative="1">
      <w:start w:val="1"/>
      <w:numFmt w:val="bullet"/>
      <w:lvlText w:val="o"/>
      <w:lvlJc w:val="left"/>
      <w:pPr>
        <w:ind w:left="5126" w:hanging="360"/>
      </w:pPr>
      <w:rPr>
        <w:rFonts w:ascii="Courier New" w:hAnsi="Courier New" w:cs="Courier New" w:hint="default"/>
      </w:rPr>
    </w:lvl>
    <w:lvl w:ilvl="2" w:tentative="1">
      <w:start w:val="1"/>
      <w:numFmt w:val="bullet"/>
      <w:lvlText w:val=""/>
      <w:lvlJc w:val="left"/>
      <w:pPr>
        <w:ind w:left="5846" w:hanging="360"/>
      </w:pPr>
      <w:rPr>
        <w:rFonts w:ascii="Wingdings" w:hAnsi="Wingdings" w:hint="default"/>
      </w:rPr>
    </w:lvl>
    <w:lvl w:ilvl="3" w:tentative="1">
      <w:start w:val="1"/>
      <w:numFmt w:val="bullet"/>
      <w:lvlText w:val=""/>
      <w:lvlJc w:val="left"/>
      <w:pPr>
        <w:ind w:left="6566" w:hanging="360"/>
      </w:pPr>
      <w:rPr>
        <w:rFonts w:ascii="Symbol" w:hAnsi="Symbol" w:hint="default"/>
      </w:rPr>
    </w:lvl>
    <w:lvl w:ilvl="4" w:tentative="1">
      <w:start w:val="1"/>
      <w:numFmt w:val="bullet"/>
      <w:lvlText w:val="o"/>
      <w:lvlJc w:val="left"/>
      <w:pPr>
        <w:ind w:left="7286" w:hanging="360"/>
      </w:pPr>
      <w:rPr>
        <w:rFonts w:ascii="Courier New" w:hAnsi="Courier New" w:cs="Courier New" w:hint="default"/>
      </w:rPr>
    </w:lvl>
    <w:lvl w:ilvl="5" w:tentative="1">
      <w:start w:val="1"/>
      <w:numFmt w:val="bullet"/>
      <w:lvlText w:val=""/>
      <w:lvlJc w:val="left"/>
      <w:pPr>
        <w:ind w:left="8006" w:hanging="360"/>
      </w:pPr>
      <w:rPr>
        <w:rFonts w:ascii="Wingdings" w:hAnsi="Wingdings" w:hint="default"/>
      </w:rPr>
    </w:lvl>
    <w:lvl w:ilvl="6" w:tentative="1">
      <w:start w:val="1"/>
      <w:numFmt w:val="bullet"/>
      <w:lvlText w:val=""/>
      <w:lvlJc w:val="left"/>
      <w:pPr>
        <w:ind w:left="8726" w:hanging="360"/>
      </w:pPr>
      <w:rPr>
        <w:rFonts w:ascii="Symbol" w:hAnsi="Symbol" w:hint="default"/>
      </w:rPr>
    </w:lvl>
    <w:lvl w:ilvl="7" w:tentative="1">
      <w:start w:val="1"/>
      <w:numFmt w:val="bullet"/>
      <w:lvlText w:val="o"/>
      <w:lvlJc w:val="left"/>
      <w:pPr>
        <w:ind w:left="9446" w:hanging="360"/>
      </w:pPr>
      <w:rPr>
        <w:rFonts w:ascii="Courier New" w:hAnsi="Courier New" w:cs="Courier New" w:hint="default"/>
      </w:rPr>
    </w:lvl>
    <w:lvl w:ilvl="8" w:tentative="1">
      <w:start w:val="1"/>
      <w:numFmt w:val="bullet"/>
      <w:lvlText w:val=""/>
      <w:lvlJc w:val="left"/>
      <w:pPr>
        <w:ind w:left="10166" w:hanging="360"/>
      </w:pPr>
      <w:rPr>
        <w:rFonts w:ascii="Wingdings" w:hAnsi="Wingdings" w:hint="default"/>
      </w:rPr>
    </w:lvl>
  </w:abstractNum>
  <w:abstractNum w:abstractNumId="1">
    <w:nsid w:val="01722A92"/>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01E72DD4"/>
    <w:multiLevelType w:val="multilevel"/>
    <w:tmpl w:val="A0AC6E0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nsid w:val="02CB54DB"/>
    <w:multiLevelType w:val="multilevel"/>
    <w:tmpl w:val="C0AE6360"/>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907" w:hanging="907"/>
      </w:pPr>
      <w:rPr>
        <w:rFonts w:hint="default"/>
      </w:rPr>
    </w:lvl>
    <w:lvl w:ilvl="2">
      <w:start w:val="1"/>
      <w:numFmt w:val="decimal"/>
      <w:pStyle w:val="Heading3"/>
      <w:lvlText w:val="%1.%2.%3."/>
      <w:lvlJc w:val="left"/>
      <w:pPr>
        <w:ind w:left="1021" w:hanging="102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A4C2519"/>
    <w:multiLevelType w:val="hybridMultilevel"/>
    <w:tmpl w:val="F63ABF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1F3055"/>
    <w:multiLevelType w:val="hybridMultilevel"/>
    <w:tmpl w:val="D94E1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CD84A4"/>
    <w:multiLevelType w:val="hybridMultilevel"/>
    <w:tmpl w:val="13865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EEA6B18"/>
    <w:multiLevelType w:val="hybridMultilevel"/>
    <w:tmpl w:val="2988A960"/>
    <w:lvl w:ilvl="0">
      <w:start w:val="1"/>
      <w:numFmt w:val="upperLetter"/>
      <w:lvlText w:val="Annex %1"/>
      <w:lvlJc w:val="left"/>
      <w:pPr>
        <w:ind w:left="71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CF0264"/>
    <w:multiLevelType w:val="multilevel"/>
    <w:tmpl w:val="D128984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9811888"/>
    <w:multiLevelType w:val="hybridMultilevel"/>
    <w:tmpl w:val="7F8EDFD8"/>
    <w:lvl w:ilvl="0">
      <w:start w:val="0"/>
      <w:numFmt w:val="bullet"/>
      <w:lvlText w:val="-"/>
      <w:lvlJc w:val="left"/>
      <w:pPr>
        <w:ind w:left="720" w:hanging="360"/>
      </w:pPr>
      <w:rPr>
        <w:rFonts w:ascii="Adobe Garamond Pro" w:hAnsi="Adobe Garamond Pro"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4C0982"/>
    <w:multiLevelType w:val="hybridMultilevel"/>
    <w:tmpl w:val="EF8429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CD836E5"/>
    <w:multiLevelType w:val="hybridMultilevel"/>
    <w:tmpl w:val="78BC2A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0C2DC1"/>
    <w:multiLevelType w:val="multilevel"/>
    <w:tmpl w:val="B888B8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644" w:hanging="360"/>
      </w:pPr>
      <w:rPr>
        <w:color w:val="auto"/>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29450666"/>
    <w:multiLevelType w:val="multilevel"/>
    <w:tmpl w:val="B888B8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644" w:hanging="360"/>
      </w:pPr>
      <w:rPr>
        <w:color w:val="auto"/>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2CD474FB"/>
    <w:multiLevelType w:val="hybridMultilevel"/>
    <w:tmpl w:val="2B98ADE2"/>
    <w:lvl w:ilvl="0">
      <w:start w:val="0"/>
      <w:numFmt w:val="bullet"/>
      <w:lvlText w:val="-"/>
      <w:lvlJc w:val="left"/>
      <w:pPr>
        <w:ind w:left="720" w:hanging="360"/>
      </w:pPr>
      <w:rPr>
        <w:rFonts w:ascii="Adobe Garamond Pro" w:hAnsi="Adobe Garamond Pro"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6E7185"/>
    <w:multiLevelType w:val="multilevel"/>
    <w:tmpl w:val="C3507FA8"/>
    <w:lvl w:ilvl="0">
      <w:start w:val="1"/>
      <w:numFmt w:val="decimal"/>
      <w:suff w:val="space"/>
      <w:lvlText w:val="%1."/>
      <w:lvlJc w:val="left"/>
      <w:pPr>
        <w:ind w:left="454" w:hanging="454"/>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Letter"/>
      <w:lvlRestart w:val="1"/>
      <w:lvlText w:val="Appendix %6"/>
      <w:lvlJc w:val="left"/>
      <w:pPr>
        <w:ind w:left="1021" w:hanging="1021"/>
      </w:pPr>
      <w:rPr>
        <w:rFonts w:hint="default"/>
      </w:rPr>
    </w:lvl>
    <w:lvl w:ilvl="6">
      <w:start w:val="1"/>
      <w:numFmt w:val="decimal"/>
      <w:lvlText w:val="%6.%7"/>
      <w:lvlJc w:val="left"/>
      <w:pPr>
        <w:ind w:left="2520" w:hanging="360"/>
      </w:pPr>
      <w:rPr>
        <w:rFonts w:hint="default"/>
      </w:rPr>
    </w:lvl>
    <w:lvl w:ilvl="7">
      <w:start w:val="1"/>
      <w:numFmt w:val="decimal"/>
      <w:lvlText w:val="%6.%7.%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A12753D"/>
    <w:multiLevelType w:val="hybridMultilevel"/>
    <w:tmpl w:val="EDF8DD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C7E7A5D"/>
    <w:multiLevelType w:val="hybridMultilevel"/>
    <w:tmpl w:val="23C8F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987CD9"/>
    <w:multiLevelType w:val="multilevel"/>
    <w:tmpl w:val="C6A07708"/>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40DC74A4"/>
    <w:multiLevelType w:val="hybridMultilevel"/>
    <w:tmpl w:val="0674F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7A82C61"/>
    <w:multiLevelType w:val="hybridMultilevel"/>
    <w:tmpl w:val="9DA67D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CCC7CA1"/>
    <w:multiLevelType w:val="multilevel"/>
    <w:tmpl w:val="E6F4B5C0"/>
    <w:lvl w:ilvl="0">
      <w:start w:val="1"/>
      <w:numFmt w:val="decimal"/>
      <w:suff w:val="space"/>
      <w:lvlText w:val="%1."/>
      <w:lvlJc w:val="left"/>
      <w:pPr>
        <w:ind w:left="454" w:hanging="454"/>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Letter"/>
      <w:lvlRestart w:val="1"/>
      <w:lvlText w:val="Appendix %6"/>
      <w:lvlJc w:val="left"/>
      <w:pPr>
        <w:ind w:left="1021" w:hanging="1021"/>
      </w:pPr>
      <w:rPr>
        <w:rFonts w:hint="default"/>
      </w:rPr>
    </w:lvl>
    <w:lvl w:ilvl="6">
      <w:start w:val="1"/>
      <w:numFmt w:val="decimal"/>
      <w:lvlText w:val="%6.%7"/>
      <w:lvlJc w:val="left"/>
      <w:pPr>
        <w:ind w:left="2520" w:hanging="360"/>
      </w:pPr>
      <w:rPr>
        <w:rFonts w:hint="default"/>
      </w:rPr>
    </w:lvl>
    <w:lvl w:ilvl="7">
      <w:start w:val="1"/>
      <w:numFmt w:val="decimal"/>
      <w:lvlText w:val="%6.%7.%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EA67D8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92A707B"/>
    <w:multiLevelType w:val="hybridMultilevel"/>
    <w:tmpl w:val="2014FFC4"/>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0EAD36"/>
    <w:multiLevelType w:val="multilevel"/>
    <w:tmpl w:val="B642A73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EF3B67"/>
    <w:multiLevelType w:val="hybridMultilevel"/>
    <w:tmpl w:val="47446D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F8C4EBA"/>
    <w:multiLevelType w:val="hybridMultilevel"/>
    <w:tmpl w:val="7F7EA7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01D7AF5"/>
    <w:multiLevelType w:val="multilevel"/>
    <w:tmpl w:val="9D183930"/>
    <w:lvl w:ilvl="0">
      <w:start w:val="3"/>
      <w:numFmt w:val="decimal"/>
      <w:lvlText w:val="%1"/>
      <w:lvlJc w:val="left"/>
      <w:pPr>
        <w:ind w:left="560" w:hanging="560"/>
      </w:pPr>
      <w:rPr>
        <w:rFonts w:hint="default"/>
      </w:rPr>
    </w:lvl>
    <w:lvl w:ilvl="1">
      <w:start w:val="3"/>
      <w:numFmt w:val="decimal"/>
      <w:lvlText w:val="%1.%2"/>
      <w:lvlJc w:val="left"/>
      <w:pPr>
        <w:ind w:left="1280" w:hanging="56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0AD09C5"/>
    <w:multiLevelType w:val="hybridMultilevel"/>
    <w:tmpl w:val="194AA5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146144C"/>
    <w:multiLevelType w:val="hybridMultilevel"/>
    <w:tmpl w:val="93BE54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36B471D"/>
    <w:multiLevelType w:val="multilevel"/>
    <w:tmpl w:val="9B1CE878"/>
    <w:lvl w:ilvl="0">
      <w:start w:val="1"/>
      <w:numFmt w:val="upperLetter"/>
      <w:pStyle w:val="Heading6"/>
      <w:lvlText w:val="Annex %1."/>
      <w:lvlJc w:val="left"/>
      <w:pPr>
        <w:ind w:left="1418" w:hanging="1418"/>
      </w:pPr>
      <w:rPr>
        <w:rFonts w:hint="default"/>
      </w:rPr>
    </w:lvl>
    <w:lvl w:ilvl="1">
      <w:start w:val="1"/>
      <w:numFmt w:val="decimal"/>
      <w:pStyle w:val="Heading7"/>
      <w:lvlText w:val="%1.%2."/>
      <w:lvlJc w:val="left"/>
      <w:pPr>
        <w:ind w:left="794" w:hanging="794"/>
      </w:pPr>
      <w:rPr>
        <w:rFonts w:hint="default"/>
      </w:rPr>
    </w:lvl>
    <w:lvl w:ilvl="2">
      <w:start w:val="1"/>
      <w:numFmt w:val="decimal"/>
      <w:pStyle w:val="Heading8"/>
      <w:lvlText w:val="%1.%2.%3."/>
      <w:lvlJc w:val="left"/>
      <w:pPr>
        <w:ind w:left="1021" w:hanging="1021"/>
      </w:pPr>
      <w:rPr>
        <w:rFonts w:hint="default"/>
      </w:rPr>
    </w:lvl>
    <w:lvl w:ilvl="3">
      <w:start w:val="1"/>
      <w:numFmt w:val="none"/>
      <w:lvlJc w:val="left"/>
      <w:pPr>
        <w:ind w:left="2160" w:hanging="360"/>
      </w:pPr>
      <w:rPr>
        <w:rFonts w:hint="default"/>
      </w:rPr>
    </w:lvl>
    <w:lvl w:ilvl="4">
      <w:start w:val="1"/>
      <w:numFmt w:val="none"/>
      <w:lvlJc w:val="left"/>
      <w:pPr>
        <w:ind w:left="2520" w:hanging="360"/>
      </w:pPr>
      <w:rPr>
        <w:rFonts w:hint="default"/>
      </w:rPr>
    </w:lvl>
    <w:lvl w:ilvl="5">
      <w:start w:val="1"/>
      <w:numFmt w:val="none"/>
      <w:lvlJc w:val="left"/>
      <w:pPr>
        <w:ind w:left="2880" w:hanging="360"/>
      </w:pPr>
      <w:rPr>
        <w:rFonts w:hint="default"/>
      </w:rPr>
    </w:lvl>
    <w:lvl w:ilvl="6">
      <w:start w:val="1"/>
      <w:numFmt w:val="none"/>
      <w:lvlJc w:val="left"/>
      <w:pPr>
        <w:ind w:left="3240" w:hanging="360"/>
      </w:pPr>
      <w:rPr>
        <w:rFonts w:hint="default"/>
      </w:rPr>
    </w:lvl>
    <w:lvl w:ilvl="7">
      <w:start w:val="1"/>
      <w:numFmt w:val="none"/>
      <w:lvlJc w:val="left"/>
      <w:pPr>
        <w:ind w:left="3600" w:hanging="360"/>
      </w:pPr>
      <w:rPr>
        <w:rFonts w:hint="default"/>
      </w:rPr>
    </w:lvl>
    <w:lvl w:ilvl="8">
      <w:start w:val="1"/>
      <w:numFmt w:val="none"/>
      <w:lvlJc w:val="left"/>
      <w:pPr>
        <w:ind w:left="3960" w:hanging="360"/>
      </w:pPr>
      <w:rPr>
        <w:rFonts w:hint="default"/>
      </w:rPr>
    </w:lvl>
  </w:abstractNum>
  <w:abstractNum w:abstractNumId="31">
    <w:nsid w:val="688C22CB"/>
    <w:multiLevelType w:val="multilevel"/>
    <w:tmpl w:val="DAF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A46485"/>
    <w:multiLevelType w:val="multilevel"/>
    <w:tmpl w:val="35903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D425177"/>
    <w:multiLevelType w:val="hybridMultilevel"/>
    <w:tmpl w:val="34AE76AA"/>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0B81777"/>
    <w:multiLevelType w:val="hybridMultilevel"/>
    <w:tmpl w:val="40764EC6"/>
    <w:lvl w:ilvl="0">
      <w:start w:val="0"/>
      <w:numFmt w:val="bullet"/>
      <w:lvlText w:val="-"/>
      <w:lvlJc w:val="left"/>
      <w:pPr>
        <w:ind w:left="720" w:hanging="360"/>
      </w:pPr>
      <w:rPr>
        <w:rFonts w:ascii="Adobe Garamond Pro" w:hAnsi="Adobe Garamond Pro" w:eastAsiaTheme="minorHAnsi" w:cstheme="minorBidi"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4E53F52"/>
    <w:multiLevelType w:val="hybridMultilevel"/>
    <w:tmpl w:val="E37E1D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75425A2"/>
    <w:multiLevelType w:val="multilevel"/>
    <w:tmpl w:val="984C070C"/>
    <w:styleLink w:val="Annexheadings"/>
    <w:lvl w:ilvl="0">
      <w:start w:val="1"/>
      <w:numFmt w:val="upperLetter"/>
      <w:suff w:val="space"/>
      <w:lvlText w:val="Annex %1."/>
      <w:lvlJc w:val="left"/>
      <w:pPr>
        <w:ind w:left="454" w:hanging="454"/>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none"/>
      <w:lvlJc w:val="left"/>
      <w:pPr>
        <w:ind w:left="2160" w:hanging="360"/>
      </w:pPr>
      <w:rPr>
        <w:rFonts w:hint="default"/>
      </w:rPr>
    </w:lvl>
    <w:lvl w:ilvl="4">
      <w:start w:val="1"/>
      <w:numFmt w:val="none"/>
      <w:lvlJc w:val="left"/>
      <w:pPr>
        <w:ind w:left="2520" w:hanging="360"/>
      </w:pPr>
      <w:rPr>
        <w:rFonts w:hint="default"/>
      </w:rPr>
    </w:lvl>
    <w:lvl w:ilvl="5">
      <w:start w:val="1"/>
      <w:numFmt w:val="none"/>
      <w:lvlJc w:val="left"/>
      <w:pPr>
        <w:ind w:left="2880" w:hanging="360"/>
      </w:pPr>
      <w:rPr>
        <w:rFonts w:hint="default"/>
      </w:rPr>
    </w:lvl>
    <w:lvl w:ilvl="6">
      <w:start w:val="1"/>
      <w:numFmt w:val="none"/>
      <w:lvlJc w:val="left"/>
      <w:pPr>
        <w:ind w:left="3240" w:hanging="360"/>
      </w:pPr>
      <w:rPr>
        <w:rFonts w:hint="default"/>
      </w:rPr>
    </w:lvl>
    <w:lvl w:ilvl="7">
      <w:start w:val="1"/>
      <w:numFmt w:val="none"/>
      <w:lvlJc w:val="left"/>
      <w:pPr>
        <w:ind w:left="3600" w:hanging="360"/>
      </w:pPr>
      <w:rPr>
        <w:rFonts w:hint="default"/>
      </w:rPr>
    </w:lvl>
    <w:lvl w:ilvl="8">
      <w:start w:val="1"/>
      <w:numFmt w:val="none"/>
      <w:lvlJc w:val="left"/>
      <w:pPr>
        <w:ind w:left="3960" w:hanging="360"/>
      </w:pPr>
      <w:rPr>
        <w:rFonts w:hint="default"/>
      </w:rPr>
    </w:lvl>
  </w:abstractNum>
  <w:abstractNum w:abstractNumId="37">
    <w:nsid w:val="79A90FA9"/>
    <w:multiLevelType w:val="multilevel"/>
    <w:tmpl w:val="B888B8F8"/>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644" w:hanging="360"/>
      </w:pPr>
      <w:rPr>
        <w:color w:val="auto"/>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7B925469"/>
    <w:multiLevelType w:val="hybridMultilevel"/>
    <w:tmpl w:val="F1C83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C7F75AF"/>
    <w:multiLevelType w:val="hybridMultilevel"/>
    <w:tmpl w:val="6E1479F6"/>
    <w:lvl w:ilvl="0">
      <w:start w:val="1"/>
      <w:numFmt w:val="decimal"/>
      <w:lvlText w:val="%1."/>
      <w:lvlJc w:val="left"/>
      <w:pPr>
        <w:ind w:left="720" w:hanging="360"/>
      </w:pPr>
      <w:rPr>
        <w:rFonts w:ascii="Twentieth Century" w:eastAsia="Twentieth Century" w:hAnsi="Twentieth Century" w:cs="Twentieth Century"/>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num>
  <w:num w:numId="2">
    <w:abstractNumId w:val="10"/>
  </w:num>
  <w:num w:numId="3">
    <w:abstractNumId w:val="5"/>
  </w:num>
  <w:num w:numId="4">
    <w:abstractNumId w:val="20"/>
  </w:num>
  <w:num w:numId="5">
    <w:abstractNumId w:val="19"/>
  </w:num>
  <w:num w:numId="6">
    <w:abstractNumId w:val="28"/>
  </w:num>
  <w:num w:numId="7">
    <w:abstractNumId w:val="11"/>
  </w:num>
  <w:num w:numId="8">
    <w:abstractNumId w:val="7"/>
  </w:num>
  <w:num w:numId="9">
    <w:abstractNumId w:val="36"/>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0"/>
  </w:num>
  <w:num w:numId="13">
    <w:abstractNumId w:val="38"/>
  </w:num>
  <w:num w:numId="14">
    <w:abstractNumId w:val="4"/>
  </w:num>
  <w:num w:numId="15">
    <w:abstractNumId w:val="29"/>
  </w:num>
  <w:num w:numId="16">
    <w:abstractNumId w:val="22"/>
  </w:num>
  <w:num w:numId="17">
    <w:abstractNumId w:val="1"/>
  </w:num>
  <w:num w:numId="18">
    <w:abstractNumId w:val="21"/>
  </w:num>
  <w:num w:numId="19">
    <w:abstractNumId w:val="3"/>
  </w:num>
  <w:num w:numId="20">
    <w:abstractNumId w:val="30"/>
  </w:num>
  <w:num w:numId="21">
    <w:abstractNumId w:val="2"/>
  </w:num>
  <w:num w:numId="22">
    <w:abstractNumId w:val="32"/>
  </w:num>
  <w:num w:numId="23">
    <w:abstractNumId w:val="12"/>
  </w:num>
  <w:num w:numId="24">
    <w:abstractNumId w:val="39"/>
  </w:num>
  <w:num w:numId="25">
    <w:abstractNumId w:val="37"/>
  </w:num>
  <w:num w:numId="26">
    <w:abstractNumId w:val="13"/>
  </w:num>
  <w:num w:numId="27">
    <w:abstractNumId w:val="18"/>
  </w:num>
  <w:num w:numId="28">
    <w:abstractNumId w:val="8"/>
  </w:num>
  <w:num w:numId="29">
    <w:abstractNumId w:val="27"/>
  </w:num>
  <w:num w:numId="30">
    <w:abstractNumId w:val="24"/>
  </w:num>
  <w:num w:numId="31">
    <w:abstractNumId w:val="6"/>
  </w:num>
  <w:num w:numId="32">
    <w:abstractNumId w:val="35"/>
  </w:num>
  <w:num w:numId="33">
    <w:abstractNumId w:val="25"/>
  </w:num>
  <w:num w:numId="34">
    <w:abstractNumId w:val="26"/>
  </w:num>
  <w:num w:numId="35">
    <w:abstractNumId w:val="31"/>
  </w:num>
  <w:num w:numId="36">
    <w:abstractNumId w:val="9"/>
  </w:num>
  <w:num w:numId="37">
    <w:abstractNumId w:val="16"/>
  </w:num>
  <w:num w:numId="38">
    <w:abstractNumId w:val="23"/>
  </w:num>
  <w:num w:numId="39">
    <w:abstractNumId w:val="14"/>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autoFormatOverride/>
  <w:styleLockQFSet/>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1" w:val="H4sIAAAAAAAEAKtWcslP9kxRslIyNDY0NTExtbQ0NDUwtTAwMTRV0lEKTi0uzszPAykwrAUAYxnWWSwAAAA="/>
    <w:docVar w:name="__Grammarly_42____i" w:val="H4sIAAAAAAAEAKtWckksSQxILCpxzi/NK1GyMqwFAAEhoTITAAAA"/>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dobe Garamond Pro" w:hAnsi="Adobe Garamond Pro" w:eastAsiaTheme="minorHAnsi" w:cstheme="minorBidi"/>
        <w:sz w:val="22"/>
        <w:szCs w:val="22"/>
        <w:lang w:val="en-GB" w:eastAsia="en-US" w:bidi="ar-SA"/>
      </w:rPr>
    </w:rPrDefault>
    <w:pPrDefault>
      <w:pPr>
        <w:spacing w:after="8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B254F3"/>
  </w:style>
  <w:style w:type="paragraph" w:styleId="Heading1">
    <w:name w:val="heading 1"/>
    <w:basedOn w:val="Normal"/>
    <w:next w:val="Normal"/>
    <w:link w:val="Heading1Char"/>
    <w:uiPriority w:val="9"/>
    <w:qFormat/>
    <w:rsid w:val="00391A9C"/>
    <w:pPr>
      <w:keepNext/>
      <w:keepLines/>
      <w:numPr>
        <w:numId w:val="19"/>
      </w:numPr>
      <w:pBdr>
        <w:bottom w:val="single" w:sz="4" w:space="1" w:color="auto"/>
      </w:pBdr>
      <w:spacing w:after="2400"/>
      <w:outlineLvl w:val="0"/>
    </w:pPr>
    <w:rPr>
      <w:rFonts w:ascii="Futura Std Book" w:hAnsi="Futura Std Book" w:eastAsiaTheme="majorEastAsia" w:cstheme="majorBidi"/>
      <w:bCs/>
      <w:sz w:val="32"/>
      <w:szCs w:val="28"/>
    </w:rPr>
  </w:style>
  <w:style w:type="paragraph" w:styleId="Heading2">
    <w:name w:val="heading 2"/>
    <w:basedOn w:val="Normal"/>
    <w:next w:val="Normal"/>
    <w:link w:val="Heading2Char"/>
    <w:uiPriority w:val="9"/>
    <w:qFormat/>
    <w:rsid w:val="00391A9C"/>
    <w:pPr>
      <w:keepNext/>
      <w:keepLines/>
      <w:numPr>
        <w:ilvl w:val="1"/>
        <w:numId w:val="19"/>
      </w:numPr>
      <w:spacing w:before="360" w:after="240" w:line="240" w:lineRule="auto"/>
      <w:outlineLvl w:val="1"/>
    </w:pPr>
    <w:rPr>
      <w:rFonts w:ascii="Futura Std Book" w:hAnsi="Futura Std Book" w:eastAsiaTheme="majorEastAsia" w:cstheme="majorBidi"/>
      <w:bCs/>
      <w:sz w:val="28"/>
      <w:szCs w:val="26"/>
    </w:rPr>
  </w:style>
  <w:style w:type="paragraph" w:styleId="Heading3">
    <w:name w:val="heading 3"/>
    <w:basedOn w:val="Normal"/>
    <w:next w:val="Normal"/>
    <w:link w:val="Heading3Char"/>
    <w:uiPriority w:val="9"/>
    <w:qFormat/>
    <w:rsid w:val="006C0B56"/>
    <w:pPr>
      <w:keepNext/>
      <w:keepLines/>
      <w:numPr>
        <w:ilvl w:val="2"/>
        <w:numId w:val="19"/>
      </w:numPr>
      <w:spacing w:before="240" w:after="120" w:line="240" w:lineRule="auto"/>
      <w:outlineLvl w:val="2"/>
    </w:pPr>
    <w:rPr>
      <w:rFonts w:ascii="Futura Std Book" w:hAnsi="Futura Std Book" w:eastAsiaTheme="majorEastAsia" w:cstheme="majorBidi"/>
      <w:bCs/>
      <w:sz w:val="24"/>
    </w:rPr>
  </w:style>
  <w:style w:type="paragraph" w:styleId="Heading4">
    <w:name w:val="heading 4"/>
    <w:basedOn w:val="Normal"/>
    <w:next w:val="Normal"/>
    <w:link w:val="Heading4Char"/>
    <w:uiPriority w:val="9"/>
    <w:qFormat/>
    <w:rsid w:val="00B11F6C"/>
    <w:pPr>
      <w:keepNext/>
      <w:keepLines/>
      <w:spacing w:before="240" w:after="60" w:line="240" w:lineRule="auto"/>
      <w:outlineLvl w:val="3"/>
    </w:pPr>
    <w:rPr>
      <w:rFonts w:ascii="Futura Std Book" w:hAnsi="Futura Std Book" w:eastAsiaTheme="majorEastAsia" w:cstheme="majorBidi"/>
      <w:bCs/>
      <w:iCs/>
      <w:sz w:val="24"/>
    </w:rPr>
  </w:style>
  <w:style w:type="paragraph" w:styleId="Heading5">
    <w:name w:val="heading 5"/>
    <w:basedOn w:val="Normal"/>
    <w:next w:val="Normal"/>
    <w:link w:val="Heading5Char"/>
    <w:uiPriority w:val="9"/>
    <w:qFormat/>
    <w:rsid w:val="00B11F6C"/>
    <w:pPr>
      <w:keepNext/>
      <w:keepLines/>
      <w:spacing w:before="240" w:after="60" w:line="240" w:lineRule="auto"/>
      <w:outlineLvl w:val="4"/>
    </w:pPr>
    <w:rPr>
      <w:rFonts w:ascii="Futura Std Book" w:hAnsi="Futura Std Book" w:eastAsiaTheme="majorEastAsia" w:cstheme="majorBidi"/>
      <w:i/>
      <w:sz w:val="20"/>
    </w:rPr>
  </w:style>
  <w:style w:type="paragraph" w:styleId="Heading6">
    <w:name w:val="heading 6"/>
    <w:aliases w:val="Annex title"/>
    <w:basedOn w:val="Normal"/>
    <w:next w:val="Normal"/>
    <w:link w:val="Heading6Char"/>
    <w:uiPriority w:val="9"/>
    <w:qFormat/>
    <w:rsid w:val="00CE1118"/>
    <w:pPr>
      <w:keepNext/>
      <w:keepLines/>
      <w:numPr>
        <w:numId w:val="20"/>
      </w:numPr>
      <w:pBdr>
        <w:bottom w:val="single" w:sz="4" w:space="1" w:color="auto"/>
      </w:pBdr>
      <w:spacing w:after="2400" w:line="240" w:lineRule="auto"/>
      <w:outlineLvl w:val="5"/>
    </w:pPr>
    <w:rPr>
      <w:rFonts w:ascii="Futura Std Book" w:hAnsi="Futura Std Book" w:eastAsiaTheme="majorEastAsia" w:cstheme="majorBidi"/>
      <w:iCs/>
      <w:sz w:val="32"/>
    </w:rPr>
  </w:style>
  <w:style w:type="paragraph" w:styleId="Heading7">
    <w:name w:val="heading 7"/>
    <w:aliases w:val="Annex heading 2"/>
    <w:basedOn w:val="Normal"/>
    <w:next w:val="Normal"/>
    <w:link w:val="Heading7Char"/>
    <w:uiPriority w:val="9"/>
    <w:qFormat/>
    <w:rsid w:val="00CE1118"/>
    <w:pPr>
      <w:keepNext/>
      <w:keepLines/>
      <w:numPr>
        <w:ilvl w:val="1"/>
        <w:numId w:val="20"/>
      </w:numPr>
      <w:spacing w:before="360" w:after="240" w:line="240" w:lineRule="auto"/>
      <w:outlineLvl w:val="6"/>
    </w:pPr>
    <w:rPr>
      <w:rFonts w:ascii="Futura Std Book" w:hAnsi="Futura Std Book" w:eastAsiaTheme="majorEastAsia" w:cstheme="majorBidi"/>
      <w:iCs/>
      <w:sz w:val="28"/>
    </w:rPr>
  </w:style>
  <w:style w:type="paragraph" w:styleId="Heading8">
    <w:name w:val="heading 8"/>
    <w:aliases w:val="Annex heading 3"/>
    <w:basedOn w:val="Normal"/>
    <w:next w:val="Normal"/>
    <w:link w:val="Heading8Char"/>
    <w:uiPriority w:val="9"/>
    <w:qFormat/>
    <w:rsid w:val="00D949B9"/>
    <w:pPr>
      <w:keepNext/>
      <w:keepLines/>
      <w:numPr>
        <w:ilvl w:val="2"/>
        <w:numId w:val="20"/>
      </w:numPr>
      <w:spacing w:before="240" w:after="120" w:line="240" w:lineRule="auto"/>
      <w:outlineLvl w:val="7"/>
    </w:pPr>
    <w:rPr>
      <w:rFonts w:ascii="Futura Std Book" w:hAnsi="Futura Std Book" w:eastAsiaTheme="majorEastAsia" w:cstheme="majorBidi"/>
      <w:sz w:val="24"/>
      <w:szCs w:val="20"/>
    </w:rPr>
  </w:style>
  <w:style w:type="paragraph" w:styleId="Heading9">
    <w:name w:val="heading 9"/>
    <w:basedOn w:val="Normal"/>
    <w:next w:val="Normal"/>
    <w:link w:val="Heading9Char"/>
    <w:uiPriority w:val="9"/>
    <w:semiHidden/>
    <w:unhideWhenUsed/>
    <w:qFormat/>
    <w:rsid w:val="00C6603D"/>
    <w:pPr>
      <w:keepNext/>
      <w:keepLines/>
      <w:spacing w:after="0" w:line="276" w:lineRule="auto"/>
      <w:jc w:val="left"/>
      <w:outlineLvl w:val="8"/>
    </w:pPr>
    <w:rPr>
      <w:rFonts w:ascii="Arial" w:hAnsi="Arial"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A9C"/>
    <w:rPr>
      <w:rFonts w:ascii="Futura Std Book" w:hAnsi="Futura Std Book" w:eastAsiaTheme="majorEastAsia" w:cstheme="majorBidi"/>
      <w:bCs/>
      <w:sz w:val="32"/>
      <w:szCs w:val="28"/>
    </w:rPr>
  </w:style>
  <w:style w:type="character" w:customStyle="1" w:styleId="Heading2Char">
    <w:name w:val="Heading 2 Char"/>
    <w:basedOn w:val="DefaultParagraphFont"/>
    <w:link w:val="Heading2"/>
    <w:uiPriority w:val="9"/>
    <w:rsid w:val="00391A9C"/>
    <w:rPr>
      <w:rFonts w:ascii="Futura Std Book" w:hAnsi="Futura Std Book" w:eastAsiaTheme="majorEastAsia" w:cstheme="majorBidi"/>
      <w:bCs/>
      <w:sz w:val="28"/>
      <w:szCs w:val="26"/>
    </w:rPr>
  </w:style>
  <w:style w:type="character" w:customStyle="1" w:styleId="Heading3Char">
    <w:name w:val="Heading 3 Char"/>
    <w:basedOn w:val="DefaultParagraphFont"/>
    <w:link w:val="Heading3"/>
    <w:uiPriority w:val="9"/>
    <w:rsid w:val="006C0B56"/>
    <w:rPr>
      <w:rFonts w:ascii="Futura Std Book" w:hAnsi="Futura Std Book" w:eastAsiaTheme="majorEastAsia" w:cstheme="majorBidi"/>
      <w:bCs/>
      <w:sz w:val="24"/>
    </w:rPr>
  </w:style>
  <w:style w:type="character" w:customStyle="1" w:styleId="Heading4Char">
    <w:name w:val="Heading 4 Char"/>
    <w:basedOn w:val="DefaultParagraphFont"/>
    <w:link w:val="Heading4"/>
    <w:uiPriority w:val="9"/>
    <w:rsid w:val="004C63C0"/>
    <w:rPr>
      <w:rFonts w:ascii="Futura Std Book" w:hAnsi="Futura Std Book" w:eastAsiaTheme="majorEastAsia" w:cstheme="majorBidi"/>
      <w:bCs/>
      <w:iCs/>
      <w:sz w:val="24"/>
    </w:rPr>
  </w:style>
  <w:style w:type="character" w:customStyle="1" w:styleId="Heading5Char">
    <w:name w:val="Heading 5 Char"/>
    <w:basedOn w:val="DefaultParagraphFont"/>
    <w:link w:val="Heading5"/>
    <w:uiPriority w:val="9"/>
    <w:rsid w:val="004C63C0"/>
    <w:rPr>
      <w:rFonts w:ascii="Futura Std Book" w:hAnsi="Futura Std Book" w:eastAsiaTheme="majorEastAsia" w:cstheme="majorBidi"/>
      <w:i/>
      <w:sz w:val="20"/>
    </w:rPr>
  </w:style>
  <w:style w:type="paragraph" w:styleId="Caption">
    <w:name w:val="caption"/>
    <w:basedOn w:val="Figuretitle"/>
    <w:next w:val="Normal"/>
    <w:link w:val="CaptionChar"/>
    <w:uiPriority w:val="10"/>
    <w:rsid w:val="00BD7167"/>
    <w:pPr>
      <w:keepNext/>
      <w:spacing w:after="200"/>
    </w:pPr>
    <w:rPr>
      <w:bCs/>
      <w:szCs w:val="18"/>
    </w:rPr>
  </w:style>
  <w:style w:type="paragraph" w:customStyle="1" w:styleId="Figuretitle">
    <w:name w:val="Figure title"/>
    <w:basedOn w:val="Normal"/>
    <w:next w:val="Normal"/>
    <w:link w:val="FiguretitleChar"/>
    <w:rsid w:val="00675A0A"/>
    <w:pPr>
      <w:spacing w:before="360" w:after="240" w:line="240" w:lineRule="auto"/>
      <w:jc w:val="left"/>
    </w:pPr>
    <w:rPr>
      <w:rFonts w:ascii="Futura Std Book" w:hAnsi="Futura Std Book"/>
      <w:b/>
      <w:sz w:val="20"/>
    </w:rPr>
  </w:style>
  <w:style w:type="paragraph" w:styleId="TOC1">
    <w:name w:val="toc 1"/>
    <w:basedOn w:val="Normal"/>
    <w:next w:val="Normal"/>
    <w:autoRedefine/>
    <w:uiPriority w:val="39"/>
    <w:unhideWhenUsed/>
    <w:rsid w:val="00E028F3"/>
    <w:pPr>
      <w:tabs>
        <w:tab w:val="right" w:leader="dot" w:pos="9016"/>
      </w:tabs>
      <w:spacing w:before="120" w:after="0" w:line="240" w:lineRule="auto"/>
      <w:ind w:left="454" w:hanging="454"/>
      <w:jc w:val="left"/>
    </w:pPr>
    <w:rPr>
      <w:b/>
      <w:bCs/>
      <w:noProof/>
      <w:szCs w:val="20"/>
    </w:rPr>
  </w:style>
  <w:style w:type="paragraph" w:styleId="TOC2">
    <w:name w:val="toc 2"/>
    <w:basedOn w:val="Normal"/>
    <w:next w:val="Normal"/>
    <w:autoRedefine/>
    <w:uiPriority w:val="39"/>
    <w:unhideWhenUsed/>
    <w:rsid w:val="003A3C5E"/>
    <w:pPr>
      <w:tabs>
        <w:tab w:val="left" w:pos="1100"/>
        <w:tab w:val="right" w:leader="dot" w:pos="9016"/>
      </w:tabs>
      <w:spacing w:before="120" w:after="0" w:line="240" w:lineRule="auto"/>
      <w:ind w:left="964" w:hanging="680"/>
      <w:jc w:val="left"/>
    </w:pPr>
    <w:rPr>
      <w:szCs w:val="20"/>
    </w:rPr>
  </w:style>
  <w:style w:type="paragraph" w:styleId="TOC3">
    <w:name w:val="toc 3"/>
    <w:basedOn w:val="Normal"/>
    <w:next w:val="Normal"/>
    <w:autoRedefine/>
    <w:uiPriority w:val="39"/>
    <w:unhideWhenUsed/>
    <w:rsid w:val="00FD7545"/>
    <w:pPr>
      <w:spacing w:before="120" w:after="0" w:line="240" w:lineRule="auto"/>
      <w:jc w:val="left"/>
    </w:pPr>
    <w:rPr>
      <w:iCs/>
      <w:noProof/>
      <w:szCs w:val="20"/>
    </w:rPr>
  </w:style>
  <w:style w:type="character" w:styleId="Hyperlink">
    <w:name w:val="Hyperlink"/>
    <w:basedOn w:val="DefaultParagraphFont"/>
    <w:uiPriority w:val="99"/>
    <w:unhideWhenUsed/>
    <w:rsid w:val="00675A0A"/>
    <w:rPr>
      <w:color w:val="0000FF" w:themeColor="hyperlink"/>
      <w:u w:val="single"/>
    </w:rPr>
  </w:style>
  <w:style w:type="paragraph" w:styleId="TableofFigures">
    <w:name w:val="table of figures"/>
    <w:basedOn w:val="Normal"/>
    <w:next w:val="Normal"/>
    <w:uiPriority w:val="99"/>
    <w:unhideWhenUsed/>
    <w:rsid w:val="007E663C"/>
    <w:pPr>
      <w:tabs>
        <w:tab w:val="right" w:leader="dot" w:pos="9016"/>
      </w:tabs>
    </w:pPr>
    <w:rPr>
      <w:noProof/>
    </w:rPr>
  </w:style>
  <w:style w:type="character" w:styleId="SubtleReference">
    <w:name w:val="Subtle Reference"/>
    <w:basedOn w:val="DefaultParagraphFont"/>
    <w:uiPriority w:val="31"/>
    <w:rsid w:val="009539A3"/>
    <w:rPr>
      <w:smallCaps/>
      <w:color w:val="C0504D" w:themeColor="accent2"/>
      <w:u w:val="single"/>
    </w:rPr>
  </w:style>
  <w:style w:type="paragraph" w:styleId="Header">
    <w:name w:val="header"/>
    <w:basedOn w:val="Normal"/>
    <w:link w:val="HeaderChar"/>
    <w:uiPriority w:val="99"/>
    <w:unhideWhenUsed/>
    <w:rsid w:val="00C85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A0D"/>
    <w:rPr>
      <w:rFonts w:ascii="Adobe Garamond Pro" w:hAnsi="Adobe Garamond Pro"/>
    </w:rPr>
  </w:style>
  <w:style w:type="paragraph" w:styleId="Footer">
    <w:name w:val="footer"/>
    <w:basedOn w:val="Normal"/>
    <w:link w:val="FooterChar"/>
    <w:uiPriority w:val="99"/>
    <w:unhideWhenUsed/>
    <w:rsid w:val="00C85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A0D"/>
    <w:rPr>
      <w:rFonts w:ascii="Adobe Garamond Pro" w:hAnsi="Adobe Garamond Pro"/>
    </w:rPr>
  </w:style>
  <w:style w:type="paragraph" w:styleId="ListParagraph">
    <w:name w:val="List Paragraph"/>
    <w:basedOn w:val="Normal"/>
    <w:uiPriority w:val="34"/>
    <w:qFormat/>
    <w:rsid w:val="003F42F9"/>
    <w:pPr>
      <w:spacing w:before="120" w:after="120"/>
      <w:ind w:left="720"/>
    </w:pPr>
  </w:style>
  <w:style w:type="paragraph" w:styleId="BalloonText">
    <w:name w:val="Balloon Text"/>
    <w:basedOn w:val="Normal"/>
    <w:link w:val="BalloonTextChar"/>
    <w:uiPriority w:val="99"/>
    <w:semiHidden/>
    <w:unhideWhenUsed/>
    <w:rsid w:val="00C85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A0D"/>
    <w:rPr>
      <w:rFonts w:ascii="Tahoma" w:hAnsi="Tahoma" w:cs="Tahoma"/>
      <w:sz w:val="16"/>
      <w:szCs w:val="16"/>
    </w:rPr>
  </w:style>
  <w:style w:type="character" w:styleId="CommentReference">
    <w:name w:val="annotation reference"/>
    <w:basedOn w:val="DefaultParagraphFont"/>
    <w:uiPriority w:val="99"/>
    <w:semiHidden/>
    <w:unhideWhenUsed/>
    <w:rsid w:val="002B7638"/>
    <w:rPr>
      <w:rFonts w:asciiTheme="minorHAnsi" w:hAnsiTheme="minorHAnsi"/>
      <w:sz w:val="22"/>
      <w:szCs w:val="16"/>
    </w:rPr>
  </w:style>
  <w:style w:type="paragraph" w:styleId="CommentText">
    <w:name w:val="annotation text"/>
    <w:basedOn w:val="Normal"/>
    <w:link w:val="CommentTextChar"/>
    <w:uiPriority w:val="99"/>
    <w:unhideWhenUsed/>
    <w:rsid w:val="002B7638"/>
    <w:pPr>
      <w:spacing w:line="240" w:lineRule="auto"/>
    </w:pPr>
    <w:rPr>
      <w:rFonts w:asciiTheme="minorHAnsi" w:hAnsiTheme="minorHAnsi"/>
      <w:szCs w:val="20"/>
    </w:rPr>
  </w:style>
  <w:style w:type="character" w:customStyle="1" w:styleId="CommentTextChar">
    <w:name w:val="Comment Text Char"/>
    <w:basedOn w:val="DefaultParagraphFont"/>
    <w:link w:val="CommentText"/>
    <w:uiPriority w:val="99"/>
    <w:rsid w:val="002B7638"/>
    <w:rPr>
      <w:rFonts w:asciiTheme="minorHAnsi" w:hAnsiTheme="minorHAnsi"/>
      <w:szCs w:val="20"/>
    </w:rPr>
  </w:style>
  <w:style w:type="paragraph" w:styleId="CommentSubject">
    <w:name w:val="annotation subject"/>
    <w:basedOn w:val="CommentText"/>
    <w:next w:val="CommentText"/>
    <w:link w:val="CommentSubjectChar"/>
    <w:uiPriority w:val="99"/>
    <w:semiHidden/>
    <w:unhideWhenUsed/>
    <w:rsid w:val="002B7638"/>
    <w:rPr>
      <w:b/>
      <w:bCs/>
    </w:rPr>
  </w:style>
  <w:style w:type="character" w:customStyle="1" w:styleId="CommentSubjectChar">
    <w:name w:val="Comment Subject Char"/>
    <w:basedOn w:val="CommentTextChar"/>
    <w:link w:val="CommentSubject"/>
    <w:uiPriority w:val="99"/>
    <w:semiHidden/>
    <w:rsid w:val="002B7638"/>
    <w:rPr>
      <w:rFonts w:asciiTheme="minorHAnsi" w:hAnsiTheme="minorHAnsi"/>
      <w:b/>
      <w:bCs/>
      <w:szCs w:val="20"/>
    </w:rPr>
  </w:style>
  <w:style w:type="character" w:styleId="PlaceholderText">
    <w:name w:val="Placeholder Text"/>
    <w:basedOn w:val="DefaultParagraphFont"/>
    <w:uiPriority w:val="99"/>
    <w:semiHidden/>
    <w:rsid w:val="00CE6A67"/>
    <w:rPr>
      <w:color w:val="808080"/>
    </w:rPr>
  </w:style>
  <w:style w:type="paragraph" w:styleId="Title">
    <w:name w:val="Title"/>
    <w:basedOn w:val="Normal"/>
    <w:next w:val="Normal"/>
    <w:link w:val="TitleChar"/>
    <w:uiPriority w:val="10"/>
    <w:qFormat/>
    <w:rsid w:val="00CE6A6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6A67"/>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aliases w:val="Footnote Text Char Char,Footnote Text Char Char Char,Footnote Text Char Char Char Char,Footnote Text Char Char Char Char Char,Footnote Text Char Char Char Char Char Char Char Char,Footnote text,Note de bas de page Car Car Car Car,f,f t,ft"/>
    <w:basedOn w:val="Normal"/>
    <w:link w:val="FootnoteTextChar"/>
    <w:uiPriority w:val="99"/>
    <w:qFormat/>
    <w:rsid w:val="00E92C09"/>
    <w:pPr>
      <w:spacing w:before="60" w:after="60" w:line="240" w:lineRule="auto"/>
    </w:pPr>
    <w:rPr>
      <w:sz w:val="20"/>
      <w:szCs w:val="20"/>
    </w:rPr>
  </w:style>
  <w:style w:type="character" w:customStyle="1" w:styleId="FootnoteTextChar">
    <w:name w:val="Footnote Text Char"/>
    <w:aliases w:val="Footnote Text Char Char Char Char Char Char,Footnote Text Char Char Char Char Char Char Char Char Char,Footnote Text Char Char Char Char Char1,Footnote Text Char Char Char Char1,Footnote Text Char Char Char1,Footnote text Char,f Char"/>
    <w:basedOn w:val="DefaultParagraphFont"/>
    <w:link w:val="FootnoteText"/>
    <w:uiPriority w:val="99"/>
    <w:rsid w:val="00876093"/>
    <w:rPr>
      <w:sz w:val="20"/>
      <w:szCs w:val="20"/>
    </w:rPr>
  </w:style>
  <w:style w:type="character" w:styleId="FootnoteReference">
    <w:name w:val="footnote reference"/>
    <w:aliases w:val=" Exposant 3 Point,Appel note de bas de p,Exposant 3 Point,FR,Footnote,Footnote Reference Superscript,Footnote symbol,Fußnotenzeichen diss neu,Odwołanie przypisu,Style 12,Style 124,Times 10 Point,Voetnootverwijzing,footnote ref,fr,o"/>
    <w:basedOn w:val="DefaultParagraphFont"/>
    <w:link w:val="FootnotesymbolCharCharChar"/>
    <w:uiPriority w:val="99"/>
    <w:unhideWhenUsed/>
    <w:qFormat/>
    <w:rsid w:val="00E57B39"/>
    <w:rPr>
      <w:vertAlign w:val="superscript"/>
    </w:rPr>
  </w:style>
  <w:style w:type="paragraph" w:styleId="Quote">
    <w:name w:val="Quote"/>
    <w:basedOn w:val="Normal"/>
    <w:next w:val="Normal"/>
    <w:link w:val="QuoteChar"/>
    <w:uiPriority w:val="29"/>
    <w:qFormat/>
    <w:rsid w:val="00505BFE"/>
    <w:pPr>
      <w:spacing w:after="120"/>
      <w:ind w:left="720"/>
    </w:pPr>
    <w:rPr>
      <w:i/>
      <w:iCs/>
      <w:color w:val="000000" w:themeColor="text1"/>
    </w:rPr>
  </w:style>
  <w:style w:type="character" w:customStyle="1" w:styleId="QuoteChar">
    <w:name w:val="Quote Char"/>
    <w:basedOn w:val="DefaultParagraphFont"/>
    <w:link w:val="Quote"/>
    <w:uiPriority w:val="29"/>
    <w:rsid w:val="00505BFE"/>
    <w:rPr>
      <w:rFonts w:ascii="Adobe Garamond Pro" w:hAnsi="Adobe Garamond Pro"/>
      <w:i/>
      <w:iCs/>
      <w:color w:val="000000" w:themeColor="text1"/>
    </w:rPr>
  </w:style>
  <w:style w:type="character" w:customStyle="1" w:styleId="FrontmattertitlesChar">
    <w:name w:val="Front matter titles Char"/>
    <w:basedOn w:val="DefaultParagraphFont"/>
    <w:link w:val="Frontmattertitles"/>
    <w:uiPriority w:val="10"/>
    <w:locked/>
    <w:rsid w:val="004C63C0"/>
    <w:rPr>
      <w:rFonts w:ascii="Futura Std Book" w:hAnsi="Futura Std Book"/>
      <w:kern w:val="28"/>
      <w:sz w:val="32"/>
      <w:szCs w:val="24"/>
    </w:rPr>
  </w:style>
  <w:style w:type="paragraph" w:customStyle="1" w:styleId="Frontmattertitles">
    <w:name w:val="Front matter titles"/>
    <w:basedOn w:val="Normal"/>
    <w:next w:val="Normal"/>
    <w:link w:val="FrontmattertitlesChar"/>
    <w:uiPriority w:val="10"/>
    <w:qFormat/>
    <w:rsid w:val="00E57B39"/>
    <w:pPr>
      <w:pBdr>
        <w:bottom w:val="single" w:sz="8" w:space="5" w:color="auto"/>
      </w:pBdr>
      <w:spacing w:after="2400" w:line="240" w:lineRule="auto"/>
      <w:jc w:val="left"/>
      <w:outlineLvl w:val="1"/>
    </w:pPr>
    <w:rPr>
      <w:rFonts w:ascii="Futura Std Book" w:hAnsi="Futura Std Book"/>
      <w:kern w:val="28"/>
      <w:sz w:val="32"/>
      <w:szCs w:val="24"/>
    </w:rPr>
  </w:style>
  <w:style w:type="paragraph" w:styleId="TOCHeading">
    <w:name w:val="TOC Heading"/>
    <w:basedOn w:val="Heading1"/>
    <w:next w:val="Normal"/>
    <w:uiPriority w:val="39"/>
    <w:unhideWhenUsed/>
    <w:rsid w:val="00E57B39"/>
    <w:pPr>
      <w:numPr>
        <w:numId w:val="0"/>
      </w:numPr>
      <w:pBdr>
        <w:bottom w:val="nil"/>
      </w:pBdr>
      <w:spacing w:before="480" w:after="0" w:line="276" w:lineRule="auto"/>
      <w:jc w:val="left"/>
      <w:outlineLvl w:val="9"/>
    </w:pPr>
    <w:rPr>
      <w:rFonts w:asciiTheme="majorHAnsi" w:hAnsiTheme="majorHAnsi"/>
      <w:b/>
      <w:color w:val="365F91" w:themeColor="accent1" w:themeShade="BF"/>
      <w:sz w:val="28"/>
      <w:lang w:val="en-US" w:eastAsia="ja-JP"/>
    </w:rPr>
  </w:style>
  <w:style w:type="paragraph" w:styleId="TOC5">
    <w:name w:val="toc 5"/>
    <w:basedOn w:val="Normal"/>
    <w:next w:val="Normal"/>
    <w:autoRedefine/>
    <w:uiPriority w:val="39"/>
    <w:unhideWhenUsed/>
    <w:rsid w:val="00E57B39"/>
    <w:pPr>
      <w:spacing w:after="0"/>
      <w:ind w:left="880"/>
      <w:jc w:val="left"/>
    </w:pPr>
    <w:rPr>
      <w:rFonts w:asciiTheme="minorHAnsi" w:hAnsiTheme="minorHAnsi"/>
      <w:sz w:val="18"/>
      <w:szCs w:val="18"/>
    </w:rPr>
  </w:style>
  <w:style w:type="paragraph" w:styleId="Index1">
    <w:name w:val="index 1"/>
    <w:basedOn w:val="Normal"/>
    <w:next w:val="Normal"/>
    <w:autoRedefine/>
    <w:uiPriority w:val="99"/>
    <w:semiHidden/>
    <w:unhideWhenUsed/>
    <w:rsid w:val="00E57B39"/>
    <w:pPr>
      <w:spacing w:after="0" w:line="240" w:lineRule="auto"/>
      <w:ind w:left="220" w:hanging="220"/>
    </w:pPr>
  </w:style>
  <w:style w:type="paragraph" w:styleId="IndexHeading">
    <w:name w:val="index heading"/>
    <w:basedOn w:val="Normal"/>
    <w:next w:val="Index1"/>
    <w:uiPriority w:val="99"/>
    <w:semiHidden/>
    <w:unhideWhenUsed/>
    <w:rsid w:val="00E57B39"/>
    <w:rPr>
      <w:rFonts w:asciiTheme="majorHAnsi" w:eastAsiaTheme="majorEastAsia" w:hAnsiTheme="majorHAnsi" w:cstheme="majorBidi"/>
      <w:b/>
      <w:bCs/>
    </w:rPr>
  </w:style>
  <w:style w:type="table" w:styleId="TableGrid">
    <w:name w:val="Table Grid"/>
    <w:basedOn w:val="RANDTable"/>
    <w:uiPriority w:val="59"/>
    <w:rsid w:val="00B56C2A"/>
    <w:pPr>
      <w:spacing w:after="0"/>
    </w:pPr>
    <w:tblPr>
      <w:tblBorders>
        <w:top w:val="single" w:sz="4" w:space="0" w:color="auto"/>
        <w:left w:val="single" w:sz="4" w:space="0" w:color="auto"/>
        <w:bottom w:val="nil"/>
        <w:right w:val="single" w:sz="4" w:space="0" w:color="auto"/>
        <w:insideH w:val="single" w:sz="4" w:space="0" w:color="auto"/>
        <w:insideV w:val="single" w:sz="4" w:space="0" w:color="auto"/>
      </w:tblBorders>
    </w:tblPr>
    <w:tblStylePr w:type="firstRow">
      <w:pPr>
        <w:wordWrap/>
        <w:spacing w:before="60" w:beforeLines="0" w:beforeAutospacing="0" w:after="60" w:afterLines="0" w:afterAutospacing="0" w:line="240" w:lineRule="auto"/>
        <w:contextualSpacing w:val="0"/>
        <w:jc w:val="left"/>
      </w:pPr>
      <w:rPr>
        <w:rFonts w:ascii="@Malgun Gothic" w:hAnsi="@Malgun Gothic"/>
        <w:b w:val="0"/>
        <w:sz w:val="20"/>
      </w:rPr>
      <w:tblPr/>
      <w:tcPr>
        <w:tcBorders>
          <w:top w:val="single" w:sz="4" w:space="0" w:color="auto"/>
          <w:bottom w:val="single" w:sz="4" w:space="0" w:color="auto"/>
        </w:tcBorders>
        <w:vAlign w:val="center"/>
      </w:tcPr>
    </w:tblStylePr>
    <w:tblStylePr w:type="lastRow">
      <w:pPr>
        <w:jc w:val="left"/>
      </w:pPr>
      <w:rPr>
        <w:rFonts w:ascii="@Malgun Gothic" w:hAnsi="@Malgun Gothic"/>
        <w:sz w:val="18"/>
      </w:rPr>
      <w:tblPr/>
      <w:tcPr>
        <w:tcBorders>
          <w:bottom w:val="single" w:sz="4" w:space="0" w:color="auto"/>
        </w:tcBorders>
        <w:vAlign w:val="center"/>
      </w:tcPr>
    </w:tblStylePr>
    <w:tblStylePr w:type="firstCol">
      <w:pPr>
        <w:jc w:val="left"/>
      </w:pPr>
      <w:rPr>
        <w:rFonts w:ascii="@Malgun Gothic" w:hAnsi="@Malgun Gothic"/>
        <w:sz w:val="18"/>
      </w:rPr>
      <w:tblPr/>
      <w:tcPr>
        <w:vAlign w:val="center"/>
      </w:tcPr>
    </w:tblStylePr>
    <w:tblStylePr w:type="lastCol">
      <w:pPr>
        <w:jc w:val="left"/>
      </w:pPr>
      <w:rPr>
        <w:rFonts w:ascii="@Malgun Gothic" w:hAnsi="@Malgun Gothic"/>
        <w:sz w:val="18"/>
      </w:rPr>
      <w:tblPr/>
      <w:tcPr>
        <w:vAlign w:val="center"/>
      </w:tcPr>
    </w:tblStylePr>
    <w:tblStylePr w:type="band1Vert">
      <w:pPr>
        <w:jc w:val="left"/>
      </w:pPr>
      <w:rPr>
        <w:rFonts w:ascii="@Malgun Gothic" w:hAnsi="@Malgun Gothic"/>
        <w:sz w:val="18"/>
      </w:rPr>
      <w:tblPr/>
      <w:tcPr>
        <w:vAlign w:val="center"/>
      </w:tcPr>
    </w:tblStylePr>
    <w:tblStylePr w:type="band2Vert">
      <w:pPr>
        <w:jc w:val="left"/>
      </w:pPr>
      <w:rPr>
        <w:rFonts w:ascii="@Malgun Gothic" w:hAnsi="@Malgun Gothic"/>
        <w:sz w:val="18"/>
      </w:rPr>
      <w:tblPr/>
      <w:tcPr>
        <w:vAlign w:val="center"/>
      </w:tcPr>
    </w:tblStylePr>
    <w:tblStylePr w:type="band1Horz">
      <w:pPr>
        <w:jc w:val="left"/>
      </w:pPr>
      <w:rPr>
        <w:rFonts w:ascii="@Malgun Gothic" w:hAnsi="@Malgun Gothic"/>
        <w:sz w:val="18"/>
      </w:rPr>
      <w:tblPr/>
      <w:tcPr>
        <w:vAlign w:val="center"/>
      </w:tcPr>
    </w:tblStylePr>
    <w:tblStylePr w:type="band2Horz">
      <w:pPr>
        <w:jc w:val="left"/>
      </w:pPr>
      <w:rPr>
        <w:rFonts w:ascii="@Malgun Gothic" w:hAnsi="@Malgun Gothic"/>
        <w:sz w:val="18"/>
      </w:rPr>
      <w:tblPr/>
      <w:tcPr>
        <w:vAlign w:val="center"/>
      </w:tcPr>
    </w:tblStylePr>
    <w:tblStylePr w:type="neCell">
      <w:rPr>
        <w:rFonts w:ascii="@Malgun Gothic" w:hAnsi="@Malgun Gothic"/>
        <w:sz w:val="18"/>
      </w:rPr>
    </w:tblStylePr>
    <w:tblStylePr w:type="nwCell">
      <w:rPr>
        <w:rFonts w:ascii="@Malgun Gothic" w:hAnsi="@Malgun Gothic"/>
        <w:sz w:val="20"/>
      </w:rPr>
    </w:tblStylePr>
    <w:tblStylePr w:type="seCell">
      <w:rPr>
        <w:rFonts w:ascii="@Malgun Gothic" w:hAnsi="@Malgun Gothic"/>
        <w:sz w:val="18"/>
      </w:rPr>
    </w:tblStylePr>
    <w:tblStylePr w:type="swCell">
      <w:rPr>
        <w:rFonts w:ascii="@Malgun Gothic" w:hAnsi="@Malgun Gothic"/>
        <w:sz w:val="18"/>
      </w:rPr>
    </w:tblStylePr>
  </w:style>
  <w:style w:type="table" w:styleId="TableTheme">
    <w:name w:val="Table Theme"/>
    <w:basedOn w:val="TableNormal"/>
    <w:semiHidden/>
    <w:unhideWhenUsed/>
    <w:rsid w:val="002C35EC"/>
    <w:pPr>
      <w:spacing w:after="0" w:line="264" w:lineRule="auto"/>
      <w:ind w:firstLine="36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NDTable">
    <w:name w:val="RAND Table"/>
    <w:basedOn w:val="TableNormal"/>
    <w:uiPriority w:val="99"/>
    <w:rsid w:val="00060EA9"/>
    <w:pPr>
      <w:keepNext/>
      <w:spacing w:before="120" w:after="120" w:line="240" w:lineRule="auto"/>
    </w:pPr>
    <w:rPr>
      <w:rFonts w:ascii="Futura Std Book" w:hAnsi="Futura Std Book"/>
      <w:sz w:val="18"/>
    </w:rPr>
    <w:tblPr>
      <w:tblStyleRowBandSize w:val="1"/>
      <w:tblStyleColBandSize w:val="1"/>
      <w:tblInd w:w="130" w:type="dxa"/>
      <w:tblBorders>
        <w:bottom w:val="single" w:sz="4" w:space="0" w:color="auto"/>
      </w:tblBorders>
    </w:tblPr>
    <w:trPr>
      <w:cantSplit/>
    </w:trPr>
    <w:tcPr>
      <w:vAlign w:val="center"/>
    </w:tcPr>
    <w:tblStylePr w:type="firstRow">
      <w:pPr>
        <w:wordWrap/>
        <w:spacing w:before="60" w:beforeLines="0" w:beforeAutospacing="0" w:after="60" w:afterLines="0" w:afterAutospacing="0" w:line="240" w:lineRule="auto"/>
        <w:contextualSpacing w:val="0"/>
        <w:jc w:val="left"/>
      </w:pPr>
      <w:rPr>
        <w:rFonts w:ascii="Bernard MT Condensed" w:hAnsi="Bernard MT Condensed"/>
        <w:b w:val="0"/>
        <w:sz w:val="20"/>
      </w:rPr>
      <w:tblPr/>
      <w:tcPr>
        <w:tcBorders>
          <w:top w:val="single" w:sz="4" w:space="0" w:color="auto"/>
          <w:bottom w:val="single" w:sz="4" w:space="0" w:color="auto"/>
        </w:tcBorders>
        <w:vAlign w:val="center"/>
      </w:tcPr>
    </w:tblStylePr>
    <w:tblStylePr w:type="lastRow">
      <w:pPr>
        <w:jc w:val="left"/>
      </w:pPr>
      <w:rPr>
        <w:rFonts w:ascii="Bernard MT Condensed" w:hAnsi="Bernard MT Condensed"/>
        <w:sz w:val="18"/>
      </w:rPr>
      <w:tblPr/>
      <w:tcPr>
        <w:tcBorders>
          <w:bottom w:val="single" w:sz="4" w:space="0" w:color="auto"/>
        </w:tcBorders>
        <w:vAlign w:val="center"/>
      </w:tcPr>
    </w:tblStylePr>
    <w:tblStylePr w:type="firstCol">
      <w:pPr>
        <w:jc w:val="left"/>
      </w:pPr>
      <w:rPr>
        <w:rFonts w:ascii="Bernard MT Condensed" w:hAnsi="Bernard MT Condensed"/>
        <w:sz w:val="18"/>
      </w:rPr>
      <w:tblPr/>
      <w:tcPr>
        <w:vAlign w:val="center"/>
      </w:tcPr>
    </w:tblStylePr>
    <w:tblStylePr w:type="lastCol">
      <w:pPr>
        <w:jc w:val="left"/>
      </w:pPr>
      <w:rPr>
        <w:rFonts w:ascii="Bernard MT Condensed" w:hAnsi="Bernard MT Condensed"/>
        <w:sz w:val="18"/>
      </w:rPr>
      <w:tblPr/>
      <w:tcPr>
        <w:vAlign w:val="center"/>
      </w:tcPr>
    </w:tblStylePr>
    <w:tblStylePr w:type="band1Vert">
      <w:pPr>
        <w:jc w:val="left"/>
      </w:pPr>
      <w:rPr>
        <w:rFonts w:ascii="Bernard MT Condensed" w:hAnsi="Bernard MT Condensed"/>
        <w:sz w:val="18"/>
      </w:rPr>
      <w:tblPr/>
      <w:tcPr>
        <w:vAlign w:val="center"/>
      </w:tcPr>
    </w:tblStylePr>
    <w:tblStylePr w:type="band2Vert">
      <w:pPr>
        <w:jc w:val="left"/>
      </w:pPr>
      <w:rPr>
        <w:rFonts w:ascii="Bernard MT Condensed" w:hAnsi="Bernard MT Condensed"/>
        <w:sz w:val="18"/>
      </w:rPr>
      <w:tblPr/>
      <w:tcPr>
        <w:vAlign w:val="center"/>
      </w:tcPr>
    </w:tblStylePr>
    <w:tblStylePr w:type="band1Horz">
      <w:pPr>
        <w:jc w:val="left"/>
      </w:pPr>
      <w:rPr>
        <w:rFonts w:ascii="Bernard MT Condensed" w:hAnsi="Bernard MT Condensed"/>
        <w:sz w:val="18"/>
      </w:rPr>
      <w:tblPr/>
      <w:tcPr>
        <w:vAlign w:val="center"/>
      </w:tcPr>
    </w:tblStylePr>
    <w:tblStylePr w:type="band2Horz">
      <w:pPr>
        <w:jc w:val="left"/>
      </w:pPr>
      <w:rPr>
        <w:rFonts w:ascii="Bernard MT Condensed" w:hAnsi="Bernard MT Condensed"/>
        <w:sz w:val="18"/>
      </w:rPr>
      <w:tblPr/>
      <w:tcPr>
        <w:vAlign w:val="center"/>
      </w:tcPr>
    </w:tblStylePr>
    <w:tblStylePr w:type="neCell">
      <w:rPr>
        <w:rFonts w:ascii="Bernard MT Condensed" w:hAnsi="Bernard MT Condensed"/>
        <w:sz w:val="18"/>
      </w:rPr>
    </w:tblStylePr>
    <w:tblStylePr w:type="nwCell">
      <w:rPr>
        <w:rFonts w:ascii="Bernard MT Condensed" w:hAnsi="Bernard MT Condensed"/>
        <w:sz w:val="20"/>
      </w:rPr>
    </w:tblStylePr>
    <w:tblStylePr w:type="seCell">
      <w:rPr>
        <w:rFonts w:ascii="Bernard MT Condensed" w:hAnsi="Bernard MT Condensed"/>
        <w:sz w:val="18"/>
      </w:rPr>
    </w:tblStylePr>
    <w:tblStylePr w:type="swCell">
      <w:rPr>
        <w:rFonts w:ascii="Bernard MT Condensed" w:hAnsi="Bernard MT Condensed"/>
        <w:sz w:val="18"/>
      </w:rPr>
    </w:tblStylePr>
  </w:style>
  <w:style w:type="table" w:styleId="LightShadingAccent1">
    <w:name w:val="Light Shading Accent 1"/>
    <w:basedOn w:val="TableNormal"/>
    <w:uiPriority w:val="60"/>
    <w:rsid w:val="00B56C2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56C2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56C2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1">
    <w:name w:val="Light List Accent 1"/>
    <w:basedOn w:val="TableNormal"/>
    <w:uiPriority w:val="61"/>
    <w:rsid w:val="00B56C2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Reference">
    <w:name w:val="Reference"/>
    <w:basedOn w:val="Normal"/>
    <w:uiPriority w:val="9"/>
    <w:qFormat/>
    <w:rsid w:val="00CD1148"/>
    <w:pPr>
      <w:suppressAutoHyphens/>
      <w:ind w:left="851" w:hanging="851"/>
      <w:jc w:val="left"/>
    </w:pPr>
  </w:style>
  <w:style w:type="character" w:customStyle="1" w:styleId="Heading6Char">
    <w:name w:val="Heading 6 Char"/>
    <w:aliases w:val="Annex title Char"/>
    <w:basedOn w:val="DefaultParagraphFont"/>
    <w:link w:val="Heading6"/>
    <w:uiPriority w:val="9"/>
    <w:rsid w:val="00CE1118"/>
    <w:rPr>
      <w:rFonts w:ascii="Futura Std Book" w:hAnsi="Futura Std Book" w:eastAsiaTheme="majorEastAsia" w:cstheme="majorBidi"/>
      <w:iCs/>
      <w:sz w:val="32"/>
    </w:rPr>
  </w:style>
  <w:style w:type="character" w:customStyle="1" w:styleId="Heading7Char">
    <w:name w:val="Heading 7 Char"/>
    <w:aliases w:val="Annex heading 2 Char"/>
    <w:basedOn w:val="DefaultParagraphFont"/>
    <w:link w:val="Heading7"/>
    <w:uiPriority w:val="9"/>
    <w:rsid w:val="00CE1118"/>
    <w:rPr>
      <w:rFonts w:ascii="Futura Std Book" w:hAnsi="Futura Std Book" w:eastAsiaTheme="majorEastAsia" w:cstheme="majorBidi"/>
      <w:iCs/>
      <w:sz w:val="28"/>
    </w:rPr>
  </w:style>
  <w:style w:type="numbering" w:customStyle="1" w:styleId="Annexheadings">
    <w:name w:val="Annex headings"/>
    <w:uiPriority w:val="99"/>
    <w:rsid w:val="00CE1118"/>
    <w:pPr>
      <w:numPr>
        <w:numId w:val="9"/>
      </w:numPr>
    </w:pPr>
  </w:style>
  <w:style w:type="paragraph" w:customStyle="1" w:styleId="Tablebody">
    <w:name w:val="Table body"/>
    <w:basedOn w:val="Normal"/>
    <w:link w:val="TablebodyChar"/>
    <w:uiPriority w:val="7"/>
    <w:qFormat/>
    <w:rsid w:val="00B02BD1"/>
    <w:pPr>
      <w:keepNext/>
      <w:spacing w:before="120" w:after="120" w:line="240" w:lineRule="auto"/>
      <w:jc w:val="left"/>
    </w:pPr>
    <w:rPr>
      <w:rFonts w:ascii="Futura Std Book" w:hAnsi="Futura Std Book"/>
      <w:sz w:val="18"/>
    </w:rPr>
  </w:style>
  <w:style w:type="character" w:customStyle="1" w:styleId="TablebodyChar">
    <w:name w:val="Table body Char"/>
    <w:basedOn w:val="DefaultParagraphFont"/>
    <w:link w:val="Tablebody"/>
    <w:uiPriority w:val="7"/>
    <w:rsid w:val="00B02BD1"/>
    <w:rPr>
      <w:rFonts w:ascii="Futura Std Book" w:hAnsi="Futura Std Book"/>
      <w:sz w:val="18"/>
    </w:rPr>
  </w:style>
  <w:style w:type="paragraph" w:customStyle="1" w:styleId="Captionnote">
    <w:name w:val="Caption note"/>
    <w:basedOn w:val="Normal"/>
    <w:next w:val="Normal"/>
    <w:link w:val="CaptionnoteChar"/>
    <w:uiPriority w:val="7"/>
    <w:qFormat/>
    <w:rsid w:val="00C464A3"/>
    <w:pPr>
      <w:spacing w:before="40" w:after="120"/>
    </w:pPr>
    <w:rPr>
      <w:rFonts w:ascii="Futura Std Book" w:hAnsi="Futura Std Book"/>
      <w:sz w:val="18"/>
      <w:szCs w:val="18"/>
    </w:rPr>
  </w:style>
  <w:style w:type="character" w:customStyle="1" w:styleId="CaptionnoteChar">
    <w:name w:val="Caption note Char"/>
    <w:basedOn w:val="DefaultParagraphFont"/>
    <w:link w:val="Captionnote"/>
    <w:uiPriority w:val="7"/>
    <w:rsid w:val="004C63C0"/>
    <w:rPr>
      <w:rFonts w:ascii="Futura Std Book" w:hAnsi="Futura Std Book"/>
      <w:sz w:val="18"/>
      <w:szCs w:val="18"/>
    </w:rPr>
  </w:style>
  <w:style w:type="paragraph" w:customStyle="1" w:styleId="Quotation">
    <w:name w:val="Quotation"/>
    <w:basedOn w:val="Normal"/>
    <w:next w:val="Normal"/>
    <w:link w:val="QuotationChar"/>
    <w:uiPriority w:val="8"/>
    <w:qFormat/>
    <w:rsid w:val="00701646"/>
    <w:pPr>
      <w:spacing w:before="120" w:after="240" w:line="240" w:lineRule="auto"/>
      <w:ind w:left="1077" w:right="1077"/>
    </w:pPr>
  </w:style>
  <w:style w:type="paragraph" w:customStyle="1" w:styleId="Quotationsource">
    <w:name w:val="Quotation source"/>
    <w:basedOn w:val="Quotation"/>
    <w:next w:val="Normal"/>
    <w:link w:val="QuotationsourceChar"/>
    <w:uiPriority w:val="8"/>
    <w:qFormat/>
    <w:rsid w:val="00701646"/>
    <w:rPr>
      <w:i/>
    </w:rPr>
  </w:style>
  <w:style w:type="character" w:customStyle="1" w:styleId="QuotationChar">
    <w:name w:val="Quotation Char"/>
    <w:basedOn w:val="DefaultParagraphFont"/>
    <w:link w:val="Quotation"/>
    <w:uiPriority w:val="8"/>
    <w:rsid w:val="004C63C0"/>
  </w:style>
  <w:style w:type="paragraph" w:customStyle="1" w:styleId="Authorlist">
    <w:name w:val="Author list"/>
    <w:basedOn w:val="Normal"/>
    <w:link w:val="AuthorlistChar"/>
    <w:rsid w:val="00D6125E"/>
    <w:pPr>
      <w:spacing w:before="960" w:after="1680" w:line="240" w:lineRule="auto"/>
    </w:pPr>
    <w:rPr>
      <w:rFonts w:ascii="Futura Std Book" w:hAnsi="Futura Std Book"/>
      <w:sz w:val="28"/>
      <w:szCs w:val="28"/>
    </w:rPr>
  </w:style>
  <w:style w:type="character" w:customStyle="1" w:styleId="QuotationsourceChar">
    <w:name w:val="Quotation source Char"/>
    <w:basedOn w:val="QuotationChar"/>
    <w:link w:val="Quotationsource"/>
    <w:uiPriority w:val="8"/>
    <w:rsid w:val="004C63C0"/>
    <w:rPr>
      <w:i/>
    </w:rPr>
  </w:style>
  <w:style w:type="character" w:customStyle="1" w:styleId="AuthorlistChar">
    <w:name w:val="Author list Char"/>
    <w:basedOn w:val="DefaultParagraphFont"/>
    <w:link w:val="Authorlist"/>
    <w:rsid w:val="00D6125E"/>
    <w:rPr>
      <w:rFonts w:ascii="Futura Std Book" w:hAnsi="Futura Std Book"/>
      <w:sz w:val="28"/>
      <w:szCs w:val="28"/>
    </w:rPr>
  </w:style>
  <w:style w:type="paragraph" w:customStyle="1" w:styleId="Tableofcontents">
    <w:name w:val="Table of contents"/>
    <w:basedOn w:val="Normal"/>
    <w:next w:val="Normal"/>
    <w:link w:val="TableofcontentsChar"/>
    <w:rsid w:val="00AA53AC"/>
    <w:pPr>
      <w:pBdr>
        <w:bottom w:val="single" w:sz="4" w:space="1" w:color="auto"/>
      </w:pBdr>
      <w:spacing w:after="2400" w:line="240" w:lineRule="auto"/>
      <w:ind w:left="357" w:hanging="357"/>
    </w:pPr>
    <w:rPr>
      <w:rFonts w:ascii="Futura Std Book" w:hAnsi="Futura Std Book"/>
      <w:sz w:val="32"/>
    </w:rPr>
  </w:style>
  <w:style w:type="character" w:customStyle="1" w:styleId="Heading8Char">
    <w:name w:val="Heading 8 Char"/>
    <w:aliases w:val="Annex heading 3 Char"/>
    <w:basedOn w:val="DefaultParagraphFont"/>
    <w:link w:val="Heading8"/>
    <w:uiPriority w:val="9"/>
    <w:rsid w:val="00D949B9"/>
    <w:rPr>
      <w:rFonts w:ascii="Futura Std Book" w:hAnsi="Futura Std Book" w:eastAsiaTheme="majorEastAsia" w:cstheme="majorBidi"/>
      <w:sz w:val="24"/>
      <w:szCs w:val="20"/>
    </w:rPr>
  </w:style>
  <w:style w:type="character" w:customStyle="1" w:styleId="TableofcontentsChar">
    <w:name w:val="Table of contents Char"/>
    <w:basedOn w:val="DefaultParagraphFont"/>
    <w:link w:val="Tableofcontents"/>
    <w:rsid w:val="00AA53AC"/>
    <w:rPr>
      <w:rFonts w:ascii="Futura Std Book" w:hAnsi="Futura Std Book"/>
      <w:sz w:val="32"/>
    </w:rPr>
  </w:style>
  <w:style w:type="paragraph" w:customStyle="1" w:styleId="Figureheading">
    <w:name w:val="Figure heading"/>
    <w:basedOn w:val="Caption"/>
    <w:next w:val="Normal"/>
    <w:link w:val="FigureheadingChar"/>
    <w:uiPriority w:val="5"/>
    <w:qFormat/>
    <w:rsid w:val="00FA56B5"/>
  </w:style>
  <w:style w:type="paragraph" w:customStyle="1" w:styleId="Tableheading">
    <w:name w:val="Table heading"/>
    <w:basedOn w:val="Caption"/>
    <w:next w:val="Normal"/>
    <w:link w:val="TableheadingChar"/>
    <w:uiPriority w:val="6"/>
    <w:qFormat/>
    <w:rsid w:val="00FA56B5"/>
  </w:style>
  <w:style w:type="character" w:customStyle="1" w:styleId="FiguretitleChar">
    <w:name w:val="Figure title Char"/>
    <w:basedOn w:val="DefaultParagraphFont"/>
    <w:link w:val="Figuretitle"/>
    <w:rsid w:val="00FA56B5"/>
    <w:rPr>
      <w:rFonts w:ascii="Futura Std Book" w:hAnsi="Futura Std Book"/>
      <w:b/>
      <w:sz w:val="20"/>
    </w:rPr>
  </w:style>
  <w:style w:type="character" w:customStyle="1" w:styleId="CaptionChar">
    <w:name w:val="Caption Char"/>
    <w:basedOn w:val="FiguretitleChar"/>
    <w:link w:val="Caption"/>
    <w:uiPriority w:val="10"/>
    <w:rsid w:val="00BD7167"/>
    <w:rPr>
      <w:rFonts w:ascii="Futura Std Book" w:hAnsi="Futura Std Book"/>
      <w:b/>
      <w:bCs/>
      <w:sz w:val="20"/>
      <w:szCs w:val="18"/>
    </w:rPr>
  </w:style>
  <w:style w:type="character" w:customStyle="1" w:styleId="FigureheadingChar">
    <w:name w:val="Figure heading Char"/>
    <w:basedOn w:val="CaptionChar"/>
    <w:link w:val="Figureheading"/>
    <w:uiPriority w:val="5"/>
    <w:rsid w:val="004C63C0"/>
    <w:rPr>
      <w:rFonts w:ascii="Futura Std Book" w:hAnsi="Futura Std Book"/>
      <w:b/>
      <w:bCs/>
      <w:sz w:val="20"/>
      <w:szCs w:val="18"/>
    </w:rPr>
  </w:style>
  <w:style w:type="character" w:customStyle="1" w:styleId="TableheadingChar">
    <w:name w:val="Table heading Char"/>
    <w:basedOn w:val="FigureheadingChar"/>
    <w:link w:val="Tableheading"/>
    <w:uiPriority w:val="6"/>
    <w:rsid w:val="008745A0"/>
    <w:rPr>
      <w:rFonts w:ascii="Futura Std Book" w:hAnsi="Futura Std Book"/>
      <w:b/>
      <w:bCs/>
      <w:sz w:val="20"/>
      <w:szCs w:val="18"/>
    </w:rPr>
  </w:style>
  <w:style w:type="paragraph" w:styleId="TOC4">
    <w:name w:val="toc 4"/>
    <w:basedOn w:val="Normal"/>
    <w:next w:val="Normal"/>
    <w:autoRedefine/>
    <w:uiPriority w:val="39"/>
    <w:unhideWhenUsed/>
    <w:rsid w:val="00AB1C95"/>
    <w:pPr>
      <w:spacing w:after="0"/>
      <w:ind w:left="660"/>
      <w:jc w:val="left"/>
    </w:pPr>
    <w:rPr>
      <w:rFonts w:asciiTheme="minorHAnsi" w:hAnsiTheme="minorHAnsi"/>
      <w:sz w:val="18"/>
      <w:szCs w:val="18"/>
    </w:rPr>
  </w:style>
  <w:style w:type="paragraph" w:customStyle="1" w:styleId="Summaryheading">
    <w:name w:val="Summary heading"/>
    <w:basedOn w:val="Normal"/>
    <w:next w:val="Normal"/>
    <w:link w:val="SummaryheadingChar"/>
    <w:uiPriority w:val="11"/>
    <w:qFormat/>
    <w:rsid w:val="00A56CF5"/>
    <w:pPr>
      <w:keepNext/>
      <w:keepLines/>
      <w:pBdr>
        <w:bottom w:val="single" w:sz="4" w:space="1" w:color="auto"/>
      </w:pBdr>
      <w:spacing w:after="2400" w:line="240" w:lineRule="auto"/>
      <w:ind w:left="720" w:hanging="720"/>
    </w:pPr>
    <w:rPr>
      <w:rFonts w:ascii="Futura Std Book" w:hAnsi="Futura Std Book"/>
      <w:sz w:val="32"/>
    </w:rPr>
  </w:style>
  <w:style w:type="paragraph" w:styleId="TOC6">
    <w:name w:val="toc 6"/>
    <w:basedOn w:val="Normal"/>
    <w:next w:val="Normal"/>
    <w:autoRedefine/>
    <w:uiPriority w:val="39"/>
    <w:unhideWhenUsed/>
    <w:rsid w:val="00AB1C95"/>
    <w:pPr>
      <w:spacing w:after="0"/>
      <w:ind w:left="1100"/>
      <w:jc w:val="left"/>
    </w:pPr>
    <w:rPr>
      <w:rFonts w:asciiTheme="minorHAnsi" w:hAnsiTheme="minorHAnsi"/>
      <w:sz w:val="18"/>
      <w:szCs w:val="18"/>
    </w:rPr>
  </w:style>
  <w:style w:type="paragraph" w:customStyle="1" w:styleId="Summaryheading2">
    <w:name w:val="Summary heading 2"/>
    <w:basedOn w:val="Normal"/>
    <w:next w:val="Normal"/>
    <w:link w:val="Summaryheading2Char"/>
    <w:uiPriority w:val="11"/>
    <w:qFormat/>
    <w:rsid w:val="00A56CF5"/>
    <w:pPr>
      <w:keepNext/>
      <w:keepLines/>
      <w:spacing w:before="360" w:after="240" w:line="240" w:lineRule="auto"/>
      <w:ind w:left="720" w:hanging="720"/>
    </w:pPr>
    <w:rPr>
      <w:rFonts w:ascii="Futura Std Book" w:hAnsi="Futura Std Book"/>
      <w:sz w:val="28"/>
    </w:rPr>
  </w:style>
  <w:style w:type="character" w:customStyle="1" w:styleId="SummaryheadingChar">
    <w:name w:val="Summary heading Char"/>
    <w:basedOn w:val="FrontmattertitlesChar"/>
    <w:link w:val="Summaryheading"/>
    <w:uiPriority w:val="11"/>
    <w:rsid w:val="00A56CF5"/>
    <w:rPr>
      <w:rFonts w:ascii="Futura Std Book" w:hAnsi="Futura Std Book"/>
      <w:kern w:val="28"/>
      <w:sz w:val="32"/>
      <w:szCs w:val="24"/>
    </w:rPr>
  </w:style>
  <w:style w:type="paragraph" w:customStyle="1" w:styleId="Summaryheading3">
    <w:name w:val="Summary heading 3"/>
    <w:basedOn w:val="Normal"/>
    <w:next w:val="Normal"/>
    <w:link w:val="Summaryheading3Char"/>
    <w:uiPriority w:val="11"/>
    <w:qFormat/>
    <w:rsid w:val="00A56CF5"/>
    <w:pPr>
      <w:keepNext/>
      <w:keepLines/>
      <w:spacing w:before="240" w:after="120" w:line="240" w:lineRule="auto"/>
    </w:pPr>
    <w:rPr>
      <w:rFonts w:ascii="Futura Std Book" w:hAnsi="Futura Std Book"/>
      <w:sz w:val="24"/>
    </w:rPr>
  </w:style>
  <w:style w:type="character" w:customStyle="1" w:styleId="Summaryheading2Char">
    <w:name w:val="Summary heading 2 Char"/>
    <w:basedOn w:val="DefaultParagraphFont"/>
    <w:link w:val="Summaryheading2"/>
    <w:uiPriority w:val="11"/>
    <w:rsid w:val="00A56CF5"/>
    <w:rPr>
      <w:rFonts w:ascii="Futura Std Book" w:hAnsi="Futura Std Book"/>
      <w:sz w:val="28"/>
    </w:rPr>
  </w:style>
  <w:style w:type="paragraph" w:styleId="TOC7">
    <w:name w:val="toc 7"/>
    <w:basedOn w:val="Normal"/>
    <w:next w:val="Normal"/>
    <w:autoRedefine/>
    <w:uiPriority w:val="39"/>
    <w:unhideWhenUsed/>
    <w:rsid w:val="00AB1C95"/>
    <w:pPr>
      <w:spacing w:after="0"/>
      <w:ind w:left="1320"/>
      <w:jc w:val="left"/>
    </w:pPr>
    <w:rPr>
      <w:rFonts w:asciiTheme="minorHAnsi" w:hAnsiTheme="minorHAnsi"/>
      <w:sz w:val="18"/>
      <w:szCs w:val="18"/>
    </w:rPr>
  </w:style>
  <w:style w:type="character" w:customStyle="1" w:styleId="Summaryheading3Char">
    <w:name w:val="Summary heading 3 Char"/>
    <w:basedOn w:val="DefaultParagraphFont"/>
    <w:link w:val="Summaryheading3"/>
    <w:uiPriority w:val="11"/>
    <w:rsid w:val="00A56CF5"/>
    <w:rPr>
      <w:rFonts w:ascii="Futura Std Book" w:hAnsi="Futura Std Book"/>
      <w:sz w:val="24"/>
    </w:rPr>
  </w:style>
  <w:style w:type="paragraph" w:styleId="TOC8">
    <w:name w:val="toc 8"/>
    <w:basedOn w:val="Normal"/>
    <w:next w:val="Normal"/>
    <w:autoRedefine/>
    <w:uiPriority w:val="39"/>
    <w:unhideWhenUsed/>
    <w:rsid w:val="00AB1C95"/>
    <w:pPr>
      <w:spacing w:after="0"/>
      <w:ind w:left="1540"/>
      <w:jc w:val="left"/>
    </w:pPr>
    <w:rPr>
      <w:rFonts w:asciiTheme="minorHAnsi" w:hAnsiTheme="minorHAnsi"/>
      <w:sz w:val="18"/>
      <w:szCs w:val="18"/>
    </w:rPr>
  </w:style>
  <w:style w:type="paragraph" w:styleId="TOC9">
    <w:name w:val="toc 9"/>
    <w:basedOn w:val="Normal"/>
    <w:next w:val="Normal"/>
    <w:autoRedefine/>
    <w:uiPriority w:val="39"/>
    <w:unhideWhenUsed/>
    <w:rsid w:val="00AB1C95"/>
    <w:pPr>
      <w:spacing w:after="0"/>
      <w:ind w:left="1760"/>
      <w:jc w:val="left"/>
    </w:pPr>
    <w:rPr>
      <w:rFonts w:asciiTheme="minorHAnsi" w:hAnsiTheme="minorHAnsi"/>
      <w:sz w:val="18"/>
      <w:szCs w:val="18"/>
    </w:rPr>
  </w:style>
  <w:style w:type="paragraph" w:customStyle="1" w:styleId="Boxheading">
    <w:name w:val="Box heading"/>
    <w:basedOn w:val="Caption"/>
    <w:next w:val="Normal"/>
    <w:link w:val="BoxheadingChar"/>
    <w:uiPriority w:val="7"/>
    <w:qFormat/>
    <w:rsid w:val="00F43E32"/>
  </w:style>
  <w:style w:type="character" w:customStyle="1" w:styleId="BoxheadingChar">
    <w:name w:val="Box heading Char"/>
    <w:basedOn w:val="CaptionChar"/>
    <w:link w:val="Boxheading"/>
    <w:uiPriority w:val="7"/>
    <w:rsid w:val="00F43E32"/>
    <w:rPr>
      <w:rFonts w:ascii="Futura Std Book" w:hAnsi="Futura Std Book"/>
      <w:b/>
      <w:bCs/>
      <w:sz w:val="20"/>
      <w:szCs w:val="18"/>
    </w:rPr>
  </w:style>
  <w:style w:type="paragraph" w:customStyle="1" w:styleId="RANDToC">
    <w:name w:val="RAND ToC"/>
    <w:basedOn w:val="Normal"/>
    <w:next w:val="Normal"/>
    <w:link w:val="RANDToCChar"/>
    <w:rsid w:val="00CA49C1"/>
    <w:pPr>
      <w:pBdr>
        <w:bottom w:val="single" w:sz="4" w:space="1" w:color="auto"/>
      </w:pBdr>
      <w:spacing w:after="2400" w:line="240" w:lineRule="auto"/>
      <w:jc w:val="left"/>
    </w:pPr>
    <w:rPr>
      <w:rFonts w:ascii="Futura Std Book" w:hAnsi="Futura Std Book"/>
      <w:sz w:val="32"/>
    </w:rPr>
  </w:style>
  <w:style w:type="character" w:customStyle="1" w:styleId="RANDToCChar">
    <w:name w:val="RAND ToC Char"/>
    <w:basedOn w:val="FrontmattertitlesChar"/>
    <w:link w:val="RANDToC"/>
    <w:rsid w:val="00CA49C1"/>
    <w:rPr>
      <w:rFonts w:ascii="Futura Std Book" w:hAnsi="Futura Std Book"/>
      <w:kern w:val="28"/>
      <w:sz w:val="32"/>
      <w:szCs w:val="24"/>
    </w:rPr>
  </w:style>
  <w:style w:type="table" w:customStyle="1" w:styleId="RANDTableforabbreviations">
    <w:name w:val="RAND Table for abbreviations"/>
    <w:basedOn w:val="TableNormal"/>
    <w:uiPriority w:val="99"/>
    <w:rsid w:val="00876093"/>
    <w:pPr>
      <w:spacing w:after="0" w:line="240" w:lineRule="auto"/>
    </w:pPr>
    <w:tblPr/>
  </w:style>
  <w:style w:type="paragraph" w:styleId="EndnoteText">
    <w:name w:val="endnote text"/>
    <w:basedOn w:val="Normal"/>
    <w:link w:val="EndnoteTextChar"/>
    <w:uiPriority w:val="99"/>
    <w:semiHidden/>
    <w:unhideWhenUsed/>
    <w:rsid w:val="00AC3C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3C1A"/>
    <w:rPr>
      <w:sz w:val="20"/>
      <w:szCs w:val="20"/>
    </w:rPr>
  </w:style>
  <w:style w:type="table" w:customStyle="1" w:styleId="RANDBox">
    <w:name w:val="RAND Box"/>
    <w:basedOn w:val="TableGrid"/>
    <w:uiPriority w:val="99"/>
    <w:rsid w:val="0026434C"/>
    <w:pPr>
      <w:jc w:val="left"/>
    </w:pPr>
    <w:tblPr/>
    <w:tblStylePr w:type="firstRow">
      <w:pPr>
        <w:wordWrap/>
        <w:spacing w:before="60" w:beforeLines="0" w:beforeAutospacing="0" w:after="60" w:afterLines="0" w:afterAutospacing="0" w:line="240" w:lineRule="auto"/>
        <w:contextualSpacing w:val="0"/>
        <w:jc w:val="left"/>
      </w:pPr>
      <w:rPr>
        <w:rFonts w:ascii="Bahnschrift SemiBold Condensed" w:hAnsi="Bahnschrift SemiBold Condensed"/>
        <w:b w:val="0"/>
        <w:sz w:val="18"/>
      </w:rPr>
      <w:tblPr/>
      <w:tcPr>
        <w:tcBorders>
          <w:top w:val="single" w:sz="4" w:space="0" w:color="auto"/>
          <w:bottom w:val="single" w:sz="4" w:space="0" w:color="auto"/>
        </w:tcBorders>
        <w:vAlign w:val="center"/>
      </w:tcPr>
    </w:tblStylePr>
    <w:tblStylePr w:type="lastRow">
      <w:pPr>
        <w:jc w:val="left"/>
      </w:pPr>
      <w:rPr>
        <w:rFonts w:ascii="Bahnschrift SemiBold Condensed" w:hAnsi="Bahnschrift SemiBold Condensed"/>
        <w:sz w:val="18"/>
      </w:rPr>
      <w:tblPr/>
      <w:tcPr>
        <w:tcBorders>
          <w:bottom w:val="single" w:sz="4" w:space="0" w:color="auto"/>
        </w:tcBorders>
        <w:vAlign w:val="center"/>
      </w:tcPr>
    </w:tblStylePr>
    <w:tblStylePr w:type="firstCol">
      <w:pPr>
        <w:jc w:val="left"/>
      </w:pPr>
      <w:rPr>
        <w:rFonts w:ascii="Bahnschrift SemiBold Condensed" w:hAnsi="Bahnschrift SemiBold Condensed"/>
        <w:sz w:val="18"/>
      </w:rPr>
      <w:tblPr/>
      <w:tcPr>
        <w:vAlign w:val="center"/>
      </w:tcPr>
    </w:tblStylePr>
    <w:tblStylePr w:type="lastCol">
      <w:pPr>
        <w:jc w:val="left"/>
      </w:pPr>
      <w:rPr>
        <w:rFonts w:ascii="Bahnschrift SemiBold Condensed" w:hAnsi="Bahnschrift SemiBold Condensed"/>
        <w:sz w:val="18"/>
      </w:rPr>
      <w:tblPr/>
      <w:tcPr>
        <w:vAlign w:val="center"/>
      </w:tcPr>
    </w:tblStylePr>
    <w:tblStylePr w:type="band1Vert">
      <w:pPr>
        <w:jc w:val="left"/>
      </w:pPr>
      <w:rPr>
        <w:rFonts w:ascii="Bahnschrift SemiBold Condensed" w:hAnsi="Bahnschrift SemiBold Condensed"/>
        <w:sz w:val="18"/>
      </w:rPr>
      <w:tblPr/>
      <w:tcPr>
        <w:vAlign w:val="center"/>
      </w:tcPr>
    </w:tblStylePr>
    <w:tblStylePr w:type="band2Vert">
      <w:pPr>
        <w:jc w:val="left"/>
      </w:pPr>
      <w:rPr>
        <w:rFonts w:ascii="Bahnschrift SemiBold Condensed" w:hAnsi="Bahnschrift SemiBold Condensed"/>
        <w:sz w:val="18"/>
      </w:rPr>
      <w:tblPr/>
      <w:tcPr>
        <w:vAlign w:val="center"/>
      </w:tcPr>
    </w:tblStylePr>
    <w:tblStylePr w:type="band1Horz">
      <w:pPr>
        <w:jc w:val="left"/>
      </w:pPr>
      <w:rPr>
        <w:rFonts w:ascii="Bahnschrift SemiBold Condensed" w:hAnsi="Bahnschrift SemiBold Condensed"/>
        <w:sz w:val="18"/>
      </w:rPr>
      <w:tblPr/>
      <w:tcPr>
        <w:vAlign w:val="center"/>
      </w:tcPr>
    </w:tblStylePr>
    <w:tblStylePr w:type="band2Horz">
      <w:pPr>
        <w:jc w:val="left"/>
      </w:pPr>
      <w:rPr>
        <w:rFonts w:ascii="Bahnschrift SemiBold Condensed" w:hAnsi="Bahnschrift SemiBold Condensed"/>
        <w:sz w:val="18"/>
      </w:rPr>
      <w:tblPr/>
      <w:tcPr>
        <w:vAlign w:val="center"/>
      </w:tcPr>
    </w:tblStylePr>
    <w:tblStylePr w:type="neCell">
      <w:rPr>
        <w:rFonts w:ascii="Bahnschrift SemiBold Condensed" w:hAnsi="Bahnschrift SemiBold Condensed"/>
        <w:sz w:val="18"/>
      </w:rPr>
    </w:tblStylePr>
    <w:tblStylePr w:type="nwCell">
      <w:rPr>
        <w:rFonts w:ascii="Bahnschrift SemiBold Condensed" w:hAnsi="Bahnschrift SemiBold Condensed"/>
        <w:sz w:val="18"/>
      </w:rPr>
    </w:tblStylePr>
    <w:tblStylePr w:type="seCell">
      <w:rPr>
        <w:rFonts w:ascii="Bahnschrift SemiBold Condensed" w:hAnsi="Bahnschrift SemiBold Condensed"/>
        <w:sz w:val="18"/>
      </w:rPr>
    </w:tblStylePr>
    <w:tblStylePr w:type="swCell">
      <w:rPr>
        <w:rFonts w:ascii="Bahnschrift SemiBold Condensed" w:hAnsi="Bahnschrift SemiBold Condensed"/>
        <w:sz w:val="18"/>
      </w:rPr>
    </w:tblStylePr>
  </w:style>
  <w:style w:type="table" w:styleId="LightShading">
    <w:name w:val="Light Shading"/>
    <w:basedOn w:val="TableNormal"/>
    <w:uiPriority w:val="60"/>
    <w:rsid w:val="00555B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ndnoteReference">
    <w:name w:val="endnote reference"/>
    <w:basedOn w:val="DefaultParagraphFont"/>
    <w:uiPriority w:val="99"/>
    <w:semiHidden/>
    <w:unhideWhenUsed/>
    <w:rsid w:val="00AC3C1A"/>
    <w:rPr>
      <w:vertAlign w:val="superscript"/>
    </w:rPr>
  </w:style>
  <w:style w:type="paragraph" w:customStyle="1" w:styleId="FootnotesymbolCharCharChar">
    <w:name w:val="Footnote symbol Char Char Char"/>
    <w:aliases w:val=" Exposant 3 Point Char Char Char,Exposant 3 Point Char Char Char,FR Char,Footnote Reference Superscript Char Char Char,Footnote symbol Char,Times 10 Point Char Char Char,Voetnootverwijzing Char Char Char"/>
    <w:basedOn w:val="Normal"/>
    <w:link w:val="FootnoteReference"/>
    <w:uiPriority w:val="99"/>
    <w:rsid w:val="00CD1148"/>
    <w:pPr>
      <w:spacing w:after="160" w:line="240" w:lineRule="exact"/>
      <w:jc w:val="left"/>
    </w:pPr>
    <w:rPr>
      <w:vertAlign w:val="superscript"/>
    </w:rPr>
  </w:style>
  <w:style w:type="character" w:customStyle="1" w:styleId="Heading9Char">
    <w:name w:val="Heading 9 Char"/>
    <w:basedOn w:val="DefaultParagraphFont"/>
    <w:link w:val="Heading9"/>
    <w:uiPriority w:val="9"/>
    <w:semiHidden/>
    <w:rsid w:val="00C6603D"/>
    <w:rPr>
      <w:rFonts w:ascii="Arial" w:hAnsi="Arial" w:eastAsiaTheme="majorEastAsia" w:cstheme="majorBidi"/>
      <w:color w:val="272727" w:themeColor="text1" w:themeTint="D8"/>
    </w:rPr>
  </w:style>
  <w:style w:type="paragraph" w:styleId="Subtitle">
    <w:name w:val="Subtitle"/>
    <w:basedOn w:val="Normal"/>
    <w:next w:val="Normal"/>
    <w:link w:val="SubtitleChar"/>
    <w:uiPriority w:val="11"/>
    <w:qFormat/>
    <w:rsid w:val="00C6603D"/>
    <w:pPr>
      <w:numPr>
        <w:ilvl w:val="1"/>
      </w:numPr>
      <w:spacing w:after="0" w:line="276" w:lineRule="auto"/>
      <w:jc w:val="left"/>
    </w:pPr>
    <w:rPr>
      <w:rFonts w:ascii="Arial" w:hAnsi="Arial"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03D"/>
    <w:rPr>
      <w:rFonts w:ascii="Arial" w:hAnsi="Arial"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sid w:val="00C6603D"/>
    <w:rPr>
      <w:i/>
      <w:iCs/>
      <w:color w:val="365F91" w:themeColor="accent1" w:themeShade="BF"/>
    </w:rPr>
  </w:style>
  <w:style w:type="paragraph" w:styleId="IntenseQuote">
    <w:name w:val="Intense Quote"/>
    <w:basedOn w:val="Normal"/>
    <w:next w:val="Normal"/>
    <w:link w:val="IntenseQuoteChar"/>
    <w:uiPriority w:val="30"/>
    <w:qFormat/>
    <w:rsid w:val="00C6603D"/>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Arial" w:eastAsia="Arial" w:hAnsi="Arial" w:cs="Arial"/>
      <w:i/>
      <w:iCs/>
      <w:color w:val="365F91" w:themeColor="accent1" w:themeShade="BF"/>
    </w:rPr>
  </w:style>
  <w:style w:type="character" w:customStyle="1" w:styleId="IntenseQuoteChar">
    <w:name w:val="Intense Quote Char"/>
    <w:basedOn w:val="DefaultParagraphFont"/>
    <w:link w:val="IntenseQuote"/>
    <w:uiPriority w:val="30"/>
    <w:rsid w:val="00C6603D"/>
    <w:rPr>
      <w:rFonts w:ascii="Arial" w:eastAsia="Arial" w:hAnsi="Arial" w:cs="Arial"/>
      <w:i/>
      <w:iCs/>
      <w:color w:val="365F91" w:themeColor="accent1" w:themeShade="BF"/>
    </w:rPr>
  </w:style>
  <w:style w:type="character" w:styleId="IntenseReference">
    <w:name w:val="Intense Reference"/>
    <w:basedOn w:val="DefaultParagraphFont"/>
    <w:uiPriority w:val="32"/>
    <w:qFormat/>
    <w:rsid w:val="00C6603D"/>
    <w:rPr>
      <w:b/>
      <w:bCs/>
      <w:smallCaps/>
      <w:color w:val="365F91" w:themeColor="accent1" w:themeShade="BF"/>
      <w:spacing w:val="5"/>
    </w:rPr>
  </w:style>
  <w:style w:type="paragraph" w:styleId="Revision">
    <w:name w:val="Revision"/>
    <w:hidden/>
    <w:uiPriority w:val="99"/>
    <w:semiHidden/>
    <w:rsid w:val="00C6603D"/>
    <w:pPr>
      <w:spacing w:after="0" w:line="240" w:lineRule="auto"/>
      <w:jc w:val="left"/>
    </w:pPr>
    <w:rPr>
      <w:rFonts w:ascii="Arial" w:eastAsia="Arial" w:hAnsi="Arial" w:cs="Arial"/>
    </w:rPr>
  </w:style>
  <w:style w:type="character" w:customStyle="1" w:styleId="UnresolvedMention1">
    <w:name w:val="Unresolved Mention1"/>
    <w:basedOn w:val="DefaultParagraphFont"/>
    <w:uiPriority w:val="99"/>
    <w:semiHidden/>
    <w:unhideWhenUsed/>
    <w:rsid w:val="00C6603D"/>
    <w:rPr>
      <w:color w:val="605E5C"/>
      <w:shd w:val="clear" w:color="auto" w:fill="E1DFDD"/>
    </w:rPr>
  </w:style>
  <w:style w:type="paragraph" w:customStyle="1" w:styleId="CTFootnote">
    <w:name w:val="CT Footnote"/>
    <w:basedOn w:val="Normal"/>
    <w:qFormat/>
    <w:rsid w:val="007F5BC9"/>
    <w:pPr>
      <w:spacing w:line="240" w:lineRule="auto"/>
      <w:ind w:left="284" w:hanging="283"/>
      <w:jc w:val="left"/>
    </w:pPr>
    <w:rPr>
      <w:sz w:val="20"/>
      <w:szCs w:val="20"/>
    </w:rPr>
  </w:style>
  <w:style w:type="character" w:styleId="FollowedHyperlink">
    <w:name w:val="FollowedHyperlink"/>
    <w:basedOn w:val="DefaultParagraphFont"/>
    <w:uiPriority w:val="99"/>
    <w:semiHidden/>
    <w:unhideWhenUsed/>
    <w:rsid w:val="00504166"/>
    <w:rPr>
      <w:color w:val="800080" w:themeColor="followedHyperlink"/>
      <w:u w:val="single"/>
    </w:rPr>
  </w:style>
  <w:style w:type="character" w:customStyle="1" w:styleId="Mention1">
    <w:name w:val="Mention1"/>
    <w:basedOn w:val="DefaultParagraphFont"/>
    <w:uiPriority w:val="99"/>
    <w:unhideWhenUsed/>
    <w:rsid w:val="00AC2D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quilino\AppData\Local\Microsoft\Olk\Attachments\ooa-0d4b3c02-a6e3-4c39-920d-6d647e0871e0\1af44a26937d3be85bfc2d55b61b3d6ae6ee2b0ef833b739f76a087107b73993\Evidence%20submission_Report_Template_2025.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A8ECF9527F8481FA6039E75744C9F85"/>
        <w:category>
          <w:name w:val="General"/>
          <w:gallery w:val="placeholder"/>
        </w:category>
        <w:types>
          <w:type w:val="bbPlcHdr"/>
        </w:types>
        <w:behaviors>
          <w:behavior w:val="content"/>
        </w:behaviors>
        <w:guid w:val="{ED531B3D-A2EC-4896-AC6C-DFB8BE5E3702}"/>
      </w:docPartPr>
      <w:docPartBody>
        <w:p w:rsidR="00BA39C3" w:rsidP="00BA39C3">
          <w:pPr>
            <w:pStyle w:val="BA8ECF9527F8481FA6039E75744C9F85"/>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Twentieth Century">
    <w:altName w:val="Calibri"/>
    <w:charset w:val="00"/>
    <w:family w:val="auto"/>
    <w:pitch w:val="default"/>
  </w:font>
  <w:font w:name="Futura Std Book">
    <w:altName w:val="Century Gothic"/>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lgun Gothic">
    <w:charset w:val="81"/>
    <w:family w:val="swiss"/>
    <w:pitch w:val="variable"/>
    <w:sig w:usb0="9000002F" w:usb1="29D77CFB" w:usb2="00000012" w:usb3="00000000" w:csb0="00080001" w:csb1="00000000"/>
  </w:font>
  <w:font w:name="Bernard MT Condensed">
    <w:panose1 w:val="02050806060905020404"/>
    <w:charset w:val="00"/>
    <w:family w:val="roman"/>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8ECF9527F8481FA6039E75744C9F85">
    <w:name w:val="BA8ECF9527F8481FA6039E75744C9F85"/>
    <w:rsid w:val="00BA3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60c45f-523c-4434-8d17-d864fbebdbaa" xsi:nil="true"/>
    <lcf76f155ced4ddcb4097134ff3c332f xmlns="6c1ea603-6e31-4386-8a81-b59ad335e64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98CB4E4F715B489AF1B7FC3452B789" ma:contentTypeVersion="14" ma:contentTypeDescription="Create a new document." ma:contentTypeScope="" ma:versionID="289d6a9501ab24e0a5fe85d49c78909f">
  <xsd:schema xmlns:xsd="http://www.w3.org/2001/XMLSchema" xmlns:xs="http://www.w3.org/2001/XMLSchema" xmlns:p="http://schemas.microsoft.com/office/2006/metadata/properties" xmlns:ns2="6c1ea603-6e31-4386-8a81-b59ad335e64d" xmlns:ns3="c960c45f-523c-4434-8d17-d864fbebdbaa" targetNamespace="http://schemas.microsoft.com/office/2006/metadata/properties" ma:root="true" ma:fieldsID="5c3f63354ceea85f4eb55e0e9b030bc1" ns2:_="" ns3:_="">
    <xsd:import namespace="6c1ea603-6e31-4386-8a81-b59ad335e64d"/>
    <xsd:import namespace="c960c45f-523c-4434-8d17-d864fbebdb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ea603-6e31-4386-8a81-b59ad335e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164b58-242a-458b-a72d-ae56416258c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0c45f-523c-4434-8d17-d864fbebdb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07bbfd-f32d-4a5d-8c33-329be47a3dde}" ma:internalName="TaxCatchAll" ma:showField="CatchAllData" ma:web="c960c45f-523c-4434-8d17-d864fbebdb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310B8-8616-43B8-B565-0B479ADD3890}">
  <ds:schemaRefs>
    <ds:schemaRef ds:uri="http://schemas.microsoft.com/office/2006/metadata/properties"/>
    <ds:schemaRef ds:uri="http://schemas.microsoft.com/office/infopath/2007/PartnerControls"/>
    <ds:schemaRef ds:uri="c960c45f-523c-4434-8d17-d864fbebdbaa"/>
    <ds:schemaRef ds:uri="6c1ea603-6e31-4386-8a81-b59ad335e64d"/>
  </ds:schemaRefs>
</ds:datastoreItem>
</file>

<file path=customXml/itemProps2.xml><?xml version="1.0" encoding="utf-8"?>
<ds:datastoreItem xmlns:ds="http://schemas.openxmlformats.org/officeDocument/2006/customXml" ds:itemID="{CA65B2A4-3CE4-4F6F-970A-DB1BB8C5F04D}">
  <ds:schemaRefs>
    <ds:schemaRef ds:uri="http://schemas.openxmlformats.org/officeDocument/2006/bibliography"/>
  </ds:schemaRefs>
</ds:datastoreItem>
</file>

<file path=customXml/itemProps3.xml><?xml version="1.0" encoding="utf-8"?>
<ds:datastoreItem xmlns:ds="http://schemas.openxmlformats.org/officeDocument/2006/customXml" ds:itemID="{FB0404C7-E08F-424B-86F1-CA834816F442}">
  <ds:schemaRefs>
    <ds:schemaRef ds:uri="http://schemas.microsoft.com/sharepoint/v3/contenttype/forms"/>
  </ds:schemaRefs>
</ds:datastoreItem>
</file>

<file path=customXml/itemProps4.xml><?xml version="1.0" encoding="utf-8"?>
<ds:datastoreItem xmlns:ds="http://schemas.openxmlformats.org/officeDocument/2006/customXml" ds:itemID="{BB019D1B-9363-4B09-978B-E75ECF964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ea603-6e31-4386-8a81-b59ad335e64d"/>
    <ds:schemaRef ds:uri="c960c45f-523c-4434-8d17-d864fbebd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CRM0019</dc:title>
  <cp:revision>0</cp:revision>
</cp:coreProperties>
</file>