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ackground w:color="fef3e3">
    <v:background id="_x0000_s1025" filled="t" fillcolor="#fef3e3"/>
  </w:background>
  <w:body>
    <w:p w:rsidR="00E86AC0" w:rsidRPr="00E86AC0" w:rsidP="00E86AC0">
      <w:pPr>
        <w:jc w:val="center"/>
        <w:rPr>
          <w:rFonts w:ascii="Calibri" w:eastAsia="EB Garamond" w:hAnsi="Calibri" w:cs="Calibri"/>
          <w:b/>
          <w:bCs/>
        </w:rPr>
      </w:pPr>
      <w:r w:rsidRPr="00E86AC0">
        <w:rPr>
          <w:rFonts w:ascii="Calibri" w:eastAsia="EB Garamond" w:hAnsi="Calibri" w:cs="Calibri"/>
          <w:b/>
          <w:bCs/>
        </w:rPr>
        <w:t xml:space="preserve">Written evidence by </w:t>
      </w:r>
      <w:r w:rsidRPr="00E86AC0">
        <w:rPr>
          <w:rFonts w:ascii="Calibri" w:eastAsia="EB Garamond" w:hAnsi="Calibri" w:cs="Calibri"/>
          <w:b/>
          <w:bCs/>
        </w:rPr>
        <w:t>The Post-18 Project</w:t>
      </w:r>
      <w:r w:rsidRPr="00E86AC0">
        <w:rPr>
          <w:rFonts w:ascii="Calibri" w:eastAsia="EB Garamond" w:hAnsi="Calibri" w:cs="Calibri"/>
          <w:b/>
          <w:bCs/>
        </w:rPr>
        <w:t xml:space="preserve"> (</w:t>
      </w:r>
      <w:r w:rsidRPr="00E86AC0">
        <w:rPr>
          <w:rFonts w:ascii="Calibri" w:eastAsia="EB Garamond" w:hAnsi="Calibri" w:cs="Calibri"/>
          <w:b/>
          <w:bCs/>
        </w:rPr>
        <w:t>AIE0129</w:t>
      </w:r>
      <w:r w:rsidRPr="00E86AC0">
        <w:rPr>
          <w:rFonts w:ascii="Calibri" w:eastAsia="EB Garamond" w:hAnsi="Calibri" w:cs="Calibri"/>
          <w:b/>
          <w:bCs/>
        </w:rPr>
        <w:t>)</w:t>
      </w:r>
    </w:p>
    <w:p w:rsidR="00E86AC0" w:rsidRPr="00E86AC0" w:rsidP="00E86AC0">
      <w:pPr>
        <w:rPr>
          <w:rFonts w:ascii="Calibri" w:eastAsia="EB Garamond" w:hAnsi="Calibri" w:cs="Calibri"/>
        </w:rPr>
      </w:pPr>
    </w:p>
    <w:p w:rsidR="00E86AC0" w:rsidRPr="00E86AC0" w:rsidP="00E86AC0">
      <w:pPr>
        <w:rPr>
          <w:rFonts w:ascii="Calibri" w:eastAsia="Aptos" w:hAnsi="Calibri" w:cs="Calibri"/>
          <w:b/>
          <w:bCs/>
          <w:color w:val="auto"/>
          <w:lang w:eastAsia="en-US"/>
        </w:rPr>
      </w:pPr>
      <w:r w:rsidRPr="00E86AC0">
        <w:rPr>
          <w:rFonts w:ascii="Calibri" w:eastAsia="Aptos" w:hAnsi="Calibri" w:cs="Calibri"/>
          <w:b/>
          <w:bCs/>
          <w:color w:val="auto"/>
          <w:lang w:eastAsia="en-US"/>
        </w:rPr>
        <w:t>Education Committee</w:t>
      </w:r>
    </w:p>
    <w:p w:rsidR="00E86AC0" w:rsidRPr="00E86AC0" w:rsidP="00E86AC0">
      <w:pPr>
        <w:rPr>
          <w:rFonts w:ascii="Calibri" w:eastAsia="Aptos" w:hAnsi="Calibri" w:cs="Calibri"/>
          <w:color w:val="auto"/>
          <w:lang w:eastAsia="en-US"/>
        </w:rPr>
      </w:pPr>
      <w:r w:rsidRPr="00E86AC0">
        <w:rPr>
          <w:rFonts w:ascii="Calibri" w:eastAsia="Aptos" w:hAnsi="Calibri" w:cs="Calibri"/>
          <w:b/>
          <w:bCs/>
          <w:color w:val="auto"/>
          <w:lang w:eastAsia="en-US"/>
        </w:rPr>
        <w:t>The</w:t>
      </w:r>
      <w:r w:rsidRPr="00E86AC0">
        <w:rPr>
          <w:rFonts w:ascii="Calibri" w:eastAsia="Aptos" w:hAnsi="Calibri" w:cs="Calibri"/>
          <w:color w:val="auto"/>
          <w:lang w:eastAsia="en-US"/>
        </w:rPr>
        <w:t xml:space="preserve"> </w:t>
      </w:r>
      <w:r w:rsidRPr="00E86AC0">
        <w:rPr>
          <w:rFonts w:ascii="Calibri" w:eastAsia="Aptos" w:hAnsi="Calibri" w:cs="Calibri"/>
          <w:b/>
          <w:bCs/>
          <w:color w:val="auto"/>
          <w:lang w:eastAsia="en-US"/>
        </w:rPr>
        <w:t>use of Artificial Intelligence and EdTech in Education inquiry</w:t>
      </w:r>
    </w:p>
    <w:p w:rsidR="00E86AC0" w:rsidRPr="00E86AC0" w:rsidP="00E86AC0">
      <w:pPr>
        <w:jc w:val="center"/>
        <w:rPr>
          <w:rFonts w:ascii="Calibri" w:eastAsia="EB Garamond" w:hAnsi="Calibri" w:cs="Calibri"/>
        </w:rPr>
      </w:pPr>
    </w:p>
    <w:p w:rsidR="00BC4763" w:rsidRPr="00E86AC0" w:rsidP="00E86AC0">
      <w:pPr>
        <w:jc w:val="center"/>
        <w:rPr>
          <w:rFonts w:ascii="Calibri" w:eastAsia="EB Garamond" w:hAnsi="Calibri" w:cs="Calibri"/>
        </w:rPr>
      </w:pPr>
      <w:r w:rsidRPr="00E86AC0">
        <w:rPr>
          <w:rFonts w:ascii="Calibri" w:eastAsia="EB Garamond" w:hAnsi="Calibri" w:cs="Calibri"/>
        </w:rPr>
        <w:t>About The Post-18 Project</w:t>
      </w:r>
    </w:p>
    <w:p w:rsidR="00BC4763" w:rsidRPr="00E86AC0">
      <w:pPr>
        <w:spacing w:after="160" w:line="320" w:lineRule="auto"/>
        <w:rPr>
          <w:rFonts w:ascii="Calibri" w:eastAsia="EB Garamond" w:hAnsi="Calibri" w:cs="Calibri"/>
        </w:rPr>
      </w:pPr>
      <w:r w:rsidRPr="00E86AC0">
        <w:rPr>
          <w:rFonts w:ascii="Calibri" w:eastAsia="EB Garamond" w:hAnsi="Calibri" w:cs="Calibri"/>
        </w:rPr>
        <w:t>1. The Post-18 Project is an independent initiative, affiliated with Wonkhe, focused on policy for post-18 education in England. It is directed by Professor John Blake, formerly Director for Fair Access and Participation at the Office for Students (2022–25). This submission addresses the higher education dimensions of the Committee’s inquiry. It focuses on the systemic and structural conditions that determine whether AI supports or undermines learning – rather than on AI tools, products, or pedagogical tech</w:t>
      </w:r>
      <w:r w:rsidRPr="00E86AC0">
        <w:rPr>
          <w:rFonts w:ascii="Calibri" w:eastAsia="EB Garamond" w:hAnsi="Calibri" w:cs="Calibri"/>
        </w:rPr>
        <w:t>nique.</w:t>
      </w:r>
    </w:p>
    <w:p w:rsidR="00BC4763" w:rsidRPr="00E86AC0">
      <w:pPr>
        <w:spacing w:after="160" w:line="320" w:lineRule="auto"/>
        <w:rPr>
          <w:rFonts w:ascii="Calibri" w:eastAsia="EB Garamond" w:hAnsi="Calibri" w:cs="Calibri"/>
        </w:rPr>
      </w:pPr>
      <w:r w:rsidRPr="00E86AC0">
        <w:rPr>
          <w:rFonts w:ascii="Calibri" w:eastAsia="EB Garamond" w:hAnsi="Calibri" w:cs="Calibri"/>
        </w:rPr>
        <w:t xml:space="preserve">2. This evidence draws substantially on new national research published in March 2026 by Wonkhe: </w:t>
      </w:r>
      <w:r w:rsidRPr="00E86AC0">
        <w:rPr>
          <w:rFonts w:ascii="Calibri" w:eastAsia="EB Garamond" w:hAnsi="Calibri" w:cs="Calibri"/>
          <w:i/>
          <w:iCs/>
        </w:rPr>
        <w:t>Trained to Stop Learning: How Students Are Experiencing Assessment and Learning in an Age of AI</w:t>
      </w:r>
      <w:r w:rsidRPr="00E86AC0">
        <w:rPr>
          <w:rFonts w:ascii="Calibri" w:eastAsia="EB Garamond" w:hAnsi="Calibri" w:cs="Calibri"/>
        </w:rPr>
        <w:t xml:space="preserve"> (Dickinson and Marshall, 2026), a survey of 1,055 students across 52 providers weighted for gender and level of study, combined with qualitative focus groups. The Director of The Post-18 Project participated in the panel discussion of this research at the Secret Life of Students 2026 conference.</w:t>
      </w:r>
    </w:p>
    <w:p w:rsidR="00BC4763" w:rsidRPr="00E86AC0">
      <w:pPr>
        <w:pStyle w:val="Heading2"/>
        <w:rPr>
          <w:rFonts w:ascii="Calibri" w:eastAsia="EB Garamond" w:hAnsi="Calibri" w:cs="Calibri"/>
          <w:sz w:val="22"/>
          <w:szCs w:val="22"/>
        </w:rPr>
      </w:pPr>
      <w:r w:rsidRPr="00E86AC0">
        <w:rPr>
          <w:rFonts w:ascii="Calibri" w:eastAsia="EB Garamond" w:hAnsi="Calibri" w:cs="Calibri"/>
          <w:sz w:val="22"/>
          <w:szCs w:val="22"/>
        </w:rPr>
        <w:t>Summary</w:t>
      </w:r>
    </w:p>
    <w:p w:rsidR="00BC4763" w:rsidRPr="00E86AC0">
      <w:pPr>
        <w:spacing w:after="160" w:line="320" w:lineRule="auto"/>
        <w:rPr>
          <w:rFonts w:ascii="Calibri" w:eastAsia="EB Garamond" w:hAnsi="Calibri" w:cs="Calibri"/>
        </w:rPr>
      </w:pPr>
      <w:r w:rsidRPr="00E86AC0">
        <w:rPr>
          <w:rFonts w:ascii="Calibri" w:eastAsia="EB Garamond" w:hAnsi="Calibri" w:cs="Calibri"/>
        </w:rPr>
        <w:t xml:space="preserve">1. </w:t>
      </w:r>
      <w:r w:rsidRPr="00E86AC0">
        <w:rPr>
          <w:rFonts w:ascii="Calibri" w:eastAsia="EB Garamond" w:hAnsi="Calibri" w:cs="Calibri"/>
          <w:b/>
          <w:bCs/>
        </w:rPr>
        <w:t>The central argument of this submission is that AI has not created a new crisis in higher education. It has exposed pre-existing tension.</w:t>
      </w:r>
      <w:r w:rsidRPr="00E86AC0">
        <w:rPr>
          <w:rFonts w:ascii="Calibri" w:eastAsia="EB Garamond" w:hAnsi="Calibri" w:cs="Calibri"/>
        </w:rPr>
        <w:t xml:space="preserve"> Across much of the sector, assessment is a process in which students produce digital artefacts, upload them to a virtual learning environment, and have them asynchronously marked against a </w:t>
      </w:r>
      <w:r w:rsidRPr="00E86AC0">
        <w:rPr>
          <w:rFonts w:ascii="Calibri" w:eastAsia="EB Garamond" w:hAnsi="Calibri" w:cs="Calibri"/>
        </w:rPr>
        <w:t>rubric.</w:t>
      </w:r>
      <w:r w:rsidRPr="00E86AC0">
        <w:rPr>
          <w:rFonts w:ascii="Calibri" w:eastAsia="EB Garamond" w:hAnsi="Calibri" w:cs="Calibri"/>
          <w:u w:val="single"/>
        </w:rPr>
        <w:t>Such</w:t>
      </w:r>
      <w:r w:rsidRPr="00E86AC0">
        <w:rPr>
          <w:rFonts w:ascii="Calibri" w:eastAsia="EB Garamond" w:hAnsi="Calibri" w:cs="Calibri"/>
          <w:u w:val="single"/>
        </w:rPr>
        <w:t xml:space="preserve"> </w:t>
      </w:r>
      <w:r w:rsidRPr="00E86AC0">
        <w:rPr>
          <w:rFonts w:ascii="Calibri" w:eastAsia="EB Garamond" w:hAnsi="Calibri" w:cs="Calibri"/>
          <w:u w:val="single"/>
        </w:rPr>
        <w:t>assessment  was</w:t>
      </w:r>
      <w:r w:rsidRPr="00E86AC0">
        <w:rPr>
          <w:rFonts w:ascii="Calibri" w:eastAsia="EB Garamond" w:hAnsi="Calibri" w:cs="Calibri"/>
          <w:u w:val="single"/>
        </w:rPr>
        <w:t xml:space="preserve"> already failing to verify whether students had understood what they had produced</w:t>
      </w:r>
      <w:r w:rsidRPr="00E86AC0">
        <w:rPr>
          <w:rFonts w:ascii="Calibri" w:eastAsia="EB Garamond" w:hAnsi="Calibri" w:cs="Calibri"/>
        </w:rPr>
        <w:t>. .</w:t>
      </w:r>
      <w:r w:rsidRPr="00E86AC0">
        <w:rPr>
          <w:rFonts w:ascii="Calibri" w:eastAsia="EB Garamond" w:hAnsi="Calibri" w:cs="Calibri"/>
        </w:rPr>
        <w:t xml:space="preserve"> AI has made the gap between production and understanding costless to expl</w:t>
      </w:r>
      <w:r w:rsidRPr="00E86AC0">
        <w:rPr>
          <w:rFonts w:ascii="Calibri" w:eastAsia="EB Garamond" w:hAnsi="Calibri" w:cs="Calibri"/>
        </w:rPr>
        <w:t xml:space="preserve">oit. The correct policy response is not (or not only) to regulate AI use but to </w:t>
      </w:r>
      <w:r w:rsidRPr="00E86AC0">
        <w:rPr>
          <w:rFonts w:ascii="Calibri" w:eastAsia="EB Garamond" w:hAnsi="Calibri" w:cs="Calibri"/>
          <w:u w:val="single"/>
        </w:rPr>
        <w:t>fix the structural conditions that make AI a rational substitute for learning</w:t>
      </w:r>
      <w:r w:rsidRPr="00E86AC0">
        <w:rPr>
          <w:rFonts w:ascii="Calibri" w:eastAsia="EB Garamond" w:hAnsi="Calibri" w:cs="Calibri"/>
        </w:rPr>
        <w:t>.</w:t>
      </w:r>
    </w:p>
    <w:p w:rsidR="00BC4763" w:rsidRPr="00E86AC0">
      <w:pPr>
        <w:pStyle w:val="Heading2"/>
        <w:rPr>
          <w:rFonts w:ascii="Calibri" w:eastAsia="EB Garamond" w:hAnsi="Calibri" w:cs="Calibri"/>
          <w:sz w:val="22"/>
          <w:szCs w:val="22"/>
        </w:rPr>
      </w:pPr>
      <w:r w:rsidRPr="00E86AC0">
        <w:rPr>
          <w:rFonts w:ascii="Calibri" w:eastAsia="EB Garamond" w:hAnsi="Calibri" w:cs="Calibri"/>
          <w:sz w:val="22"/>
          <w:szCs w:val="22"/>
        </w:rPr>
        <w:t>Assessment design is the policy lever, not AI policy</w:t>
      </w:r>
    </w:p>
    <w:p w:rsidR="00BC4763" w:rsidRPr="00E86AC0">
      <w:pPr>
        <w:spacing w:after="160" w:line="320" w:lineRule="auto"/>
        <w:rPr>
          <w:rFonts w:ascii="Calibri" w:eastAsia="EB Garamond" w:hAnsi="Calibri" w:cs="Calibri"/>
        </w:rPr>
      </w:pPr>
      <w:r w:rsidRPr="00E86AC0">
        <w:rPr>
          <w:rFonts w:ascii="Calibri" w:eastAsia="EB Garamond" w:hAnsi="Calibri" w:cs="Calibri"/>
        </w:rPr>
        <w:t xml:space="preserve">1. The most significant finding of the </w:t>
      </w:r>
      <w:r w:rsidRPr="00E86AC0">
        <w:rPr>
          <w:rFonts w:ascii="Calibri" w:eastAsia="EB Garamond" w:hAnsi="Calibri" w:cs="Calibri"/>
          <w:i/>
          <w:iCs/>
        </w:rPr>
        <w:t xml:space="preserve">Trained to Stop Learning </w:t>
      </w:r>
      <w:r w:rsidRPr="00E86AC0">
        <w:rPr>
          <w:rFonts w:ascii="Calibri" w:eastAsia="EB Garamond" w:hAnsi="Calibri" w:cs="Calibri"/>
        </w:rPr>
        <w:t>research is that assessment design, not institutional AI policy, is what determines whether students use AI to learn or to produce. Where students know they will face a future moment at which they must personally demonstrate understanding – an examination, a viva, a supervised practical, a presentation – they describe using AI to test themselves, interrogate their reasoning, and deepen their learning. Where no such accountability moment exists, the same students describe using AI to generate work they canno</w:t>
      </w:r>
      <w:r w:rsidRPr="00E86AC0">
        <w:rPr>
          <w:rFonts w:ascii="Calibri" w:eastAsia="EB Garamond" w:hAnsi="Calibri" w:cs="Calibri"/>
        </w:rPr>
        <w:t>t explain, in a system that cannot tell the difference.</w:t>
      </w:r>
    </w:p>
    <w:p w:rsidR="00BC4763" w:rsidRPr="00E86AC0">
      <w:pPr>
        <w:spacing w:after="160" w:line="320" w:lineRule="auto"/>
        <w:rPr>
          <w:rFonts w:ascii="Calibri" w:eastAsia="EB Garamond" w:hAnsi="Calibri" w:cs="Calibri"/>
        </w:rPr>
      </w:pPr>
      <w:r w:rsidRPr="00E86AC0">
        <w:rPr>
          <w:rFonts w:ascii="Calibri" w:eastAsia="EB Garamond" w:hAnsi="Calibri" w:cs="Calibri"/>
        </w:rPr>
        <w:t xml:space="preserve">2. </w:t>
      </w:r>
      <w:r w:rsidRPr="00E86AC0">
        <w:rPr>
          <w:rFonts w:ascii="Calibri" w:eastAsia="EB Garamond" w:hAnsi="Calibri" w:cs="Calibri"/>
          <w:b/>
          <w:bCs/>
        </w:rPr>
        <w:t>This finding should be treated as the single most actionable insight for policymakers.</w:t>
      </w:r>
      <w:r w:rsidRPr="00E86AC0">
        <w:rPr>
          <w:rFonts w:ascii="Calibri" w:eastAsia="EB Garamond" w:hAnsi="Calibri" w:cs="Calibri"/>
        </w:rPr>
        <w:t xml:space="preserve"> I</w:t>
      </w:r>
      <w:r w:rsidRPr="00E86AC0">
        <w:rPr>
          <w:rFonts w:ascii="Calibri" w:eastAsia="EB Garamond" w:hAnsi="Calibri" w:cs="Calibri"/>
          <w:u w:val="single"/>
        </w:rPr>
        <w:t>t tells us that the problem is not students’ moral character, nor the inadequacy of institutional AI policies, but the structural design of how learning is verified.</w:t>
      </w:r>
      <w:r w:rsidRPr="00E86AC0">
        <w:rPr>
          <w:rFonts w:ascii="Calibri" w:eastAsia="EB Garamond" w:hAnsi="Calibri" w:cs="Calibri"/>
        </w:rPr>
        <w:t xml:space="preserve"> Nearly half the students surveyed (47 per cent) </w:t>
      </w:r>
      <w:r w:rsidRPr="00E86AC0">
        <w:rPr>
          <w:rFonts w:ascii="Calibri" w:eastAsia="EB Garamond" w:hAnsi="Calibri" w:cs="Calibri"/>
        </w:rPr>
        <w:t xml:space="preserve">worry that their grades do not fully reflect what they </w:t>
      </w:r>
      <w:r w:rsidRPr="00E86AC0">
        <w:rPr>
          <w:rFonts w:ascii="Calibri" w:eastAsia="EB Garamond" w:hAnsi="Calibri" w:cs="Calibri"/>
        </w:rPr>
        <w:t>actually know</w:t>
      </w:r>
      <w:r w:rsidRPr="00E86AC0">
        <w:rPr>
          <w:rFonts w:ascii="Calibri" w:eastAsia="EB Garamond" w:hAnsi="Calibri" w:cs="Calibri"/>
        </w:rPr>
        <w:t>, and 38 per cent admit to submitting work they could not fully explain without returning to their sources.</w:t>
      </w:r>
    </w:p>
    <w:p w:rsidR="00BC4763" w:rsidRPr="00E86AC0">
      <w:pPr>
        <w:spacing w:after="160" w:line="320" w:lineRule="auto"/>
        <w:rPr>
          <w:rFonts w:ascii="Calibri" w:eastAsia="EB Garamond" w:hAnsi="Calibri" w:cs="Calibri"/>
        </w:rPr>
      </w:pPr>
      <w:r w:rsidRPr="00E86AC0">
        <w:rPr>
          <w:rFonts w:ascii="Calibri" w:eastAsia="EB Garamond" w:hAnsi="Calibri" w:cs="Calibri"/>
        </w:rPr>
        <w:t xml:space="preserve">3. The research identifies at least six distinct modes of AI use among students – from search replacement to production acceleration – each with different relationships to learning. The same student routinely moves between modes on the same assignment. </w:t>
      </w:r>
      <w:r w:rsidRPr="00E86AC0">
        <w:rPr>
          <w:rFonts w:ascii="Calibri" w:eastAsia="EB Garamond" w:hAnsi="Calibri" w:cs="Calibri"/>
          <w:u w:val="single"/>
        </w:rPr>
        <w:t>Any policy framework that treats AI use as a single behaviour will misfire.</w:t>
      </w:r>
      <w:r w:rsidRPr="00E86AC0">
        <w:rPr>
          <w:rFonts w:ascii="Calibri" w:eastAsia="EB Garamond" w:hAnsi="Calibri" w:cs="Calibri"/>
        </w:rPr>
        <w:t xml:space="preserve"> The Committee’s terms of reference ask whether the government is ensuring that AI is increasing skills and knowledge rather than deskilling students. The evidence suggests that the answer depends almost entirely on whether the assessment system requires students to demonstrate understanding in person at some point during their programme.</w:t>
      </w:r>
    </w:p>
    <w:p w:rsidR="00BC4763" w:rsidRPr="00E86AC0">
      <w:pPr>
        <w:spacing w:after="160" w:line="320" w:lineRule="auto"/>
        <w:rPr>
          <w:rFonts w:ascii="Calibri" w:eastAsia="EB Garamond" w:hAnsi="Calibri" w:cs="Calibri"/>
        </w:rPr>
      </w:pPr>
      <w:r w:rsidRPr="00E86AC0">
        <w:rPr>
          <w:rFonts w:ascii="Calibri" w:eastAsia="EB Garamond" w:hAnsi="Calibri" w:cs="Calibri"/>
        </w:rPr>
        <w:t xml:space="preserve">4. The Curriculum and Assessment Review, as it relates to the post-18 sector, did not anticipate this. Its focus was on </w:t>
      </w:r>
      <w:r w:rsidRPr="00E86AC0">
        <w:rPr>
          <w:rFonts w:ascii="Calibri" w:eastAsia="EB Garamond" w:hAnsi="Calibri" w:cs="Calibri"/>
        </w:rPr>
        <w:t>schools</w:t>
      </w:r>
      <w:r w:rsidRPr="00E86AC0">
        <w:rPr>
          <w:rFonts w:ascii="Calibri" w:eastAsia="EB Garamond" w:hAnsi="Calibri" w:cs="Calibri"/>
        </w:rPr>
        <w:t xml:space="preserve"> assessment. </w:t>
      </w:r>
      <w:r w:rsidRPr="00E86AC0">
        <w:rPr>
          <w:rFonts w:ascii="Calibri" w:eastAsia="EB Garamond" w:hAnsi="Calibri" w:cs="Calibri"/>
          <w:u w:val="single"/>
        </w:rPr>
        <w:t>Higher education assessment design was left to institutional autonomy – which is precisely the mechanism that has failed</w:t>
      </w:r>
      <w:r w:rsidRPr="00E86AC0">
        <w:rPr>
          <w:rFonts w:ascii="Calibri" w:eastAsia="EB Garamond" w:hAnsi="Calibri" w:cs="Calibri"/>
        </w:rPr>
        <w:t xml:space="preserve">. </w:t>
      </w:r>
      <w:r w:rsidRPr="00E86AC0">
        <w:rPr>
          <w:rFonts w:ascii="Calibri" w:eastAsia="EB Garamond" w:hAnsi="Calibri" w:cs="Calibri"/>
          <w:b/>
          <w:bCs/>
        </w:rPr>
        <w:t>The Committee should consider recommending that national expectations are established by the regulator, through the conditions of registration and the quality framework, requiring that higher education programmes include visible accountability moments at which students must demonstrate understanding.</w:t>
      </w:r>
      <w:r w:rsidRPr="00E86AC0">
        <w:rPr>
          <w:rFonts w:ascii="Calibri" w:eastAsia="EB Garamond" w:hAnsi="Calibri" w:cs="Calibri"/>
        </w:rPr>
        <w:t xml:space="preserve"> This is not about banning AI. It is about ensuring that the conditio</w:t>
      </w:r>
      <w:r w:rsidRPr="00E86AC0">
        <w:rPr>
          <w:rFonts w:ascii="Calibri" w:eastAsia="EB Garamond" w:hAnsi="Calibri" w:cs="Calibri"/>
        </w:rPr>
        <w:t>ns exist under which AI functions as a learning tool rather than a production tool.</w:t>
      </w:r>
    </w:p>
    <w:p w:rsidR="00BC4763" w:rsidRPr="00E86AC0">
      <w:pPr>
        <w:pStyle w:val="Heading2"/>
        <w:rPr>
          <w:rFonts w:ascii="Calibri" w:eastAsia="EB Garamond" w:hAnsi="Calibri" w:cs="Calibri"/>
          <w:sz w:val="22"/>
          <w:szCs w:val="22"/>
        </w:rPr>
      </w:pPr>
      <w:r w:rsidRPr="00E86AC0">
        <w:rPr>
          <w:rFonts w:ascii="Calibri" w:eastAsia="EB Garamond" w:hAnsi="Calibri" w:cs="Calibri"/>
          <w:sz w:val="22"/>
          <w:szCs w:val="22"/>
        </w:rPr>
        <w:t>AI use is diagnostic of institutional under-provision</w:t>
      </w:r>
    </w:p>
    <w:p w:rsidR="00BC4763" w:rsidRPr="00E86AC0">
      <w:pPr>
        <w:spacing w:after="160" w:line="320" w:lineRule="auto"/>
        <w:rPr>
          <w:rFonts w:ascii="Calibri" w:eastAsia="EB Garamond" w:hAnsi="Calibri" w:cs="Calibri"/>
        </w:rPr>
      </w:pPr>
      <w:r w:rsidRPr="00E86AC0">
        <w:rPr>
          <w:rFonts w:ascii="Calibri" w:eastAsia="EB Garamond" w:hAnsi="Calibri" w:cs="Calibri"/>
        </w:rPr>
        <w:t xml:space="preserve">1. </w:t>
      </w:r>
      <w:r w:rsidRPr="00E86AC0">
        <w:rPr>
          <w:rFonts w:ascii="Calibri" w:eastAsia="EB Garamond" w:hAnsi="Calibri" w:cs="Calibri"/>
          <w:b/>
          <w:bCs/>
        </w:rPr>
        <w:t>The research demonstrates that a substantial proportion of AI use described by students would disappear if universities addressed problems within their control</w:t>
      </w:r>
      <w:r w:rsidRPr="00E86AC0">
        <w:rPr>
          <w:rFonts w:ascii="Calibri" w:eastAsia="EB Garamond" w:hAnsi="Calibri" w:cs="Calibri"/>
        </w:rPr>
        <w:t>. Students report turning to AI because library search functions are inadequate, assessment briefs are unclear, teaching is inaccessible, practical preparation is thin, academic support is slow, and feedback routinely arrives after the next assignment has already begun – making the assessment sequence functionally summative regardless of what module h</w:t>
      </w:r>
      <w:r w:rsidRPr="00E86AC0">
        <w:rPr>
          <w:rFonts w:ascii="Calibri" w:eastAsia="EB Garamond" w:hAnsi="Calibri" w:cs="Calibri"/>
        </w:rPr>
        <w:t>andbooks claim.</w:t>
      </w:r>
    </w:p>
    <w:p w:rsidR="00BC4763" w:rsidRPr="00E86AC0">
      <w:pPr>
        <w:spacing w:after="160" w:line="320" w:lineRule="auto"/>
        <w:rPr>
          <w:rFonts w:ascii="Calibri" w:eastAsia="EB Garamond" w:hAnsi="Calibri" w:cs="Calibri"/>
        </w:rPr>
      </w:pPr>
      <w:r w:rsidRPr="00E86AC0">
        <w:rPr>
          <w:rFonts w:ascii="Calibri" w:eastAsia="EB Garamond" w:hAnsi="Calibri" w:cs="Calibri"/>
        </w:rPr>
        <w:t xml:space="preserve">2. The research finds that restricted module choice is one of the clearest correlates of disengaged AI use. </w:t>
      </w:r>
      <w:r w:rsidRPr="00E86AC0">
        <w:rPr>
          <w:rFonts w:ascii="Calibri" w:eastAsia="EB Garamond" w:hAnsi="Calibri" w:cs="Calibri"/>
          <w:u w:val="single"/>
        </w:rPr>
        <w:t>Students whose programmes have cut optional modules – often to balance institutional budgets – show significantly higher rates of using AI to ‘get through’ rather than to learn</w:t>
      </w:r>
      <w:r w:rsidRPr="00E86AC0">
        <w:rPr>
          <w:rFonts w:ascii="Calibri" w:eastAsia="EB Garamond" w:hAnsi="Calibri" w:cs="Calibri"/>
        </w:rPr>
        <w:t xml:space="preserve">. </w:t>
      </w:r>
      <w:r w:rsidRPr="00E86AC0">
        <w:rPr>
          <w:rFonts w:ascii="Calibri" w:eastAsia="EB Garamond" w:hAnsi="Calibri" w:cs="Calibri"/>
          <w:b/>
          <w:bCs/>
        </w:rPr>
        <w:t>Among students who rated their course as not intellectually stimulating, 73.6 per cent used AI on assessed work, compared with 57.3 per cent of those who found it stimulating</w:t>
      </w:r>
      <w:r w:rsidRPr="00E86AC0">
        <w:rPr>
          <w:rFonts w:ascii="Calibri" w:eastAsia="EB Garamond" w:hAnsi="Calibri" w:cs="Calibri"/>
        </w:rPr>
        <w:t>. The gap was sharpest in how AI was used: less-stimulated students were more than twice as likely to use AI for drafting and writing rather than for understand</w:t>
      </w:r>
      <w:r w:rsidRPr="00E86AC0">
        <w:rPr>
          <w:rFonts w:ascii="Calibri" w:eastAsia="EB Garamond" w:hAnsi="Calibri" w:cs="Calibri"/>
        </w:rPr>
        <w:t>ing.</w:t>
      </w:r>
    </w:p>
    <w:p w:rsidR="00BC4763" w:rsidRPr="00E86AC0">
      <w:pPr>
        <w:spacing w:after="160" w:line="320" w:lineRule="auto"/>
        <w:rPr>
          <w:rFonts w:ascii="Calibri" w:eastAsia="EB Garamond" w:hAnsi="Calibri" w:cs="Calibri"/>
        </w:rPr>
      </w:pPr>
      <w:r w:rsidRPr="00E86AC0">
        <w:rPr>
          <w:rFonts w:ascii="Calibri" w:eastAsia="EB Garamond" w:hAnsi="Calibri" w:cs="Calibri"/>
        </w:rPr>
        <w:t xml:space="preserve">3. </w:t>
      </w:r>
      <w:r w:rsidRPr="00E86AC0">
        <w:rPr>
          <w:rFonts w:ascii="Calibri" w:eastAsia="EB Garamond" w:hAnsi="Calibri" w:cs="Calibri"/>
          <w:b/>
          <w:bCs/>
        </w:rPr>
        <w:t>Every pattern of heavy AI use identified in the research is diagnostic information about what the institution is not providing</w:t>
      </w:r>
      <w:r w:rsidRPr="00E86AC0">
        <w:rPr>
          <w:rFonts w:ascii="Calibri" w:eastAsia="EB Garamond" w:hAnsi="Calibri" w:cs="Calibri"/>
        </w:rPr>
        <w:t xml:space="preserve">. The Committee’s terms of reference ask about the impact of AI on learning and cognition. The evidence suggests that the more productive question is what institutional conditions drive students towards disengaged AI use – and whether the system ought to </w:t>
      </w:r>
      <w:r w:rsidRPr="00E86AC0">
        <w:rPr>
          <w:rFonts w:ascii="Calibri" w:eastAsia="EB Garamond" w:hAnsi="Calibri" w:cs="Calibri"/>
        </w:rPr>
        <w:t>require institutions to address those conditions as a precondition for restricting students’ use of AI tools.</w:t>
      </w:r>
    </w:p>
    <w:p w:rsidR="00BC4763" w:rsidRPr="00E86AC0">
      <w:pPr>
        <w:spacing w:after="160" w:line="320" w:lineRule="auto"/>
        <w:rPr>
          <w:rFonts w:ascii="Calibri" w:eastAsia="EB Garamond" w:hAnsi="Calibri" w:cs="Calibri"/>
        </w:rPr>
      </w:pPr>
      <w:r w:rsidRPr="00E86AC0">
        <w:rPr>
          <w:rFonts w:ascii="Calibri" w:eastAsia="EB Garamond" w:hAnsi="Calibri" w:cs="Calibri"/>
        </w:rPr>
        <w:t>4. The research has implications for the Committee's questions about teaching practice. Feedback routinely arrives after students have begun the next assignment, making the assessment sequence functionally summative – a structural failure that drives students towards AI as a sensemaking tool and that no amount of AI policy can address without changes to how academic workload is resourced and organised. Students report that AI guidance varies between lecturers on the same programme, sometimes contradicting i</w:t>
      </w:r>
      <w:r w:rsidRPr="00E86AC0">
        <w:rPr>
          <w:rFonts w:ascii="Calibri" w:eastAsia="EB Garamond" w:hAnsi="Calibri" w:cs="Calibri"/>
        </w:rPr>
        <w:t xml:space="preserve">nstitutional policy, and that the most common source of confusion is not the absence of policy but its inconsistent application at module level. </w:t>
      </w:r>
    </w:p>
    <w:p w:rsidR="00BC4763" w:rsidRPr="00E86AC0">
      <w:pPr>
        <w:spacing w:after="160" w:line="320" w:lineRule="auto"/>
        <w:rPr>
          <w:rFonts w:ascii="Calibri" w:eastAsia="EB Garamond" w:hAnsi="Calibri" w:cs="Calibri"/>
        </w:rPr>
      </w:pPr>
      <w:r w:rsidRPr="00E86AC0">
        <w:rPr>
          <w:rFonts w:ascii="Calibri" w:eastAsia="EB Garamond" w:hAnsi="Calibri" w:cs="Calibri"/>
        </w:rPr>
        <w:t xml:space="preserve">5. Students also consider there </w:t>
      </w:r>
      <w:r w:rsidRPr="00E86AC0">
        <w:rPr>
          <w:rFonts w:ascii="Calibri" w:eastAsia="EB Garamond" w:hAnsi="Calibri" w:cs="Calibri"/>
        </w:rPr>
        <w:t>is  a</w:t>
      </w:r>
      <w:r w:rsidRPr="00E86AC0">
        <w:rPr>
          <w:rFonts w:ascii="Calibri" w:eastAsia="EB Garamond" w:hAnsi="Calibri" w:cs="Calibri"/>
        </w:rPr>
        <w:t xml:space="preserve"> reciprocity problem: where staff use AI to generate feedback while simultaneously restricting students' use of AI to produce work, students experience this as ‘unfair’. If staff wish to continue to utilise AI in ways which might appear hypocritical to their students, there must </w:t>
      </w:r>
      <w:r w:rsidRPr="00E86AC0">
        <w:rPr>
          <w:rFonts w:ascii="Calibri" w:eastAsia="EB Garamond" w:hAnsi="Calibri" w:cs="Calibri"/>
        </w:rPr>
        <w:t>be  a</w:t>
      </w:r>
      <w:r w:rsidRPr="00E86AC0">
        <w:rPr>
          <w:rFonts w:ascii="Calibri" w:eastAsia="EB Garamond" w:hAnsi="Calibri" w:cs="Calibri"/>
        </w:rPr>
        <w:t xml:space="preserve"> coherent, reasoned, and </w:t>
      </w:r>
      <w:r w:rsidRPr="00E86AC0">
        <w:rPr>
          <w:rFonts w:ascii="Calibri" w:eastAsia="EB Garamond" w:hAnsi="Calibri" w:cs="Calibri"/>
        </w:rPr>
        <w:t>widely-accepted</w:t>
      </w:r>
      <w:r w:rsidRPr="00E86AC0">
        <w:rPr>
          <w:rFonts w:ascii="Calibri" w:eastAsia="EB Garamond" w:hAnsi="Calibri" w:cs="Calibri"/>
        </w:rPr>
        <w:t xml:space="preserve"> explanation for what AI might be appropriate for or not within HE.</w:t>
      </w:r>
    </w:p>
    <w:p w:rsidR="00BC4763" w:rsidRPr="00E86AC0">
      <w:pPr>
        <w:pStyle w:val="Heading2"/>
        <w:rPr>
          <w:rFonts w:ascii="Calibri" w:eastAsia="EB Garamond" w:hAnsi="Calibri" w:cs="Calibri"/>
          <w:sz w:val="22"/>
          <w:szCs w:val="22"/>
        </w:rPr>
      </w:pPr>
      <w:r w:rsidRPr="00E86AC0">
        <w:rPr>
          <w:rFonts w:ascii="Calibri" w:eastAsia="EB Garamond" w:hAnsi="Calibri" w:cs="Calibri"/>
          <w:sz w:val="22"/>
          <w:szCs w:val="22"/>
        </w:rPr>
        <w:t>The equity dimension</w:t>
      </w:r>
    </w:p>
    <w:p w:rsidR="00BC4763" w:rsidRPr="00E86AC0">
      <w:pPr>
        <w:spacing w:after="160" w:line="320" w:lineRule="auto"/>
        <w:rPr>
          <w:rFonts w:ascii="Calibri" w:eastAsia="EB Garamond" w:hAnsi="Calibri" w:cs="Calibri"/>
          <w:b/>
          <w:bCs/>
        </w:rPr>
      </w:pPr>
      <w:r w:rsidRPr="00E86AC0">
        <w:rPr>
          <w:rFonts w:ascii="Calibri" w:eastAsia="EB Garamond" w:hAnsi="Calibri" w:cs="Calibri"/>
        </w:rPr>
        <w:t xml:space="preserve">1. </w:t>
      </w:r>
      <w:r w:rsidRPr="00E86AC0">
        <w:rPr>
          <w:rFonts w:ascii="Calibri" w:eastAsia="EB Garamond" w:hAnsi="Calibri" w:cs="Calibri"/>
          <w:b/>
          <w:bCs/>
        </w:rPr>
        <w:t>The research exposes distributional consequences of AI adoption that should concern any government committed to breaking barriers to opportunity.</w:t>
      </w:r>
    </w:p>
    <w:p w:rsidR="00BC4763" w:rsidRPr="00E86AC0">
      <w:pPr>
        <w:spacing w:after="160" w:line="320" w:lineRule="auto"/>
        <w:rPr>
          <w:rFonts w:ascii="Calibri" w:eastAsia="EB Garamond" w:hAnsi="Calibri" w:cs="Calibri"/>
        </w:rPr>
      </w:pPr>
      <w:r w:rsidRPr="00E86AC0">
        <w:rPr>
          <w:rFonts w:ascii="Calibri" w:eastAsia="EB Garamond" w:hAnsi="Calibri" w:cs="Calibri"/>
        </w:rPr>
        <w:t xml:space="preserve">2. </w:t>
      </w:r>
      <w:r w:rsidRPr="00E86AC0">
        <w:rPr>
          <w:rFonts w:ascii="Calibri" w:eastAsia="EB Garamond" w:hAnsi="Calibri" w:cs="Calibri"/>
          <w:u w:val="single"/>
        </w:rPr>
        <w:t>Disabled students report that AI is the most effective cognitive support they have encountered – more useful, in their experience, than any formal university adjustment</w:t>
      </w:r>
      <w:r w:rsidRPr="00E86AC0">
        <w:rPr>
          <w:rFonts w:ascii="Calibri" w:eastAsia="EB Garamond" w:hAnsi="Calibri" w:cs="Calibri"/>
        </w:rPr>
        <w:t>. Students with dyslexia, ADHD, and related conditions describe AI as providing the kind of structured, immediate, non-judgmental support that Disabled Students’ Allowance and institutional adjustments have failed to deliver consistently.</w:t>
      </w:r>
      <w:r w:rsidRPr="00E86AC0">
        <w:rPr>
          <w:rFonts w:ascii="Calibri" w:eastAsia="EB Garamond" w:hAnsi="Calibri" w:cs="Calibri"/>
          <w:u w:val="single"/>
        </w:rPr>
        <w:t xml:space="preserve"> Blanket AI restrictions risk removing this support in the name of academic integrity, in a context where </w:t>
      </w:r>
      <w:r w:rsidRPr="00E86AC0">
        <w:rPr>
          <w:rFonts w:ascii="Calibri" w:eastAsia="EB Garamond" w:hAnsi="Calibri" w:cs="Calibri"/>
          <w:u w:val="single"/>
        </w:rPr>
        <w:t>the formal system has demonstrably underperformed.</w:t>
      </w:r>
      <w:r w:rsidRPr="00E86AC0">
        <w:rPr>
          <w:rFonts w:ascii="Calibri" w:eastAsia="EB Garamond" w:hAnsi="Calibri" w:cs="Calibri"/>
        </w:rPr>
        <w:t xml:space="preserve"> The Committee’s terms of reference rightly ask about the specific needs of children with SEND and vulnerable groups. In higher education, this question is urgent: AI misconduct frameworks are not disability-neutral in their effect.</w:t>
      </w:r>
    </w:p>
    <w:p w:rsidR="00BC4763" w:rsidRPr="00E86AC0">
      <w:pPr>
        <w:spacing w:after="160" w:line="320" w:lineRule="auto"/>
        <w:rPr>
          <w:rFonts w:ascii="Calibri" w:eastAsia="EB Garamond" w:hAnsi="Calibri" w:cs="Calibri"/>
          <w:u w:val="single"/>
        </w:rPr>
      </w:pPr>
      <w:r w:rsidRPr="00E86AC0">
        <w:rPr>
          <w:rFonts w:ascii="Calibri" w:eastAsia="EB Garamond" w:hAnsi="Calibri" w:cs="Calibri"/>
        </w:rPr>
        <w:t xml:space="preserve">3. </w:t>
      </w:r>
      <w:r w:rsidRPr="00E86AC0">
        <w:rPr>
          <w:rFonts w:ascii="Calibri" w:eastAsia="EB Garamond" w:hAnsi="Calibri" w:cs="Calibri"/>
          <w:b/>
          <w:bCs/>
        </w:rPr>
        <w:t>The gender gap in AI use is the largest demographic difference in the dataset – more than 20 percentage points – and does not disappear when controlling for other factors.</w:t>
      </w:r>
      <w:r w:rsidRPr="00E86AC0">
        <w:rPr>
          <w:rFonts w:ascii="Calibri" w:eastAsia="EB Garamond" w:hAnsi="Calibri" w:cs="Calibri"/>
        </w:rPr>
        <w:t xml:space="preserve"> Among non-users who worry about competitive disadvantage from others’ AI use, 74 per cent are women. </w:t>
      </w:r>
      <w:r w:rsidRPr="00E86AC0">
        <w:rPr>
          <w:rFonts w:ascii="Calibri" w:eastAsia="EB Garamond" w:hAnsi="Calibri" w:cs="Calibri"/>
          <w:u w:val="single"/>
        </w:rPr>
        <w:t>Women are carrying the psychological costs of an AI-saturated assessment environment without using the tools themselves. No institutional AI policy examined in the research addresses this.</w:t>
      </w:r>
    </w:p>
    <w:p w:rsidR="00BC4763" w:rsidRPr="00E86AC0">
      <w:pPr>
        <w:spacing w:after="160" w:line="320" w:lineRule="auto"/>
        <w:rPr>
          <w:rFonts w:ascii="Calibri" w:eastAsia="EB Garamond" w:hAnsi="Calibri" w:cs="Calibri"/>
        </w:rPr>
      </w:pPr>
      <w:r w:rsidRPr="00E86AC0">
        <w:rPr>
          <w:rFonts w:ascii="Calibri" w:eastAsia="EB Garamond" w:hAnsi="Calibri" w:cs="Calibri"/>
        </w:rPr>
        <w:t xml:space="preserve">4. </w:t>
      </w:r>
      <w:r w:rsidRPr="00E86AC0">
        <w:rPr>
          <w:rFonts w:ascii="Calibri" w:eastAsia="EB Garamond" w:hAnsi="Calibri" w:cs="Calibri"/>
          <w:u w:val="single"/>
        </w:rPr>
        <w:t>Students managing paid work and caring responsibilities describe AI as the most efficient tool available for work they cannot bring themselves to engage with deeply.</w:t>
      </w:r>
      <w:r w:rsidRPr="00E86AC0">
        <w:rPr>
          <w:rFonts w:ascii="Calibri" w:eastAsia="EB Garamond" w:hAnsi="Calibri" w:cs="Calibri"/>
        </w:rPr>
        <w:t xml:space="preserve"> </w:t>
      </w:r>
      <w:r w:rsidRPr="00E86AC0">
        <w:rPr>
          <w:rFonts w:ascii="Calibri" w:eastAsia="EB Garamond" w:hAnsi="Calibri" w:cs="Calibri"/>
          <w:b/>
          <w:bCs/>
        </w:rPr>
        <w:t>Where AI tools are expected or encouraged, the quality gap between paid and free tools is becoming a new socioeconomic axis of inequality.</w:t>
      </w:r>
      <w:r w:rsidRPr="00E86AC0">
        <w:rPr>
          <w:rFonts w:ascii="Calibri" w:eastAsia="EB Garamond" w:hAnsi="Calibri" w:cs="Calibri"/>
        </w:rPr>
        <w:t xml:space="preserve"> The Committee should consider whether the government has a </w:t>
      </w:r>
      <w:r w:rsidRPr="00E86AC0">
        <w:rPr>
          <w:rFonts w:ascii="Calibri" w:eastAsia="EB Garamond" w:hAnsi="Calibri" w:cs="Calibri"/>
        </w:rPr>
        <w:t>responsibility to ensure equitable access to AI tools for students – and whether failing to do so risks widening, rather than narrowing, existing pa</w:t>
      </w:r>
      <w:r w:rsidRPr="00E86AC0">
        <w:rPr>
          <w:rFonts w:ascii="Calibri" w:eastAsia="EB Garamond" w:hAnsi="Calibri" w:cs="Calibri"/>
        </w:rPr>
        <w:t>rticipation gaps.</w:t>
      </w:r>
    </w:p>
    <w:p w:rsidR="00BC4763" w:rsidRPr="00E86AC0">
      <w:pPr>
        <w:spacing w:after="160" w:line="320" w:lineRule="auto"/>
        <w:rPr>
          <w:rFonts w:ascii="Calibri" w:eastAsia="EB Garamond" w:hAnsi="Calibri" w:cs="Calibri"/>
        </w:rPr>
      </w:pPr>
      <w:r w:rsidRPr="00E86AC0">
        <w:rPr>
          <w:rFonts w:ascii="Calibri" w:eastAsia="EB Garamond" w:hAnsi="Calibri" w:cs="Calibri"/>
        </w:rPr>
        <w:t xml:space="preserve">5. </w:t>
      </w:r>
      <w:r w:rsidRPr="00E86AC0">
        <w:rPr>
          <w:rFonts w:ascii="Calibri" w:eastAsia="EB Garamond" w:hAnsi="Calibri" w:cs="Calibri"/>
          <w:b/>
          <w:bCs/>
        </w:rPr>
        <w:t xml:space="preserve">The costs of unclear AI policy fall hardest on the most conscientious students. </w:t>
      </w:r>
      <w:r w:rsidRPr="00E86AC0">
        <w:rPr>
          <w:rFonts w:ascii="Calibri" w:eastAsia="EB Garamond" w:hAnsi="Calibri" w:cs="Calibri"/>
        </w:rPr>
        <w:t>The research documents cases where students received lower grades specifically because they cautiously avoided tools they could not confirm were permitted, while more risk-tolerant peers used AI without consequence. AI misconduct frameworks, as currently implemented, function as a mechanism that penalises honest engagement and rewards strategic opacity. This is a distributional justice failure that the Committee should address.</w:t>
      </w:r>
    </w:p>
    <w:p w:rsidR="00BC4763" w:rsidRPr="00E86AC0">
      <w:pPr>
        <w:pStyle w:val="Heading2"/>
        <w:rPr>
          <w:rFonts w:ascii="Calibri" w:eastAsia="EB Garamond" w:hAnsi="Calibri" w:cs="Calibri"/>
          <w:sz w:val="22"/>
          <w:szCs w:val="22"/>
        </w:rPr>
      </w:pPr>
      <w:r w:rsidRPr="00E86AC0">
        <w:rPr>
          <w:rFonts w:ascii="Calibri" w:eastAsia="EB Garamond" w:hAnsi="Calibri" w:cs="Calibri"/>
          <w:sz w:val="22"/>
          <w:szCs w:val="22"/>
        </w:rPr>
        <w:t>This cannot be fixed institution by institution</w:t>
      </w:r>
    </w:p>
    <w:p w:rsidR="00BC4763" w:rsidRPr="00E86AC0">
      <w:pPr>
        <w:spacing w:after="160" w:line="320" w:lineRule="auto"/>
        <w:rPr>
          <w:rFonts w:ascii="Calibri" w:eastAsia="EB Garamond" w:hAnsi="Calibri" w:cs="Calibri"/>
          <w:b/>
          <w:bCs/>
        </w:rPr>
      </w:pPr>
      <w:r w:rsidRPr="00E86AC0">
        <w:rPr>
          <w:rFonts w:ascii="Calibri" w:eastAsia="EB Garamond" w:hAnsi="Calibri" w:cs="Calibri"/>
        </w:rPr>
        <w:t xml:space="preserve">1. The Committee’s terms of reference ask whether the government has an appropriately well-defined framework for steering and regulating AI in education. In higher education, the honest answer is that it does not – and that </w:t>
      </w:r>
      <w:r w:rsidRPr="00E86AC0">
        <w:rPr>
          <w:rFonts w:ascii="Calibri" w:eastAsia="EB Garamond" w:hAnsi="Calibri" w:cs="Calibri"/>
          <w:b/>
          <w:bCs/>
        </w:rPr>
        <w:t>the framework it needs is not primarily about AI.</w:t>
      </w:r>
    </w:p>
    <w:p w:rsidR="00BC4763" w:rsidRPr="00E86AC0">
      <w:pPr>
        <w:spacing w:after="160" w:line="320" w:lineRule="auto"/>
        <w:rPr>
          <w:rFonts w:ascii="Calibri" w:eastAsia="EB Garamond" w:hAnsi="Calibri" w:cs="Calibri"/>
          <w:u w:val="single"/>
        </w:rPr>
      </w:pPr>
      <w:r w:rsidRPr="00E86AC0">
        <w:rPr>
          <w:rFonts w:ascii="Calibri" w:eastAsia="EB Garamond" w:hAnsi="Calibri" w:cs="Calibri"/>
        </w:rPr>
        <w:t>2. The competitive dynamics of the current English higher education settlement mean that no individual institution can unilaterally invest in labour-intensive, accountability-bearing assessment methods – vivas, staged portfolios, supervised practicals, oral examinations – without putting itself at a cost disadvantage relative to competitors who continue to assess by coursework and rubric. The research finds that oral examinations have the strongest positive correlation with career confidence, while placemen</w:t>
      </w:r>
      <w:r w:rsidRPr="00E86AC0">
        <w:rPr>
          <w:rFonts w:ascii="Calibri" w:eastAsia="EB Garamond" w:hAnsi="Calibri" w:cs="Calibri"/>
        </w:rPr>
        <w:t xml:space="preserve">t-based outputs are among the weakest. Yet </w:t>
      </w:r>
      <w:r w:rsidRPr="00E86AC0">
        <w:rPr>
          <w:rFonts w:ascii="Calibri" w:eastAsia="EB Garamond" w:hAnsi="Calibri" w:cs="Calibri"/>
          <w:u w:val="single"/>
        </w:rPr>
        <w:t>the assessment methods that work require significantly more staff time per student, at a moment when real-terms funding per student has been declining for over a decade.</w:t>
      </w:r>
    </w:p>
    <w:p w:rsidR="00BC4763" w:rsidRPr="00E86AC0">
      <w:pPr>
        <w:spacing w:after="160" w:line="320" w:lineRule="auto"/>
        <w:rPr>
          <w:rFonts w:ascii="Calibri" w:eastAsia="EB Garamond" w:hAnsi="Calibri" w:cs="Calibri"/>
        </w:rPr>
      </w:pPr>
      <w:r w:rsidRPr="00E86AC0">
        <w:rPr>
          <w:rFonts w:ascii="Calibri" w:eastAsia="EB Garamond" w:hAnsi="Calibri" w:cs="Calibri"/>
        </w:rPr>
        <w:t xml:space="preserve">3. </w:t>
      </w:r>
      <w:r w:rsidRPr="00E86AC0">
        <w:rPr>
          <w:rFonts w:ascii="Calibri" w:eastAsia="EB Garamond" w:hAnsi="Calibri" w:cs="Calibri"/>
          <w:b/>
          <w:bCs/>
        </w:rPr>
        <w:t xml:space="preserve">The sector will not converge on good practice through voluntary action, sector-led guidance, or regulatory request. </w:t>
      </w:r>
      <w:r w:rsidRPr="00E86AC0">
        <w:rPr>
          <w:rFonts w:ascii="Calibri" w:eastAsia="EB Garamond" w:hAnsi="Calibri" w:cs="Calibri"/>
        </w:rPr>
        <w:t xml:space="preserve">The Post-18 Project submits that the </w:t>
      </w:r>
      <w:r w:rsidRPr="00E86AC0">
        <w:rPr>
          <w:rFonts w:ascii="Calibri" w:eastAsia="EB Garamond" w:hAnsi="Calibri" w:cs="Calibri"/>
        </w:rPr>
        <w:t>regulator  needs</w:t>
      </w:r>
      <w:r w:rsidRPr="00E86AC0">
        <w:rPr>
          <w:rFonts w:ascii="Calibri" w:eastAsia="EB Garamond" w:hAnsi="Calibri" w:cs="Calibri"/>
        </w:rPr>
        <w:t xml:space="preserve"> to set national expectations – through the conditions of registration, through the Office for Students quality framework, and through funded mandates – that make genuine verification of student understanding a non-negotiable feature of every higher </w:t>
      </w:r>
      <w:r w:rsidRPr="00E86AC0">
        <w:rPr>
          <w:rFonts w:ascii="Calibri" w:eastAsia="EB Garamond" w:hAnsi="Calibri" w:cs="Calibri"/>
        </w:rPr>
        <w:t>education  programme</w:t>
      </w:r>
      <w:r w:rsidRPr="00E86AC0">
        <w:rPr>
          <w:rFonts w:ascii="Calibri" w:eastAsia="EB Garamond" w:hAnsi="Calibri" w:cs="Calibri"/>
        </w:rPr>
        <w:t>. This is a system-design problem that requires a system-level, governmen</w:t>
      </w:r>
      <w:r w:rsidRPr="00E86AC0">
        <w:rPr>
          <w:rFonts w:ascii="Calibri" w:eastAsia="EB Garamond" w:hAnsi="Calibri" w:cs="Calibri"/>
        </w:rPr>
        <w:t>t-directed response.</w:t>
      </w:r>
    </w:p>
    <w:p w:rsidR="00BC4763" w:rsidRPr="00E86AC0">
      <w:pPr>
        <w:spacing w:after="160" w:line="320" w:lineRule="auto"/>
        <w:rPr>
          <w:rFonts w:ascii="Calibri" w:eastAsia="EB Garamond" w:hAnsi="Calibri" w:cs="Calibri"/>
        </w:rPr>
      </w:pPr>
      <w:r w:rsidRPr="00E86AC0">
        <w:rPr>
          <w:rFonts w:ascii="Calibri" w:eastAsia="EB Garamond" w:hAnsi="Calibri" w:cs="Calibri"/>
        </w:rPr>
        <w:t xml:space="preserve">4. The research also finds that belonging is one of the most powerful negative correlates of disengaged AI use. </w:t>
      </w:r>
      <w:r w:rsidRPr="00E86AC0">
        <w:rPr>
          <w:rFonts w:ascii="Calibri" w:eastAsia="EB Garamond" w:hAnsi="Calibri" w:cs="Calibri"/>
          <w:b/>
          <w:bCs/>
        </w:rPr>
        <w:t xml:space="preserve">Students with stronger belonging to their institution and programme are markedly less likely to use AI as a substitute for engagement. </w:t>
      </w:r>
      <w:r w:rsidRPr="00E86AC0">
        <w:rPr>
          <w:rFonts w:ascii="Calibri" w:eastAsia="EB Garamond" w:hAnsi="Calibri" w:cs="Calibri"/>
        </w:rPr>
        <w:t>This reinforces the structural argument: the conditions that make AI a learning tool rather than a production tool – meaningful assessment, genuine choice, adequate support, a sense of community – are the same conditions that require resourcing, staffing, and deliberate institutional design. They cannot be achieved by technology policy alone.</w:t>
      </w:r>
    </w:p>
    <w:p w:rsidR="00BC4763" w:rsidRPr="00E86AC0">
      <w:pPr>
        <w:pStyle w:val="Heading2"/>
        <w:rPr>
          <w:rFonts w:ascii="Calibri" w:eastAsia="EB Garamond" w:hAnsi="Calibri" w:cs="Calibri"/>
          <w:sz w:val="22"/>
          <w:szCs w:val="22"/>
        </w:rPr>
      </w:pPr>
    </w:p>
    <w:p w:rsidR="00BC4763" w:rsidRPr="00E86AC0">
      <w:pPr>
        <w:pStyle w:val="Heading2"/>
        <w:rPr>
          <w:rFonts w:ascii="Calibri" w:eastAsia="EB Garamond" w:hAnsi="Calibri" w:cs="Calibri"/>
          <w:sz w:val="22"/>
          <w:szCs w:val="22"/>
        </w:rPr>
      </w:pPr>
      <w:r w:rsidRPr="00E86AC0">
        <w:rPr>
          <w:rFonts w:ascii="Calibri" w:eastAsia="EB Garamond" w:hAnsi="Calibri" w:cs="Calibri"/>
          <w:sz w:val="22"/>
          <w:szCs w:val="22"/>
        </w:rPr>
        <w:t>Conclusion and recommendations</w:t>
      </w:r>
    </w:p>
    <w:p w:rsidR="00BC4763" w:rsidRPr="00E86AC0">
      <w:pPr>
        <w:spacing w:after="160" w:line="320" w:lineRule="auto"/>
        <w:rPr>
          <w:rFonts w:ascii="Calibri" w:eastAsia="EB Garamond" w:hAnsi="Calibri" w:cs="Calibri"/>
        </w:rPr>
      </w:pPr>
      <w:r w:rsidRPr="00E86AC0">
        <w:rPr>
          <w:rFonts w:ascii="Calibri" w:eastAsia="EB Garamond" w:hAnsi="Calibri" w:cs="Calibri"/>
        </w:rPr>
        <w:t>1. The Post-18 Project submits that the Committee should consider the following recommendations in relation to higher education:</w:t>
      </w:r>
    </w:p>
    <w:p w:rsidR="00BC4763" w:rsidRPr="00E86AC0">
      <w:pPr>
        <w:numPr>
          <w:ilvl w:val="0"/>
          <w:numId w:val="1"/>
        </w:numPr>
        <w:pBdr>
          <w:top w:val="nil"/>
          <w:left w:val="nil"/>
          <w:bottom w:val="nil"/>
          <w:right w:val="nil"/>
          <w:between w:val="nil"/>
        </w:pBdr>
        <w:spacing w:after="160" w:line="320" w:lineRule="auto"/>
        <w:rPr>
          <w:rFonts w:ascii="Calibri" w:eastAsia="EB Garamond" w:hAnsi="Calibri" w:cs="Calibri"/>
        </w:rPr>
      </w:pPr>
      <w:r w:rsidRPr="00E86AC0">
        <w:rPr>
          <w:rFonts w:ascii="Calibri" w:eastAsia="EB Garamond" w:hAnsi="Calibri" w:cs="Calibri"/>
        </w:rPr>
        <w:t xml:space="preserve">The regulator should set national expectations, enforced through the conditions of registration, requiring all degree programmes to include assessment methods at which students must personally demonstrate understanding. </w:t>
      </w:r>
      <w:r w:rsidRPr="00E86AC0">
        <w:rPr>
          <w:rFonts w:ascii="Calibri" w:eastAsia="EB Garamond" w:hAnsi="Calibri" w:cs="Calibri"/>
          <w:b/>
          <w:bCs/>
        </w:rPr>
        <w:t>Detection-based and declaration-based AI policies have failed and should not form the basis of the regulatory response</w:t>
      </w:r>
      <w:r w:rsidRPr="00E86AC0">
        <w:rPr>
          <w:rFonts w:ascii="Calibri" w:eastAsia="EB Garamond" w:hAnsi="Calibri" w:cs="Calibri"/>
        </w:rPr>
        <w:t>.</w:t>
      </w:r>
    </w:p>
    <w:p w:rsidR="00BC4763" w:rsidRPr="00E86AC0">
      <w:pPr>
        <w:numPr>
          <w:ilvl w:val="0"/>
          <w:numId w:val="1"/>
        </w:numPr>
        <w:pBdr>
          <w:top w:val="nil"/>
          <w:left w:val="nil"/>
          <w:bottom w:val="nil"/>
          <w:right w:val="nil"/>
          <w:between w:val="nil"/>
        </w:pBdr>
        <w:spacing w:after="160" w:line="320" w:lineRule="auto"/>
        <w:rPr>
          <w:rFonts w:ascii="Calibri" w:eastAsia="EB Garamond" w:hAnsi="Calibri" w:cs="Calibri"/>
        </w:rPr>
      </w:pPr>
      <w:r w:rsidRPr="00E86AC0">
        <w:rPr>
          <w:rFonts w:ascii="Calibri" w:eastAsia="EB Garamond" w:hAnsi="Calibri" w:cs="Calibri"/>
        </w:rPr>
        <w:t>The regulator should require institutions to demonstrate, as a condition of quality, that they have addressed the institutional conditions – including feedback timing, assessment clarity, disability support, and module choice – that the evidence identifies as structural drivers of disengaged AI use, before they are permitted to restrict students’ use of AI tools.</w:t>
      </w:r>
    </w:p>
    <w:p w:rsidR="00BC4763" w:rsidRPr="00E86AC0">
      <w:pPr>
        <w:numPr>
          <w:ilvl w:val="0"/>
          <w:numId w:val="1"/>
        </w:numPr>
        <w:pBdr>
          <w:top w:val="nil"/>
          <w:left w:val="nil"/>
          <w:bottom w:val="nil"/>
          <w:right w:val="nil"/>
          <w:between w:val="nil"/>
        </w:pBdr>
        <w:spacing w:after="160" w:line="320" w:lineRule="auto"/>
        <w:rPr>
          <w:rFonts w:ascii="Calibri" w:eastAsia="EB Garamond" w:hAnsi="Calibri" w:cs="Calibri"/>
        </w:rPr>
      </w:pPr>
      <w:r w:rsidRPr="00E86AC0">
        <w:rPr>
          <w:rFonts w:ascii="Calibri" w:eastAsia="EB Garamond" w:hAnsi="Calibri" w:cs="Calibri"/>
        </w:rPr>
        <w:t>The government should commission work on equitable access to AI tools for students, recognising that the quality gap between free and paid AI tools is becoming a new axis of socioeconomic inequality in higher education.</w:t>
      </w:r>
    </w:p>
    <w:p w:rsidR="00BC4763" w:rsidRPr="00E86AC0">
      <w:pPr>
        <w:numPr>
          <w:ilvl w:val="0"/>
          <w:numId w:val="1"/>
        </w:numPr>
        <w:pBdr>
          <w:top w:val="nil"/>
          <w:left w:val="nil"/>
          <w:bottom w:val="nil"/>
          <w:right w:val="nil"/>
          <w:between w:val="nil"/>
        </w:pBdr>
        <w:spacing w:after="160" w:line="320" w:lineRule="auto"/>
        <w:rPr>
          <w:rFonts w:ascii="Calibri" w:eastAsia="EB Garamond" w:hAnsi="Calibri" w:cs="Calibri"/>
        </w:rPr>
      </w:pPr>
      <w:r w:rsidRPr="00E86AC0">
        <w:rPr>
          <w:rFonts w:ascii="Calibri" w:eastAsia="EB Garamond" w:hAnsi="Calibri" w:cs="Calibri"/>
        </w:rPr>
        <w:t>The Office for Students should review whether current AI misconduct frameworks are disability-neutral in their effect, and issue guidance to prevent blanket AI restrictions from removing cognitive support that disabled students rely on.</w:t>
      </w:r>
    </w:p>
    <w:p w:rsidR="00BC4763" w:rsidRPr="00E86AC0">
      <w:pPr>
        <w:numPr>
          <w:ilvl w:val="0"/>
          <w:numId w:val="1"/>
        </w:numPr>
        <w:pBdr>
          <w:top w:val="nil"/>
          <w:left w:val="nil"/>
          <w:bottom w:val="nil"/>
          <w:right w:val="nil"/>
          <w:between w:val="nil"/>
        </w:pBdr>
        <w:spacing w:after="160" w:line="320" w:lineRule="auto"/>
        <w:rPr>
          <w:rFonts w:ascii="Calibri" w:eastAsia="EB Garamond" w:hAnsi="Calibri" w:cs="Calibri"/>
        </w:rPr>
      </w:pPr>
      <w:r w:rsidRPr="00E86AC0">
        <w:rPr>
          <w:rFonts w:ascii="Calibri" w:eastAsia="EB Garamond" w:hAnsi="Calibri" w:cs="Calibri"/>
        </w:rPr>
        <w:t>The Curriculum and Assessment Review should be extended or supplemented with focused work on post-18 assessment design, which was not addressed in the current review.</w:t>
      </w:r>
    </w:p>
    <w:p w:rsidR="00BC4763" w:rsidRPr="00E86AC0">
      <w:pPr>
        <w:spacing w:after="160" w:line="320" w:lineRule="auto"/>
        <w:rPr>
          <w:rFonts w:ascii="Calibri" w:eastAsia="EB Garamond" w:hAnsi="Calibri" w:cs="Calibri"/>
        </w:rPr>
      </w:pPr>
    </w:p>
    <w:p w:rsidR="00BC4763" w:rsidRPr="00E86AC0">
      <w:pPr>
        <w:spacing w:after="160" w:line="320" w:lineRule="auto"/>
        <w:rPr>
          <w:rFonts w:ascii="Calibri" w:eastAsia="EB Garamond" w:hAnsi="Calibri" w:cs="Calibri"/>
        </w:rPr>
      </w:pPr>
      <w:r w:rsidRPr="00E86AC0">
        <w:rPr>
          <w:rFonts w:ascii="Calibri" w:eastAsia="EB Garamond" w:hAnsi="Calibri" w:cs="Calibri"/>
        </w:rPr>
        <w:t>2. The Post-18 Project is happy to provide oral evidence to the Committee and to brief members on the research cited in this submission in further detail.</w:t>
      </w:r>
    </w:p>
    <w:p w:rsidR="00BC4763" w:rsidRPr="00E86AC0">
      <w:pPr>
        <w:pBdr>
          <w:top w:val="single" w:sz="4" w:space="8" w:color="E05206"/>
        </w:pBdr>
        <w:spacing w:before="400" w:after="200"/>
        <w:rPr>
          <w:rFonts w:ascii="Calibri" w:eastAsia="EB Garamond" w:hAnsi="Calibri" w:cs="Calibri"/>
          <w:i/>
          <w:iCs/>
        </w:rPr>
      </w:pPr>
      <w:r w:rsidRPr="00E86AC0">
        <w:rPr>
          <w:rFonts w:ascii="Calibri" w:eastAsia="EB Garamond" w:hAnsi="Calibri" w:cs="Calibri"/>
          <w:i/>
          <w:iCs/>
        </w:rPr>
        <w:t>May 2026</w:t>
      </w:r>
    </w:p>
    <w:sectPr>
      <w:headerReference w:type="even" r:id="rId4"/>
      <w:headerReference w:type="default" r:id="rId5"/>
      <w:footerReference w:type="even" r:id="rId6"/>
      <w:footerReference w:type="default" r:id="rId7"/>
      <w:headerReference w:type="first" r:id="rId8"/>
      <w:footerReference w:type="first" r:id="rId9"/>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Ultra">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37065693-AAC3-495E-AA04-256654785392}"/>
  </w:font>
  <w:font w:name="Calibri">
    <w:panose1 w:val="020F0502020204030204"/>
    <w:charset w:val="00"/>
    <w:family w:val="swiss"/>
    <w:pitch w:val="variable"/>
    <w:sig w:usb0="E4002EFF" w:usb1="C200247B" w:usb2="00000009" w:usb3="00000000" w:csb0="000001FF" w:csb1="00000000"/>
    <w:embedRegular r:id="rId2" w:fontKey="{A0874CB5-B14D-4F44-8EE1-BAE2CC56712E}"/>
    <w:embedBold r:id="rId3" w:fontKey="{3731AAEA-C7C0-4898-868F-64E1E0D72E7D}"/>
    <w:embedItalic r:id="rId4" w:fontKey="{E822B89C-B038-40E4-B03A-A463BA84DD01}"/>
  </w:font>
  <w:font w:name="EB Garamond">
    <w:charset w:val="00"/>
    <w:family w:val="auto"/>
    <w:pitch w:val="variable"/>
    <w:sig w:usb0="E00002FF" w:usb1="02000413" w:usb2="00000000" w:usb3="00000000" w:csb0="0000019F" w:csb1="00000000"/>
    <w:embedRegular r:id="rId5" w:fontKey="{256EAB74-2280-48D8-B93F-32B38703E9CB}"/>
    <w:embedBold r:id="rId6" w:fontKey="{2C74C5BD-C153-4CD5-8EA4-96F3D21C1F94}"/>
    <w:embedItalic r:id="rId7" w:fontKey="{B3B49735-4D01-46CF-AD95-8D1FF8931DB2}"/>
  </w:font>
  <w:font w:name="Aptos">
    <w:charset w:val="00"/>
    <w:family w:val="swiss"/>
    <w:pitch w:val="variable"/>
    <w:sig w:usb0="20000287" w:usb1="00000003" w:usb2="00000000" w:usb3="00000000" w:csb0="0000019F" w:csb1="00000000"/>
    <w:embedRegular r:id="rId8" w:fontKey="{91AD136D-BCFD-4030-ADFD-55C9569F11EA}"/>
    <w:embedBold r:id="rId9" w:fontKey="{CA3401DE-69CA-4AD2-A039-DB81350D2EF5}"/>
  </w:font>
  <w:font w:name="Cambria">
    <w:panose1 w:val="02040503050406030204"/>
    <w:charset w:val="00"/>
    <w:family w:val="roman"/>
    <w:pitch w:val="variable"/>
    <w:sig w:usb0="E00006FF" w:usb1="420024FF" w:usb2="02000000" w:usb3="00000000" w:csb0="0000019F" w:csb1="00000000"/>
    <w:embedRegular r:id="rId10" w:fontKey="{4A0A4287-460D-4459-B56A-496D23B6869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76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76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763">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7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76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7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9830B98"/>
    <w:multiLevelType w:val="multilevel"/>
    <w:tmpl w:val="014E4846"/>
    <w:lvl w:ilvl="0">
      <w:start w:val="1"/>
      <w:numFmt w:val="lowerLetter"/>
      <w:lvlText w:val="(%1)"/>
      <w:lvlJc w:val="left"/>
      <w:pPr>
        <w:ind w:left="720" w:hanging="360"/>
      </w:pPr>
    </w:lvl>
    <w:lvl w:ilvl="1">
      <w:start w:val="1"/>
      <w:numFmt w:val="bullet"/>
      <w:lvlJc w:val="left"/>
      <w:pPr>
        <w:ind w:left="0" w:firstLine="0"/>
      </w:pPr>
    </w:lvl>
    <w:lvl w:ilvl="2">
      <w:start w:val="1"/>
      <w:numFmt w:val="bullet"/>
      <w:lvlJc w:val="left"/>
      <w:pPr>
        <w:ind w:left="0" w:firstLine="0"/>
      </w:pPr>
    </w:lvl>
    <w:lvl w:ilvl="3">
      <w:start w:val="1"/>
      <w:numFmt w:val="bullet"/>
      <w:lvlJc w:val="left"/>
      <w:pPr>
        <w:ind w:left="0" w:firstLine="0"/>
      </w:pPr>
    </w:lvl>
    <w:lvl w:ilvl="4">
      <w:start w:val="1"/>
      <w:numFmt w:val="bullet"/>
      <w:lvlJc w:val="left"/>
      <w:pPr>
        <w:ind w:left="0" w:firstLine="0"/>
      </w:pPr>
    </w:lvl>
    <w:lvl w:ilvl="5">
      <w:start w:val="1"/>
      <w:numFmt w:val="bullet"/>
      <w:lvlJc w:val="left"/>
      <w:pPr>
        <w:ind w:left="0" w:firstLine="0"/>
      </w:pPr>
    </w:lvl>
    <w:lvl w:ilvl="6">
      <w:start w:val="1"/>
      <w:numFmt w:val="bullet"/>
      <w:lvlJc w:val="left"/>
      <w:pPr>
        <w:ind w:left="0" w:firstLine="0"/>
      </w:pPr>
    </w:lvl>
    <w:lvl w:ilvl="7">
      <w:start w:val="1"/>
      <w:numFmt w:val="bullet"/>
      <w:lvlJc w:val="left"/>
      <w:pPr>
        <w:ind w:left="0" w:firstLine="0"/>
      </w:pPr>
    </w:lvl>
    <w:lvl w:ilvl="8">
      <w:start w:val="1"/>
      <w:numFmt w:val="bullet"/>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Ultra" w:eastAsia="Ultra" w:hAnsi="Ultra" w:cs="Ultra"/>
        <w:color w:val="0E142C"/>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360" w:after="200"/>
      <w:outlineLvl w:val="0"/>
    </w:pPr>
    <w:rPr>
      <w:b/>
      <w:bCs/>
      <w:color w:val="E05206"/>
      <w:sz w:val="36"/>
      <w:szCs w:val="36"/>
    </w:rPr>
  </w:style>
  <w:style w:type="paragraph" w:styleId="Heading2">
    <w:name w:val="heading 2"/>
    <w:basedOn w:val="Normal"/>
    <w:next w:val="Normal"/>
    <w:uiPriority w:val="9"/>
    <w:unhideWhenUsed/>
    <w:qFormat/>
    <w:pPr>
      <w:pBdr>
        <w:top w:val="nil"/>
        <w:left w:val="nil"/>
        <w:bottom w:val="nil"/>
        <w:right w:val="nil"/>
        <w:between w:val="nil"/>
      </w:pBdr>
      <w:spacing w:before="300" w:after="160"/>
      <w:outlineLvl w:val="1"/>
    </w:pPr>
    <w:rPr>
      <w:b/>
      <w:bCs/>
      <w:color w:val="E05206"/>
      <w:sz w:val="28"/>
      <w:szCs w:val="28"/>
    </w:rPr>
  </w:style>
  <w:style w:type="paragraph" w:styleId="Heading3">
    <w:name w:val="heading 3"/>
    <w:basedOn w:val="Normal"/>
    <w:next w:val="Normal"/>
    <w:uiPriority w:val="9"/>
    <w:semiHidden/>
    <w:unhideWhenUsed/>
    <w:qFormat/>
    <w:pPr>
      <w:pBdr>
        <w:top w:val="nil"/>
        <w:left w:val="nil"/>
        <w:bottom w:val="nil"/>
        <w:right w:val="nil"/>
        <w:between w:val="nil"/>
      </w:pBdr>
      <w:spacing w:before="240" w:after="120"/>
      <w:outlineLvl w:val="2"/>
    </w:pPr>
    <w:rPr>
      <w:b/>
      <w:bCs/>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677556"/>
    <w:pPr>
      <w:tabs>
        <w:tab w:val="center" w:pos="4513"/>
        <w:tab w:val="right" w:pos="9026"/>
      </w:tabs>
    </w:pPr>
  </w:style>
  <w:style w:type="character" w:customStyle="1" w:styleId="HeaderChar">
    <w:name w:val="Header Char"/>
    <w:basedOn w:val="DefaultParagraphFont"/>
    <w:link w:val="Header"/>
    <w:uiPriority w:val="99"/>
    <w:rsid w:val="00677556"/>
  </w:style>
  <w:style w:type="paragraph" w:styleId="Footer">
    <w:name w:val="footer"/>
    <w:basedOn w:val="Normal"/>
    <w:link w:val="FooterChar"/>
    <w:uiPriority w:val="99"/>
    <w:unhideWhenUsed/>
    <w:rsid w:val="00677556"/>
    <w:pPr>
      <w:tabs>
        <w:tab w:val="center" w:pos="4513"/>
        <w:tab w:val="right" w:pos="9026"/>
      </w:tabs>
    </w:pPr>
  </w:style>
  <w:style w:type="character" w:customStyle="1" w:styleId="FooterChar">
    <w:name w:val="Footer Char"/>
    <w:basedOn w:val="DefaultParagraphFont"/>
    <w:link w:val="Footer"/>
    <w:uiPriority w:val="99"/>
    <w:rsid w:val="006775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AIE0129</dc:title>
  <cp:revision>0</cp:revision>
</cp:coreProperties>
</file>