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96758" w:rsidP="00904886">
      <w:pPr>
        <w:ind w:left="360" w:hanging="360"/>
        <w:jc w:val="center"/>
        <w:rPr>
          <w:b/>
          <w:bCs/>
        </w:rPr>
      </w:pPr>
      <w:r>
        <w:rPr>
          <w:b/>
          <w:bCs/>
        </w:rPr>
        <w:t xml:space="preserve">Written Evidence in Response to the </w:t>
      </w:r>
      <w:r>
        <w:rPr>
          <w:b/>
          <w:bCs/>
        </w:rPr>
        <w:t xml:space="preserve">Parliamentary </w:t>
      </w:r>
      <w:r>
        <w:rPr>
          <w:b/>
          <w:bCs/>
        </w:rPr>
        <w:t>Inquiry “</w:t>
      </w:r>
      <w:r w:rsidRPr="00904886">
        <w:rPr>
          <w:b/>
          <w:bCs/>
        </w:rPr>
        <w:t xml:space="preserve">China and the UK </w:t>
      </w:r>
      <w:r>
        <w:rPr>
          <w:b/>
          <w:bCs/>
        </w:rPr>
        <w:t>E</w:t>
      </w:r>
      <w:r w:rsidRPr="00904886">
        <w:rPr>
          <w:b/>
          <w:bCs/>
        </w:rPr>
        <w:t>conomy</w:t>
      </w:r>
      <w:r>
        <w:rPr>
          <w:b/>
          <w:bCs/>
        </w:rPr>
        <w:t>”</w:t>
      </w:r>
    </w:p>
    <w:p w:rsidR="00396758" w:rsidP="00904886">
      <w:pPr>
        <w:ind w:left="360" w:hanging="360"/>
        <w:jc w:val="both"/>
        <w:rPr>
          <w:b/>
          <w:bCs/>
        </w:rPr>
      </w:pPr>
    </w:p>
    <w:p w:rsidR="00396758" w:rsidP="00904886">
      <w:pPr>
        <w:ind w:left="360" w:hanging="360"/>
        <w:jc w:val="both"/>
        <w:rPr>
          <w:b/>
          <w:bCs/>
        </w:rPr>
      </w:pPr>
      <w:r w:rsidRPr="00904886">
        <w:rPr>
          <w:b/>
          <w:bCs/>
        </w:rPr>
        <w:t xml:space="preserve">Prof. Flora Huang, </w:t>
      </w:r>
      <w:r w:rsidRPr="00904886">
        <w:t>Professor of Law and Business, University of Derby; Central Asian Legal Research Fellow, Tashkent State University of Law, Uzbekistan</w:t>
      </w:r>
    </w:p>
    <w:p w:rsidR="00396758" w:rsidRPr="00904886" w:rsidP="00904886">
      <w:pPr>
        <w:ind w:left="360" w:hanging="360"/>
        <w:jc w:val="both"/>
        <w:rPr>
          <w:b/>
          <w:bCs/>
        </w:rPr>
      </w:pPr>
      <w:r w:rsidRPr="00904886">
        <w:rPr>
          <w:b/>
          <w:bCs/>
        </w:rPr>
        <w:t xml:space="preserve">Dr. Horace Yeung, </w:t>
      </w:r>
      <w:r w:rsidRPr="00904886">
        <w:t>Associate Professor in Commercial Law, University of Leicester; Central Asian Legal Research Fellow, Tashkent State University of Law, Uzbekistan</w:t>
      </w:r>
    </w:p>
    <w:p w:rsidR="00396758" w:rsidRPr="00904886" w:rsidP="00904886">
      <w:pPr>
        <w:ind w:left="360" w:hanging="360"/>
        <w:jc w:val="both"/>
      </w:pPr>
      <w:r w:rsidRPr="00904886">
        <w:rPr>
          <w:b/>
          <w:bCs/>
        </w:rPr>
        <w:t xml:space="preserve">Dr. </w:t>
      </w:r>
      <w:r>
        <w:rPr>
          <w:b/>
          <w:bCs/>
        </w:rPr>
        <w:t>Mark Hsiao</w:t>
      </w:r>
      <w:r w:rsidRPr="00904886">
        <w:rPr>
          <w:b/>
          <w:bCs/>
        </w:rPr>
        <w:t xml:space="preserve">, </w:t>
      </w:r>
      <w:r w:rsidRPr="00904886">
        <w:t xml:space="preserve">Associate Professor, </w:t>
      </w:r>
      <w:r>
        <w:t>School of Law, City University of Hong Kong</w:t>
      </w:r>
    </w:p>
    <w:p w:rsidR="00396758" w:rsidP="00904886">
      <w:pPr>
        <w:ind w:left="360" w:hanging="360"/>
        <w:jc w:val="both"/>
      </w:pPr>
      <w:r w:rsidRPr="00904886">
        <w:rPr>
          <w:b/>
          <w:bCs/>
        </w:rPr>
        <w:t xml:space="preserve">Dr. João Ilhão Moreira, </w:t>
      </w:r>
      <w:r w:rsidRPr="00904886">
        <w:t>Associate Professor, Faculty of Law, University of Macau</w:t>
      </w:r>
    </w:p>
    <w:p w:rsidR="00396758" w:rsidRPr="00904886" w:rsidP="00904886">
      <w:pPr>
        <w:ind w:left="360" w:hanging="360"/>
        <w:jc w:val="both"/>
        <w:rPr>
          <w:b/>
          <w:bCs/>
        </w:rPr>
      </w:pPr>
    </w:p>
    <w:p w:rsidR="00396758" w:rsidRPr="00CC4FF8" w:rsidP="000759D5">
      <w:pPr>
        <w:ind w:left="360" w:hanging="360"/>
        <w:jc w:val="both"/>
        <w:rPr>
          <w:b/>
          <w:bCs/>
        </w:rPr>
      </w:pPr>
      <w:r w:rsidRPr="00CC4FF8">
        <w:rPr>
          <w:b/>
          <w:bCs/>
        </w:rPr>
        <w:t>Executive Summary</w:t>
      </w:r>
    </w:p>
    <w:p w:rsidR="00396758" w:rsidP="000759D5">
      <w:pPr>
        <w:pStyle w:val="ListParagraph"/>
        <w:numPr>
          <w:ilvl w:val="0"/>
          <w:numId w:val="4"/>
        </w:numPr>
        <w:jc w:val="both"/>
      </w:pPr>
      <w:r w:rsidRPr="00CC4FF8">
        <w:rPr>
          <w:b/>
          <w:bCs/>
        </w:rPr>
        <w:t>Higher Education Shifts</w:t>
      </w:r>
      <w:r w:rsidRPr="00200FC1">
        <w:t>: While China remains a major source of international students for</w:t>
      </w:r>
      <w:r>
        <w:t xml:space="preserve"> </w:t>
      </w:r>
      <w:r w:rsidRPr="00200FC1">
        <w:t>the UK</w:t>
      </w:r>
      <w:r>
        <w:t xml:space="preserve">, </w:t>
      </w:r>
      <w:r w:rsidRPr="00200FC1">
        <w:t xml:space="preserve">Chinese student interest is waning due to </w:t>
      </w:r>
      <w:r>
        <w:t xml:space="preserve">(1) </w:t>
      </w:r>
      <w:r w:rsidRPr="00200FC1">
        <w:t>narrowing university ranking gaps</w:t>
      </w:r>
      <w:r>
        <w:t>;</w:t>
      </w:r>
      <w:r>
        <w:t xml:space="preserve"> (2)</w:t>
      </w:r>
      <w:r w:rsidRPr="00200FC1">
        <w:t xml:space="preserve"> the rising financial liability of studying abroad</w:t>
      </w:r>
      <w:r>
        <w:t>;</w:t>
      </w:r>
      <w:r w:rsidRPr="00200FC1">
        <w:t xml:space="preserve"> and </w:t>
      </w:r>
      <w:r>
        <w:t xml:space="preserve">(3) </w:t>
      </w:r>
      <w:r>
        <w:t>the waning value of</w:t>
      </w:r>
      <w:r w:rsidRPr="00200FC1">
        <w:t xml:space="preserve"> foreign degree</w:t>
      </w:r>
      <w:r>
        <w:t>s</w:t>
      </w:r>
      <w:r w:rsidRPr="00200FC1">
        <w:t xml:space="preserve"> </w:t>
      </w:r>
      <w:r>
        <w:t xml:space="preserve">in China. </w:t>
      </w:r>
    </w:p>
    <w:p w:rsidR="00396758" w:rsidP="000759D5">
      <w:pPr>
        <w:pStyle w:val="ListParagraph"/>
        <w:numPr>
          <w:ilvl w:val="0"/>
          <w:numId w:val="4"/>
        </w:numPr>
        <w:jc w:val="both"/>
      </w:pPr>
      <w:r w:rsidRPr="00CC4FF8">
        <w:rPr>
          <w:b/>
          <w:bCs/>
        </w:rPr>
        <w:t>Legal Sector Strength:</w:t>
      </w:r>
      <w:r w:rsidRPr="00200FC1">
        <w:t xml:space="preserve"> English law remains the global gold standard, governing 40% of international business transactions due to its unrivalled predictability and stable judicial precedent</w:t>
      </w:r>
      <w:r>
        <w:t>.</w:t>
      </w:r>
    </w:p>
    <w:p w:rsidR="00396758" w:rsidP="000759D5">
      <w:pPr>
        <w:pStyle w:val="ListParagraph"/>
        <w:numPr>
          <w:ilvl w:val="0"/>
          <w:numId w:val="4"/>
        </w:numPr>
        <w:jc w:val="both"/>
      </w:pPr>
      <w:r w:rsidRPr="00CC4FF8">
        <w:rPr>
          <w:b/>
          <w:bCs/>
        </w:rPr>
        <w:t xml:space="preserve">China’s </w:t>
      </w:r>
      <w:r>
        <w:rPr>
          <w:b/>
          <w:bCs/>
        </w:rPr>
        <w:t>I</w:t>
      </w:r>
      <w:r w:rsidRPr="00CC4FF8">
        <w:rPr>
          <w:b/>
          <w:bCs/>
        </w:rPr>
        <w:t xml:space="preserve">nternational </w:t>
      </w:r>
      <w:r>
        <w:rPr>
          <w:b/>
          <w:bCs/>
        </w:rPr>
        <w:t>I</w:t>
      </w:r>
      <w:r w:rsidRPr="00CC4FF8">
        <w:rPr>
          <w:b/>
          <w:bCs/>
        </w:rPr>
        <w:t>ntegration:</w:t>
      </w:r>
      <w:r>
        <w:t xml:space="preserve"> The country has been </w:t>
      </w:r>
      <w:r w:rsidRPr="00CC4FF8">
        <w:t xml:space="preserve">converging toward </w:t>
      </w:r>
      <w:r>
        <w:t xml:space="preserve">international </w:t>
      </w:r>
      <w:r w:rsidRPr="00CC4FF8">
        <w:t xml:space="preserve">models through initiatives </w:t>
      </w:r>
      <w:r w:rsidRPr="00FE1612">
        <w:t>such as Stock Connect, Swap Connect (financial integration among Hong Kong, Shanghai &amp; Shenzhen), the Belt and Road Initiative, and the Greater Bay Area.</w:t>
      </w:r>
    </w:p>
    <w:p w:rsidR="00396758" w:rsidP="000759D5">
      <w:pPr>
        <w:pStyle w:val="ListParagraph"/>
        <w:numPr>
          <w:ilvl w:val="0"/>
          <w:numId w:val="4"/>
        </w:numPr>
        <w:jc w:val="both"/>
      </w:pPr>
      <w:r>
        <w:rPr>
          <w:b/>
          <w:bCs/>
        </w:rPr>
        <w:t xml:space="preserve">Leveraging on the </w:t>
      </w:r>
      <w:r w:rsidRPr="00B87B11">
        <w:rPr>
          <w:b/>
          <w:bCs/>
        </w:rPr>
        <w:t>UK’s Edge</w:t>
      </w:r>
      <w:r w:rsidRPr="00090BDE">
        <w:rPr>
          <w:b/>
          <w:bCs/>
        </w:rPr>
        <w:t xml:space="preserve">: </w:t>
      </w:r>
      <w:r w:rsidRPr="00CC4FF8">
        <w:t xml:space="preserve">The UK's higher education and legal sectors </w:t>
      </w:r>
      <w:r>
        <w:t xml:space="preserve">remain </w:t>
      </w:r>
      <w:r w:rsidRPr="00CC4FF8">
        <w:t>strategically positioned to benefit from China’s legal and financial internationalisation, leveraging expertise in English law to provide high-value professional services and education</w:t>
      </w:r>
      <w:r>
        <w:t xml:space="preserve">, amidst challenges. </w:t>
      </w:r>
    </w:p>
    <w:p w:rsidR="00396758" w:rsidP="00904886">
      <w:pPr>
        <w:pStyle w:val="ListParagraph"/>
        <w:jc w:val="both"/>
      </w:pPr>
    </w:p>
    <w:p w:rsidR="00396758" w:rsidRPr="00CC4FF8" w:rsidP="000759D5">
      <w:pPr>
        <w:ind w:left="360" w:hanging="360"/>
        <w:jc w:val="both"/>
        <w:rPr>
          <w:b/>
          <w:bCs/>
        </w:rPr>
      </w:pPr>
      <w:r w:rsidRPr="00CC4FF8">
        <w:rPr>
          <w:b/>
          <w:bCs/>
        </w:rPr>
        <w:t>Introduction</w:t>
      </w:r>
    </w:p>
    <w:p w:rsidR="00396758" w:rsidP="000759D5">
      <w:pPr>
        <w:pStyle w:val="ListParagraph"/>
        <w:numPr>
          <w:ilvl w:val="0"/>
          <w:numId w:val="1"/>
        </w:numPr>
        <w:jc w:val="both"/>
      </w:pPr>
      <w:r w:rsidRPr="00FE1612">
        <w:t xml:space="preserve">We are a group of experienced legal scholars based in the UK and China who, through our education and professional practice, have had decades of exposure to the UK and Chinese higher education and legal sectors. Whether within or outside of our full-time roles at our home institutions, our views are informed by our other positions, such as Director of Internationalisation, Arbitrator for </w:t>
      </w:r>
      <w:r>
        <w:t>A</w:t>
      </w:r>
      <w:r w:rsidRPr="00FE1612">
        <w:t xml:space="preserve">rbitration </w:t>
      </w:r>
      <w:r>
        <w:t>C</w:t>
      </w:r>
      <w:r w:rsidRPr="00FE1612">
        <w:t xml:space="preserve">ommissions in China, and Associate Director of a research centre for </w:t>
      </w:r>
      <w:r>
        <w:t>J</w:t>
      </w:r>
      <w:r w:rsidRPr="00FE1612">
        <w:t xml:space="preserve">udicial and </w:t>
      </w:r>
      <w:r>
        <w:t>L</w:t>
      </w:r>
      <w:r w:rsidRPr="00FE1612">
        <w:t xml:space="preserve">egal </w:t>
      </w:r>
      <w:r>
        <w:t>S</w:t>
      </w:r>
      <w:r w:rsidRPr="00FE1612">
        <w:t>tudies of China and other countries.</w:t>
      </w:r>
    </w:p>
    <w:p w:rsidR="00396758" w:rsidP="000759D5">
      <w:pPr>
        <w:pStyle w:val="ListParagraph"/>
        <w:numPr>
          <w:ilvl w:val="0"/>
          <w:numId w:val="1"/>
        </w:numPr>
        <w:jc w:val="both"/>
      </w:pPr>
      <w:r>
        <w:t>In this written evidence, w</w:t>
      </w:r>
      <w:r w:rsidRPr="00200FC1">
        <w:t>e aim to analy</w:t>
      </w:r>
      <w:r>
        <w:t>s</w:t>
      </w:r>
      <w:r w:rsidRPr="00200FC1">
        <w:t xml:space="preserve">e the evolving challenges facing UK higher education establishments alongside </w:t>
      </w:r>
      <w:r>
        <w:t xml:space="preserve">an exploration of </w:t>
      </w:r>
      <w:r w:rsidRPr="00200FC1">
        <w:t>how the UK can</w:t>
      </w:r>
      <w:r>
        <w:t xml:space="preserve">, in a sustainable </w:t>
      </w:r>
      <w:r>
        <w:t xml:space="preserve">way, </w:t>
      </w:r>
      <w:r w:rsidRPr="00200FC1">
        <w:t>continue to contribute</w:t>
      </w:r>
      <w:r>
        <w:t xml:space="preserve"> </w:t>
      </w:r>
      <w:r>
        <w:t xml:space="preserve">to </w:t>
      </w:r>
      <w:r>
        <w:t xml:space="preserve">and benefit from </w:t>
      </w:r>
      <w:r w:rsidRPr="00200FC1">
        <w:t>China’s economic development through legal internationali</w:t>
      </w:r>
      <w:r>
        <w:t>s</w:t>
      </w:r>
      <w:r w:rsidRPr="00200FC1">
        <w:t>ation</w:t>
      </w:r>
      <w:r>
        <w:t>.</w:t>
      </w:r>
      <w:r>
        <w:t xml:space="preserve"> </w:t>
      </w:r>
      <w:r w:rsidRPr="00090BDE">
        <w:t>The views and opinions expressed here are our own and in no way reflect those of the institutions with which we are affiliated.</w:t>
      </w:r>
    </w:p>
    <w:p w:rsidR="00396758" w:rsidRPr="00CC4FF8" w:rsidP="000759D5">
      <w:pPr>
        <w:jc w:val="both"/>
        <w:rPr>
          <w:b/>
          <w:bCs/>
        </w:rPr>
      </w:pPr>
      <w:r w:rsidRPr="00CC4FF8">
        <w:rPr>
          <w:b/>
          <w:bCs/>
        </w:rPr>
        <w:t>Challenges Facing the UK Higher Education Sector</w:t>
      </w:r>
    </w:p>
    <w:p w:rsidR="00396758" w:rsidP="000759D5">
      <w:pPr>
        <w:pStyle w:val="ListParagraph"/>
        <w:numPr>
          <w:ilvl w:val="0"/>
          <w:numId w:val="1"/>
        </w:numPr>
        <w:jc w:val="both"/>
      </w:pPr>
      <w:r>
        <w:t xml:space="preserve">According to the most recent figures from </w:t>
      </w:r>
      <w:r>
        <w:t xml:space="preserve">the </w:t>
      </w:r>
      <w:r>
        <w:t xml:space="preserve">HESA, China remains </w:t>
      </w:r>
      <w:r>
        <w:t xml:space="preserve">one of the </w:t>
      </w:r>
      <w:r>
        <w:t>largest source</w:t>
      </w:r>
      <w:r>
        <w:t>s</w:t>
      </w:r>
      <w:r>
        <w:t xml:space="preserve"> of</w:t>
      </w:r>
      <w:r>
        <w:t xml:space="preserve"> international</w:t>
      </w:r>
      <w:r>
        <w:t xml:space="preserve"> students for UK universities</w:t>
      </w:r>
      <w:r>
        <w:t>.</w:t>
      </w:r>
      <w:r>
        <w:rPr>
          <w:rStyle w:val="FootnoteReference"/>
        </w:rPr>
        <w:footnoteReference w:id="2"/>
      </w:r>
      <w:r>
        <w:t xml:space="preserve"> Students from </w:t>
      </w:r>
      <w:r w:rsidRPr="009A70FF">
        <w:t>China</w:t>
      </w:r>
      <w:r>
        <w:t>, along with India,</w:t>
      </w:r>
      <w:r w:rsidRPr="009A70FF">
        <w:t xml:space="preserve"> accounted for 47% of all non-EU international students.</w:t>
      </w:r>
      <w:r>
        <w:t xml:space="preserve"> </w:t>
      </w:r>
      <w:r>
        <w:t>However</w:t>
      </w:r>
      <w:r>
        <w:t>,</w:t>
      </w:r>
      <w:r>
        <w:t xml:space="preserve"> </w:t>
      </w:r>
      <w:r>
        <w:t xml:space="preserve">it is worth pointing out that India surpassed China in 2024/25 as the largest source </w:t>
      </w:r>
      <w:r>
        <w:t xml:space="preserve">of </w:t>
      </w:r>
      <w:r w:rsidRPr="009A70FF">
        <w:t xml:space="preserve">non-EU </w:t>
      </w:r>
      <w:r>
        <w:t xml:space="preserve">international students. </w:t>
      </w:r>
    </w:p>
    <w:p w:rsidR="00396758" w:rsidP="000759D5">
      <w:pPr>
        <w:pStyle w:val="ListParagraph"/>
        <w:numPr>
          <w:ilvl w:val="0"/>
          <w:numId w:val="1"/>
        </w:numPr>
        <w:jc w:val="both"/>
      </w:pPr>
      <w:r>
        <w:t xml:space="preserve">Generally, along with </w:t>
      </w:r>
      <w:r w:rsidRPr="009A70FF">
        <w:t>India</w:t>
      </w:r>
      <w:r>
        <w:t xml:space="preserve"> and Nigeria</w:t>
      </w:r>
      <w:r w:rsidRPr="009A70FF">
        <w:t xml:space="preserve">, </w:t>
      </w:r>
      <w:r>
        <w:t>en</w:t>
      </w:r>
      <w:r w:rsidRPr="009A70FF">
        <w:t xml:space="preserve">rolments </w:t>
      </w:r>
      <w:r>
        <w:t xml:space="preserve">from China </w:t>
      </w:r>
      <w:r w:rsidRPr="009A70FF">
        <w:t>have declined since 2022/23</w:t>
      </w:r>
      <w:r>
        <w:t>.</w:t>
      </w:r>
      <w:r>
        <w:rPr>
          <w:rStyle w:val="FootnoteReference"/>
        </w:rPr>
        <w:footnoteReference w:id="3"/>
      </w:r>
      <w:r>
        <w:t xml:space="preserve"> </w:t>
      </w:r>
      <w:r w:rsidRPr="00FE1612">
        <w:t>Over the five-year period from 2020/21 to 2024/25, the number of Chinese students remained relatively stable, at approximately 143,000. In the same period, the number of Indian students surged from 82,200 to 146,480. Taking into account the total populations of China and India, one plausible explanation is that 150,000 represents a peak for the number of students from such populous nations studying in the UK.</w:t>
      </w:r>
    </w:p>
    <w:p w:rsidR="00396758" w:rsidP="000759D5">
      <w:pPr>
        <w:pStyle w:val="ListParagraph"/>
        <w:numPr>
          <w:ilvl w:val="0"/>
          <w:numId w:val="1"/>
        </w:numPr>
        <w:jc w:val="both"/>
      </w:pPr>
      <w:r w:rsidRPr="00FE1612">
        <w:t>International students are important to universities and the local and national economy, primarily due to the higher tuition fees they are charged and, secondarily, because of their wider expenditure while in the country (e.g., on accommodation, food, and retail).</w:t>
      </w:r>
    </w:p>
    <w:p w:rsidR="00396758" w:rsidP="000759D5">
      <w:pPr>
        <w:pStyle w:val="ListParagraph"/>
        <w:numPr>
          <w:ilvl w:val="0"/>
          <w:numId w:val="1"/>
        </w:numPr>
        <w:jc w:val="both"/>
      </w:pPr>
      <w:r w:rsidRPr="00FE1612">
        <w:t>Given the data above, it is evident that Chinese student numbers have either plateaued at their peak or that there is a diminishing appetite for study in the UK. In our view, the reasons for this are threefold.</w:t>
      </w:r>
    </w:p>
    <w:p w:rsidR="00396758" w:rsidP="000759D5">
      <w:pPr>
        <w:pStyle w:val="ListParagraph"/>
        <w:numPr>
          <w:ilvl w:val="0"/>
          <w:numId w:val="1"/>
        </w:numPr>
        <w:jc w:val="both"/>
      </w:pPr>
      <w:r>
        <w:t xml:space="preserve">Firstly, </w:t>
      </w:r>
      <w:r>
        <w:t xml:space="preserve">it is not a secret that Chinese students are league table sensitive. The gap between the UK and Chinese universities has been narrowing in this regard. In the QS World University Rankings 2026, there are </w:t>
      </w:r>
      <w:r>
        <w:t>five</w:t>
      </w:r>
      <w:r>
        <w:t xml:space="preserve"> universities from Mainland China in the global top 100, while the total number of ranked Mainland Chinese institutions has reached a record high (72</w:t>
      </w:r>
      <w:r>
        <w:t xml:space="preserve">, </w:t>
      </w:r>
      <w:r>
        <w:t>ex</w:t>
      </w:r>
      <w:r>
        <w:t>cluding universities from Hong Kong and Maca</w:t>
      </w:r>
      <w:r>
        <w:t>u</w:t>
      </w:r>
      <w:r>
        <w:t xml:space="preserve">). The </w:t>
      </w:r>
      <w:r w:rsidRPr="009E060D">
        <w:t xml:space="preserve">UK </w:t>
      </w:r>
      <w:r>
        <w:t xml:space="preserve">now </w:t>
      </w:r>
      <w:r w:rsidRPr="009E060D">
        <w:t>has 17 universities in the global top 100,</w:t>
      </w:r>
      <w:r>
        <w:t xml:space="preserve"> still</w:t>
      </w:r>
      <w:r w:rsidRPr="009E060D">
        <w:t xml:space="preserve"> </w:t>
      </w:r>
      <w:r>
        <w:t xml:space="preserve">around </w:t>
      </w:r>
      <w:r w:rsidRPr="009E060D">
        <w:t>the same number it held a decade ago</w:t>
      </w:r>
      <w:r w:rsidRPr="009E060D">
        <w:t xml:space="preserve"> in 2016, though many individual positions have shifted </w:t>
      </w:r>
      <w:r>
        <w:t>downward because of the rise in the quality and ranking of universities in the rest of the world including China</w:t>
      </w:r>
      <w:r w:rsidRPr="009E060D">
        <w:t>.</w:t>
      </w:r>
    </w:p>
    <w:p w:rsidR="00396758" w:rsidP="000759D5">
      <w:pPr>
        <w:pStyle w:val="ListParagraph"/>
        <w:numPr>
          <w:ilvl w:val="0"/>
          <w:numId w:val="1"/>
        </w:numPr>
        <w:jc w:val="both"/>
      </w:pPr>
      <w:r>
        <w:t xml:space="preserve">Secondly, </w:t>
      </w:r>
      <w:r>
        <w:t xml:space="preserve">a foreign degree has become </w:t>
      </w:r>
      <w:r>
        <w:t>less of</w:t>
      </w:r>
      <w:r>
        <w:t xml:space="preserve"> an asset to many Chinese students. </w:t>
      </w:r>
      <w:r>
        <w:t>F</w:t>
      </w:r>
      <w:r>
        <w:t>oreign degrees are increasingly perceived as a</w:t>
      </w:r>
      <w:r>
        <w:t xml:space="preserve"> financial liability </w:t>
      </w:r>
      <w:r>
        <w:t>for</w:t>
      </w:r>
      <w:r>
        <w:t xml:space="preserve"> many Chinese households.</w:t>
      </w:r>
      <w:r w:rsidRPr="00E27F6A">
        <w:t xml:space="preserve"> Furthermore, the recruitment landscape within the public sector and major state-owned enterprises is evolving, with an increasing preference for candidates from top-tier domestic institutions for leadership-track positions.</w:t>
      </w:r>
      <w:r>
        <w:rPr>
          <w:rStyle w:val="FootnoteReference"/>
        </w:rPr>
        <w:footnoteReference w:id="4"/>
      </w:r>
      <w:r>
        <w:t xml:space="preserve"> </w:t>
      </w:r>
      <w:r w:rsidRPr="006E7CB8">
        <w:t xml:space="preserve">This shift is </w:t>
      </w:r>
      <w:r>
        <w:t xml:space="preserve">believed to be </w:t>
      </w:r>
      <w:r w:rsidRPr="006E7CB8">
        <w:t xml:space="preserve">driven by </w:t>
      </w:r>
      <w:r w:rsidRPr="006E7CB8">
        <w:t>intensified geopolitical tensions, a "self-reliance" drive under President Xi Jinping, and a massive supply of</w:t>
      </w:r>
      <w:r>
        <w:t xml:space="preserve"> high</w:t>
      </w:r>
      <w:r>
        <w:t>-</w:t>
      </w:r>
      <w:r>
        <w:t>quality</w:t>
      </w:r>
      <w:r w:rsidRPr="006E7CB8">
        <w:t xml:space="preserve"> domestic graduates.</w:t>
      </w:r>
    </w:p>
    <w:p w:rsidR="00396758" w:rsidP="000759D5">
      <w:pPr>
        <w:pStyle w:val="ListParagraph"/>
        <w:numPr>
          <w:ilvl w:val="0"/>
          <w:numId w:val="1"/>
        </w:numPr>
        <w:jc w:val="both"/>
      </w:pPr>
      <w:r>
        <w:t xml:space="preserve">Thirdly, there </w:t>
      </w:r>
      <w:r>
        <w:t>is</w:t>
      </w:r>
      <w:r>
        <w:t xml:space="preserve"> increasing competition from elsewhere. According to a recent survey, </w:t>
      </w:r>
    </w:p>
    <w:p w:rsidR="00396758" w:rsidP="000759D5">
      <w:pPr>
        <w:pStyle w:val="ListParagraph"/>
        <w:ind w:left="360"/>
        <w:jc w:val="both"/>
      </w:pPr>
      <w:r>
        <w:t xml:space="preserve">Hong Kong has surpassed the US to become the second-most popular study-abroad destination for mainland Chinese students, trailing only the </w:t>
      </w:r>
      <w:r>
        <w:t>UK</w:t>
      </w:r>
      <w:r>
        <w:t>.</w:t>
      </w:r>
      <w:r>
        <w:rPr>
          <w:rStyle w:val="FootnoteReference"/>
        </w:rPr>
        <w:footnoteReference w:id="5"/>
      </w:r>
      <w:r>
        <w:t xml:space="preserve"> Driven by rising costs and policy uncertainties in Western nations, Chinese students prefer Hong Kong for its proximity, safety, and high-quality, faster-track education</w:t>
      </w:r>
      <w:r>
        <w:t xml:space="preserve">, especially the common law </w:t>
      </w:r>
      <w:r>
        <w:t>aspect</w:t>
      </w:r>
      <w:r>
        <w:t xml:space="preserve">. </w:t>
      </w:r>
      <w:r>
        <w:t xml:space="preserve">Increasingly, these mainland students see the ease of dual qualifications from Hong Kong and England and Wales as </w:t>
      </w:r>
      <w:r>
        <w:t>a value-for-money route to a professional career.</w:t>
      </w:r>
      <w:r>
        <w:t xml:space="preserve"> </w:t>
      </w:r>
      <w:r>
        <w:t>Regions like Singapore</w:t>
      </w:r>
      <w:r>
        <w:t>, Malaysia</w:t>
      </w:r>
      <w:r>
        <w:t xml:space="preserve"> and Macau also benefit as a result.</w:t>
      </w:r>
    </w:p>
    <w:p w:rsidR="00396758" w:rsidP="000759D5">
      <w:pPr>
        <w:pStyle w:val="ListParagraph"/>
        <w:numPr>
          <w:ilvl w:val="0"/>
          <w:numId w:val="1"/>
        </w:numPr>
        <w:jc w:val="both"/>
      </w:pPr>
      <w:r>
        <w:t xml:space="preserve">Faced with the harsh reality that Chinese students are no longer </w:t>
      </w:r>
      <w:r>
        <w:t xml:space="preserve">to </w:t>
      </w:r>
      <w:r>
        <w:t xml:space="preserve">be relied upon as the main driver of revenues and growth, the UK universities can only go for alternative markets which exhibit growth </w:t>
      </w:r>
      <w:r>
        <w:t>such as</w:t>
      </w:r>
      <w:r>
        <w:t xml:space="preserve"> India, Nigeria and Pakistan. Alternatively, there is an increasing trend to take the UK education to China through </w:t>
      </w:r>
      <w:r w:rsidRPr="008D5ADC">
        <w:t>Joint Educational Institutes (JEIs) and</w:t>
      </w:r>
      <w:r>
        <w:t xml:space="preserve">/or </w:t>
      </w:r>
      <w:r w:rsidRPr="008D5ADC">
        <w:t>Joint Educational Programmes (JEPs)</w:t>
      </w:r>
      <w:r>
        <w:t>.</w:t>
      </w:r>
      <w:r>
        <w:rPr>
          <w:rStyle w:val="FootnoteReference"/>
        </w:rPr>
        <w:footnoteReference w:id="6"/>
      </w:r>
    </w:p>
    <w:p w:rsidR="00396758" w:rsidRPr="00CC4FF8" w:rsidP="000759D5">
      <w:pPr>
        <w:jc w:val="both"/>
        <w:rPr>
          <w:b/>
          <w:bCs/>
        </w:rPr>
      </w:pPr>
      <w:r w:rsidRPr="00CC4FF8">
        <w:rPr>
          <w:b/>
          <w:bCs/>
        </w:rPr>
        <w:t>English Law and Common Law as the Preferred Choice of Global Trade</w:t>
      </w:r>
      <w:r w:rsidRPr="00CC4FF8">
        <w:rPr>
          <w:b/>
          <w:bCs/>
        </w:rPr>
        <w:t xml:space="preserve"> and Finance</w:t>
      </w:r>
    </w:p>
    <w:p w:rsidR="00396758" w:rsidP="000759D5">
      <w:pPr>
        <w:pStyle w:val="ListParagraph"/>
        <w:numPr>
          <w:ilvl w:val="0"/>
          <w:numId w:val="1"/>
        </w:numPr>
        <w:jc w:val="both"/>
      </w:pPr>
      <w:r w:rsidRPr="008F0EAB">
        <w:t>Despite having a legal system entirely different from China's, the UK still has much to offer through its legal sector, as English law remains a preferred choice for governing international commercial contracts.</w:t>
      </w:r>
      <w:r>
        <w:t xml:space="preserve"> </w:t>
      </w:r>
      <w:r>
        <w:t xml:space="preserve">The </w:t>
      </w:r>
      <w:r>
        <w:t>City University</w:t>
      </w:r>
      <w:r>
        <w:t xml:space="preserve"> of Hong Kong</w:t>
      </w:r>
      <w:r>
        <w:t>,</w:t>
      </w:r>
      <w:r>
        <w:t xml:space="preserve"> for example</w:t>
      </w:r>
      <w:r>
        <w:t>,</w:t>
      </w:r>
      <w:r>
        <w:t xml:space="preserve"> celebrates its 18</w:t>
      </w:r>
      <w:r w:rsidRPr="00090BDE">
        <w:rPr>
          <w:vertAlign w:val="superscript"/>
        </w:rPr>
        <w:t>th</w:t>
      </w:r>
      <w:r>
        <w:t xml:space="preserve"> anniversary </w:t>
      </w:r>
      <w:r>
        <w:t xml:space="preserve">in 2025 </w:t>
      </w:r>
      <w:r>
        <w:t xml:space="preserve">with collaboration with </w:t>
      </w:r>
      <w:r>
        <w:t>the</w:t>
      </w:r>
      <w:r>
        <w:t xml:space="preserve"> Mainland</w:t>
      </w:r>
      <w:r>
        <w:t xml:space="preserve"> Judicial College</w:t>
      </w:r>
      <w:r>
        <w:t>,</w:t>
      </w:r>
      <w:r>
        <w:t xml:space="preserve"> </w:t>
      </w:r>
      <w:r>
        <w:t>training</w:t>
      </w:r>
      <w:r>
        <w:t xml:space="preserve"> their judges at </w:t>
      </w:r>
      <w:r>
        <w:t xml:space="preserve">the </w:t>
      </w:r>
      <w:r>
        <w:t>Master</w:t>
      </w:r>
      <w:r>
        <w:t>’s</w:t>
      </w:r>
      <w:r>
        <w:t xml:space="preserve"> </w:t>
      </w:r>
      <w:r>
        <w:t>l</w:t>
      </w:r>
      <w:r>
        <w:t>evel as well as P</w:t>
      </w:r>
      <w:r>
        <w:t>h</w:t>
      </w:r>
      <w:r>
        <w:t>D (JSD)</w:t>
      </w:r>
      <w:r>
        <w:t xml:space="preserve"> for senior judges. Most of them </w:t>
      </w:r>
      <w:r>
        <w:t xml:space="preserve">studied fundamental common law </w:t>
      </w:r>
      <w:r>
        <w:t>subjects</w:t>
      </w:r>
      <w:r>
        <w:t>.</w:t>
      </w:r>
    </w:p>
    <w:p w:rsidR="00396758" w:rsidP="000759D5">
      <w:pPr>
        <w:pStyle w:val="ListParagraph"/>
        <w:numPr>
          <w:ilvl w:val="0"/>
          <w:numId w:val="1"/>
        </w:numPr>
        <w:jc w:val="both"/>
      </w:pPr>
      <w:r>
        <w:t xml:space="preserve">According to data from the Law Society, </w:t>
      </w:r>
      <w:r>
        <w:t>a</w:t>
      </w:r>
      <w:r w:rsidRPr="00E57739">
        <w:t>round 40% of global business and financial transactions are governed by English law.</w:t>
      </w:r>
      <w:r>
        <w:rPr>
          <w:rStyle w:val="FootnoteReference"/>
        </w:rPr>
        <w:footnoteReference w:id="7"/>
      </w:r>
      <w:r>
        <w:t xml:space="preserve"> </w:t>
      </w:r>
      <w:r w:rsidRPr="00E57739">
        <w:t>Legal services exports</w:t>
      </w:r>
      <w:r>
        <w:t xml:space="preserve"> from the UK</w:t>
      </w:r>
      <w:r w:rsidRPr="00E57739">
        <w:t xml:space="preserve"> rose to £9.02bn in 2024, up from £6.27bn in 2020. This shows strong global demand for English law services</w:t>
      </w:r>
      <w:r>
        <w:t>.</w:t>
      </w:r>
    </w:p>
    <w:p w:rsidR="00396758" w:rsidP="000759D5">
      <w:pPr>
        <w:pStyle w:val="ListParagraph"/>
        <w:numPr>
          <w:ilvl w:val="0"/>
          <w:numId w:val="1"/>
        </w:numPr>
        <w:jc w:val="both"/>
      </w:pPr>
      <w:r w:rsidRPr="00E57739">
        <w:t>English law remains the global gold standard for international transactions primarily due to its predictability, rooted in a stable system of judicial precedent that allows businesses to assess risk with high accuracy.</w:t>
      </w:r>
      <w:r>
        <w:rPr>
          <w:rStyle w:val="FootnoteReference"/>
        </w:rPr>
        <w:footnoteReference w:id="8"/>
      </w:r>
      <w:r w:rsidRPr="00E57739">
        <w:t xml:space="preserve"> </w:t>
      </w:r>
      <w:r>
        <w:t>I</w:t>
      </w:r>
      <w:r w:rsidRPr="00E57739">
        <w:t>t champions freedom of contract, prioriti</w:t>
      </w:r>
      <w:r>
        <w:t>s</w:t>
      </w:r>
      <w:r w:rsidRPr="00E57739">
        <w:t xml:space="preserve">ing the literal </w:t>
      </w:r>
      <w:r w:rsidRPr="00E57739">
        <w:t>terms of an agreement over broad judicial interventions, which provides commercial parties with the certainty that their deals will be enforced as written.</w:t>
      </w:r>
      <w:r>
        <w:rPr>
          <w:rStyle w:val="FootnoteReference"/>
        </w:rPr>
        <w:footnoteReference w:id="9"/>
      </w:r>
    </w:p>
    <w:p w:rsidR="00396758" w:rsidP="000759D5">
      <w:pPr>
        <w:pStyle w:val="ListParagraph"/>
        <w:numPr>
          <w:ilvl w:val="0"/>
          <w:numId w:val="1"/>
        </w:numPr>
        <w:jc w:val="both"/>
      </w:pPr>
      <w:r>
        <w:t xml:space="preserve">The potential for the UK to have input </w:t>
      </w:r>
      <w:r>
        <w:t>in</w:t>
      </w:r>
      <w:r>
        <w:t xml:space="preserve">to the legal and economic development in China can also be facilitated by </w:t>
      </w:r>
      <w:r>
        <w:t>their</w:t>
      </w:r>
      <w:r>
        <w:t xml:space="preserve"> commitment to “internationalis</w:t>
      </w:r>
      <w:r>
        <w:t>ing</w:t>
      </w:r>
      <w:r>
        <w:t xml:space="preserve"> their system”. </w:t>
      </w:r>
      <w:r>
        <w:t>Originally rooted in a Germanic-Japanese model, more recent reform</w:t>
      </w:r>
      <w:r>
        <w:t>s</w:t>
      </w:r>
      <w:r>
        <w:t xml:space="preserve"> to their corporate and financial law system ha</w:t>
      </w:r>
      <w:r>
        <w:t>ve</w:t>
      </w:r>
      <w:r>
        <w:t xml:space="preserve"> been prompted by a </w:t>
      </w:r>
      <w:r>
        <w:t xml:space="preserve">worldwide </w:t>
      </w:r>
      <w:r>
        <w:t>convergence to the Anglo-American model.</w:t>
      </w:r>
      <w:r>
        <w:rPr>
          <w:rStyle w:val="FootnoteReference"/>
        </w:rPr>
        <w:footnoteReference w:id="10"/>
      </w:r>
    </w:p>
    <w:p w:rsidR="00396758" w:rsidP="000759D5">
      <w:pPr>
        <w:pStyle w:val="ListParagraph"/>
        <w:numPr>
          <w:ilvl w:val="0"/>
          <w:numId w:val="1"/>
        </w:numPr>
        <w:jc w:val="both"/>
      </w:pPr>
      <w:r>
        <w:t xml:space="preserve">China’s commitment to internationalisation of their financial and legal markets can also be demonstrated by two initiatives. </w:t>
      </w:r>
    </w:p>
    <w:p w:rsidR="00396758" w:rsidP="000759D5">
      <w:pPr>
        <w:pStyle w:val="ListParagraph"/>
        <w:numPr>
          <w:ilvl w:val="0"/>
          <w:numId w:val="1"/>
        </w:numPr>
        <w:jc w:val="both"/>
      </w:pPr>
      <w:r>
        <w:t>T</w:t>
      </w:r>
      <w:r w:rsidRPr="00E466C5">
        <w:t xml:space="preserve">he </w:t>
      </w:r>
      <w:r>
        <w:t xml:space="preserve">Chinese </w:t>
      </w:r>
      <w:r w:rsidRPr="00E466C5">
        <w:t xml:space="preserve">Stock Connect </w:t>
      </w:r>
      <w:r>
        <w:t>ini</w:t>
      </w:r>
      <w:r>
        <w:t xml:space="preserve">tiative has been lauded </w:t>
      </w:r>
      <w:r w:rsidRPr="00E466C5">
        <w:t>as a "new normal" in global finance, prioriti</w:t>
      </w:r>
      <w:r>
        <w:t>s</w:t>
      </w:r>
      <w:r w:rsidRPr="00E466C5">
        <w:t>ing "connectivity over liberalisation" by allowing market integration without requiring China to fully open its capital account or sacrifice regulatory sovereignty.</w:t>
      </w:r>
      <w:r>
        <w:rPr>
          <w:rStyle w:val="FootnoteReference"/>
        </w:rPr>
        <w:footnoteReference w:id="11"/>
      </w:r>
      <w:r w:rsidRPr="00E466C5">
        <w:t xml:space="preserve"> While the </w:t>
      </w:r>
      <w:r>
        <w:t>Mainland-Hong Kong</w:t>
      </w:r>
      <w:r w:rsidRPr="00E466C5">
        <w:t xml:space="preserve"> link thrives on direct trading, the </w:t>
      </w:r>
      <w:r>
        <w:t>China-London</w:t>
      </w:r>
      <w:r w:rsidRPr="00E466C5">
        <w:t xml:space="preserve"> Stock Connect </w:t>
      </w:r>
      <w:r>
        <w:t>has been</w:t>
      </w:r>
      <w:r w:rsidRPr="00E466C5">
        <w:t xml:space="preserve"> hampered by</w:t>
      </w:r>
      <w:r>
        <w:t xml:space="preserve"> a basket of factors</w:t>
      </w:r>
      <w:r w:rsidRPr="00E466C5">
        <w:t xml:space="preserve">. Despite </w:t>
      </w:r>
      <w:r>
        <w:t>the disparity in trade volume</w:t>
      </w:r>
      <w:r w:rsidRPr="00E466C5">
        <w:t xml:space="preserve">, </w:t>
      </w:r>
      <w:r>
        <w:t>overall the</w:t>
      </w:r>
      <w:r w:rsidRPr="00E466C5">
        <w:t xml:space="preserve"> scheme facilitate</w:t>
      </w:r>
      <w:r>
        <w:t>s</w:t>
      </w:r>
      <w:r w:rsidRPr="00E466C5">
        <w:t xml:space="preserve"> "institutional internationalisation," </w:t>
      </w:r>
      <w:r>
        <w:t>inviting</w:t>
      </w:r>
      <w:r w:rsidRPr="00E466C5">
        <w:t xml:space="preserve"> Chinese </w:t>
      </w:r>
      <w:r>
        <w:t>companie</w:t>
      </w:r>
      <w:r w:rsidRPr="00E466C5">
        <w:t>s to adopt global governance standards and enabling the strategic expansion of the RMB within a controlled framework that aligns with the UK’s post-Brexit "Global Britain" ambitions.</w:t>
      </w:r>
      <w:r>
        <w:t xml:space="preserve"> </w:t>
      </w:r>
      <w:r>
        <w:t>The recent opening of Swap Connect (2024) represents another financial integration that aligns the common law contract and payment system closely with Mainland China via Hong Kong.</w:t>
      </w:r>
    </w:p>
    <w:p w:rsidR="00396758" w:rsidP="000759D5">
      <w:pPr>
        <w:pStyle w:val="ListParagraph"/>
        <w:numPr>
          <w:ilvl w:val="0"/>
          <w:numId w:val="1"/>
        </w:numPr>
        <w:jc w:val="both"/>
      </w:pPr>
      <w:r>
        <w:t>A second relevant initiative is, established by the Chinese Supreme People's Court in 2018, the China International Commercial Courts, located in Shenzhen and Xi'an, serve as specialised judicial organs designed to support the Belt and Road Initiative</w:t>
      </w:r>
      <w:r>
        <w:t xml:space="preserve"> (BRI)</w:t>
      </w:r>
      <w:r>
        <w:t xml:space="preserve"> through a "one-stop" dispute resolution platform.</w:t>
      </w:r>
      <w:r>
        <w:rPr>
          <w:rStyle w:val="FootnoteReference"/>
        </w:rPr>
        <w:footnoteReference w:id="12"/>
      </w:r>
      <w:r>
        <w:t xml:space="preserve"> This unique model integrates litigation, mediation, and arbitration, allowing parties to utili</w:t>
      </w:r>
      <w:r>
        <w:t>s</w:t>
      </w:r>
      <w:r>
        <w:t>e an International Commercial Expert Committee of global legal experts to facilitate settlements</w:t>
      </w:r>
      <w:r>
        <w:t xml:space="preserve">. </w:t>
      </w:r>
    </w:p>
    <w:p w:rsidR="00396758" w:rsidP="000759D5">
      <w:pPr>
        <w:pStyle w:val="ListParagraph"/>
        <w:numPr>
          <w:ilvl w:val="0"/>
          <w:numId w:val="1"/>
        </w:numPr>
        <w:jc w:val="both"/>
      </w:pPr>
      <w:r>
        <w:t xml:space="preserve">One of the noteworthy legal developments in the </w:t>
      </w:r>
      <w:r>
        <w:t>BRI</w:t>
      </w:r>
      <w:r>
        <w:t xml:space="preserve"> is the creation of "Common Law Islands" - specialised legal enclaves within traditionally Civil Law countries.</w:t>
      </w:r>
      <w:r>
        <w:rPr>
          <w:rStyle w:val="FootnoteReference"/>
        </w:rPr>
        <w:footnoteReference w:id="13"/>
      </w:r>
      <w:r>
        <w:t xml:space="preserve"> These zones are designed to act as neutral, predictable "safe harbours" for the multi-billion dollar </w:t>
      </w:r>
      <w:r>
        <w:t>infrastructure and finance projects that define the BRI. The adoption of common law in these regions is driven by a simple commercial reality: international banks, insurers and investors are significantly more comfortable proceeding with a deal when the underlying contracts are governed by English Law or a derivative of it. UK lawyers are set to benefit from seamless "fly-in" rights of audience and high-val</w:t>
      </w:r>
      <w:r>
        <w:t>ue advisory roles in global common law enclaves that utilise English law as the primary operating system for international trade.</w:t>
      </w:r>
    </w:p>
    <w:p w:rsidR="00396758" w:rsidRPr="00CC4FF8" w:rsidP="000759D5">
      <w:pPr>
        <w:jc w:val="both"/>
        <w:rPr>
          <w:b/>
          <w:bCs/>
        </w:rPr>
      </w:pPr>
      <w:r w:rsidRPr="00CC4FF8">
        <w:rPr>
          <w:b/>
          <w:bCs/>
        </w:rPr>
        <w:t xml:space="preserve">Contribution via Hong Kong and </w:t>
      </w:r>
      <w:r>
        <w:rPr>
          <w:b/>
          <w:bCs/>
        </w:rPr>
        <w:t xml:space="preserve">the </w:t>
      </w:r>
      <w:r w:rsidRPr="00CC4FF8">
        <w:rPr>
          <w:b/>
          <w:bCs/>
        </w:rPr>
        <w:t>Greater Bay Area</w:t>
      </w:r>
      <w:r w:rsidRPr="00CC4FF8">
        <w:rPr>
          <w:b/>
          <w:bCs/>
        </w:rPr>
        <w:t xml:space="preserve"> as </w:t>
      </w:r>
      <w:r>
        <w:rPr>
          <w:b/>
          <w:bCs/>
        </w:rPr>
        <w:t>P</w:t>
      </w:r>
      <w:r w:rsidRPr="00CC4FF8">
        <w:rPr>
          <w:b/>
          <w:bCs/>
        </w:rPr>
        <w:t xml:space="preserve">latform </w:t>
      </w:r>
      <w:r>
        <w:rPr>
          <w:b/>
          <w:bCs/>
        </w:rPr>
        <w:t>B</w:t>
      </w:r>
      <w:r w:rsidRPr="00CC4FF8">
        <w:rPr>
          <w:b/>
          <w:bCs/>
        </w:rPr>
        <w:t>uilder</w:t>
      </w:r>
    </w:p>
    <w:p w:rsidR="00396758" w:rsidP="000759D5">
      <w:pPr>
        <w:pStyle w:val="ListParagraph"/>
        <w:numPr>
          <w:ilvl w:val="0"/>
          <w:numId w:val="1"/>
        </w:numPr>
        <w:jc w:val="both"/>
      </w:pPr>
      <w:r>
        <w:t xml:space="preserve">The </w:t>
      </w:r>
      <w:r>
        <w:t>“</w:t>
      </w:r>
      <w:r>
        <w:t xml:space="preserve">common law </w:t>
      </w:r>
      <w:r>
        <w:t>islands” are a relatively new phenomenon</w:t>
      </w:r>
      <w:r>
        <w:t>,</w:t>
      </w:r>
      <w:r>
        <w:t xml:space="preserve"> with Dubai as a pioneer in 2004. However, the idea of “one country two systems” is hardly new. The </w:t>
      </w:r>
      <w:r w:rsidRPr="0044128E">
        <w:t>principle is a constitutional concept formulated by Deng Xiaoping, the paramount leader of the People's Republic of China, in the early 1980s.</w:t>
      </w:r>
      <w:r>
        <w:rPr>
          <w:rStyle w:val="FootnoteReference"/>
        </w:rPr>
        <w:footnoteReference w:id="14"/>
      </w:r>
      <w:r w:rsidRPr="0044128E">
        <w:t xml:space="preserve"> While it was originally envisioned as a solution for the reunification of Taiwan, it was first implemented for the handover of Hong Kong from British to Chinese rule in 1997</w:t>
      </w:r>
      <w:r>
        <w:t>.</w:t>
      </w:r>
    </w:p>
    <w:p w:rsidR="00396758" w:rsidP="000759D5">
      <w:pPr>
        <w:pStyle w:val="ListParagraph"/>
        <w:numPr>
          <w:ilvl w:val="0"/>
          <w:numId w:val="1"/>
        </w:numPr>
        <w:jc w:val="both"/>
      </w:pPr>
      <w:r w:rsidRPr="0044128E">
        <w:t>Hong Kong’s English heritage serves as its "institutional bedrock," providing a unique competitive edge that distinguishes it as the premier gateway between Mainland China and the global market.</w:t>
      </w:r>
      <w:r>
        <w:rPr>
          <w:rStyle w:val="FootnoteReference"/>
        </w:rPr>
        <w:footnoteReference w:id="15"/>
      </w:r>
      <w:r w:rsidRPr="0044128E">
        <w:t xml:space="preserve"> The most significant strength is its Common Law system</w:t>
      </w:r>
      <w:r>
        <w:t xml:space="preserve"> - </w:t>
      </w:r>
      <w:r w:rsidRPr="0044128E">
        <w:t>the only one in China</w:t>
      </w:r>
      <w:r>
        <w:t xml:space="preserve"> - </w:t>
      </w:r>
      <w:r w:rsidRPr="0044128E">
        <w:t>which offers international businesses a "safe harbour" of predictable contract enforcement, independent adjudication, and a world-class arbitration seat that consistently ranks among the global top three.</w:t>
      </w:r>
    </w:p>
    <w:p w:rsidR="00396758" w:rsidP="000759D5">
      <w:pPr>
        <w:pStyle w:val="ListParagraph"/>
        <w:numPr>
          <w:ilvl w:val="0"/>
          <w:numId w:val="1"/>
        </w:numPr>
        <w:jc w:val="both"/>
      </w:pPr>
      <w:r>
        <w:t xml:space="preserve">Hong Kong’s traditional middleman role has </w:t>
      </w:r>
      <w:r>
        <w:t xml:space="preserve">arguably </w:t>
      </w:r>
      <w:r>
        <w:t xml:space="preserve">faded following the rise of China. One notable example is its </w:t>
      </w:r>
      <w:r>
        <w:t xml:space="preserve">entrepôt trade. The </w:t>
      </w:r>
      <w:r w:rsidRPr="00443A1B">
        <w:t xml:space="preserve">Port of Hong Kong experiences a structural decline while Shenzhen and Shanghai reach record-breaking heights. Once the world’s busiest port, Hong Kong has seen its global ranking slip to </w:t>
      </w:r>
      <w:r>
        <w:t xml:space="preserve">outside </w:t>
      </w:r>
      <w:r>
        <w:t xml:space="preserve">the </w:t>
      </w:r>
      <w:r>
        <w:t>top 10</w:t>
      </w:r>
      <w:r w:rsidRPr="00443A1B">
        <w:t xml:space="preserve"> </w:t>
      </w:r>
      <w:r>
        <w:t>as of now.</w:t>
      </w:r>
      <w:r>
        <w:rPr>
          <w:rStyle w:val="FootnoteReference"/>
        </w:rPr>
        <w:footnoteReference w:id="16"/>
      </w:r>
      <w:r>
        <w:t xml:space="preserve"> </w:t>
      </w:r>
      <w:r w:rsidRPr="00443A1B">
        <w:t xml:space="preserve">In contrast, Shanghai </w:t>
      </w:r>
      <w:r>
        <w:t xml:space="preserve">and Shenzhen </w:t>
      </w:r>
      <w:r w:rsidRPr="00443A1B">
        <w:t>ha</w:t>
      </w:r>
      <w:r>
        <w:t>ve</w:t>
      </w:r>
      <w:r w:rsidRPr="00443A1B">
        <w:t xml:space="preserve"> solidified </w:t>
      </w:r>
      <w:r>
        <w:t>their</w:t>
      </w:r>
      <w:r w:rsidRPr="00443A1B">
        <w:t xml:space="preserve"> position as the undisputed global leader</w:t>
      </w:r>
      <w:r>
        <w:t xml:space="preserve">s. However, Hong Kong remains an important fundraising platform for Chinese companies, </w:t>
      </w:r>
      <w:r w:rsidRPr="00443A1B">
        <w:t>reclaim</w:t>
      </w:r>
      <w:r>
        <w:t>ing</w:t>
      </w:r>
      <w:r w:rsidRPr="00443A1B">
        <w:t xml:space="preserve"> </w:t>
      </w:r>
      <w:r>
        <w:t xml:space="preserve">the </w:t>
      </w:r>
      <w:r w:rsidRPr="00443A1B">
        <w:t>top global IPO spot in 2025</w:t>
      </w:r>
      <w:r>
        <w:t>.</w:t>
      </w:r>
      <w:r>
        <w:rPr>
          <w:rStyle w:val="FootnoteReference"/>
        </w:rPr>
        <w:footnoteReference w:id="17"/>
      </w:r>
    </w:p>
    <w:p w:rsidR="00396758" w:rsidP="000759D5">
      <w:pPr>
        <w:pStyle w:val="ListParagraph"/>
        <w:numPr>
          <w:ilvl w:val="0"/>
          <w:numId w:val="1"/>
        </w:numPr>
        <w:jc w:val="both"/>
      </w:pPr>
      <w:r>
        <w:t>A new opportunity for Hong Kong and the UK perhaps is t</w:t>
      </w:r>
      <w:r w:rsidRPr="00443A1B">
        <w:t>he Greater Bay Area (GBA)</w:t>
      </w:r>
      <w:r>
        <w:t xml:space="preserve"> initiative </w:t>
      </w:r>
      <w:r w:rsidRPr="00443A1B">
        <w:t>comprising Hong Kong, Maca</w:t>
      </w:r>
      <w:r>
        <w:t>u</w:t>
      </w:r>
      <w:r w:rsidRPr="00443A1B">
        <w:t>, and nine mainland cities</w:t>
      </w:r>
      <w:r>
        <w:t xml:space="preserve">. It is intended to be </w:t>
      </w:r>
      <w:r w:rsidRPr="00443A1B">
        <w:t xml:space="preserve">a primary </w:t>
      </w:r>
      <w:r>
        <w:t xml:space="preserve">regional </w:t>
      </w:r>
      <w:r w:rsidRPr="00443A1B">
        <w:t>growth engine for legal and professional services.</w:t>
      </w:r>
      <w:r>
        <w:t xml:space="preserve"> The integration between Hong Kong, Macau and </w:t>
      </w:r>
      <w:r>
        <w:t xml:space="preserve">Mainland </w:t>
      </w:r>
      <w:r>
        <w:t>China’s systems will be</w:t>
      </w:r>
      <w:r>
        <w:t>come</w:t>
      </w:r>
      <w:r>
        <w:t xml:space="preserve"> more apparent as Hong Kong </w:t>
      </w:r>
      <w:r w:rsidRPr="00443A1B">
        <w:t>lawyers are practi</w:t>
      </w:r>
      <w:r>
        <w:t>s</w:t>
      </w:r>
      <w:r w:rsidRPr="00443A1B">
        <w:t>ing in mainland GBA cities</w:t>
      </w:r>
      <w:r>
        <w:t xml:space="preserve"> (and vice versa) via mutual </w:t>
      </w:r>
      <w:r>
        <w:t xml:space="preserve">recognition schemes. </w:t>
      </w:r>
      <w:r>
        <w:t xml:space="preserve">One </w:t>
      </w:r>
      <w:r>
        <w:t>relevant development</w:t>
      </w:r>
      <w:r>
        <w:t xml:space="preserve"> is the integration of the common law insolvency regime (Hong Kong) with mainland insolvency policies</w:t>
      </w:r>
      <w:r>
        <w:t xml:space="preserve"> that have been adopted through various agreements to recognise and integrate the two systems.</w:t>
      </w:r>
    </w:p>
    <w:p w:rsidR="00396758" w:rsidP="000759D5">
      <w:pPr>
        <w:pStyle w:val="ListParagraph"/>
        <w:numPr>
          <w:ilvl w:val="0"/>
          <w:numId w:val="1"/>
        </w:numPr>
        <w:jc w:val="both"/>
      </w:pPr>
      <w:r>
        <w:t xml:space="preserve">According to our observations, </w:t>
      </w:r>
      <w:r w:rsidRPr="00443A1B">
        <w:t xml:space="preserve">UK </w:t>
      </w:r>
      <w:r>
        <w:t>lawyers</w:t>
      </w:r>
      <w:r w:rsidRPr="00443A1B">
        <w:t xml:space="preserve"> are increasingly sought for the China International Commercial Courts (CICC) and GBA-based arbitration cent</w:t>
      </w:r>
      <w:r>
        <w:t>res</w:t>
      </w:r>
      <w:r w:rsidRPr="00443A1B">
        <w:t xml:space="preserve"> (like the SCIA in Shenzhen) to provide expert opinions on English law, which governs many BRI contracts handled in the region.</w:t>
      </w:r>
    </w:p>
    <w:p w:rsidR="00396758" w:rsidP="000759D5">
      <w:pPr>
        <w:pStyle w:val="ListParagraph"/>
        <w:numPr>
          <w:ilvl w:val="0"/>
          <w:numId w:val="1"/>
        </w:numPr>
        <w:jc w:val="both"/>
      </w:pPr>
      <w:r>
        <w:t>In our view, an even more groundbreaking development from the GBA initiative is t</w:t>
      </w:r>
      <w:r w:rsidRPr="00972AB9">
        <w:t>he integration of three distinct legal systems within the GBA</w:t>
      </w:r>
      <w:r>
        <w:t xml:space="preserve"> (</w:t>
      </w:r>
      <w:r w:rsidRPr="00972AB9">
        <w:t>Guangdong–Hong Kong–Maca</w:t>
      </w:r>
      <w:r>
        <w:t>u), which</w:t>
      </w:r>
      <w:r w:rsidRPr="00972AB9">
        <w:t xml:space="preserve"> is </w:t>
      </w:r>
      <w:r>
        <w:t xml:space="preserve">arguably </w:t>
      </w:r>
      <w:r w:rsidRPr="00972AB9">
        <w:t>a world-first experiment in "legal soft connectivity."</w:t>
      </w:r>
      <w:r>
        <w:t xml:space="preserve"> T</w:t>
      </w:r>
      <w:r w:rsidRPr="00972AB9">
        <w:t>his project is no longer just a policy goal but a functional reality governed by the "One Country, Two Systems, Three Jurisdictions" framework.</w:t>
      </w:r>
      <w:r>
        <w:t xml:space="preserve"> </w:t>
      </w:r>
      <w:r w:rsidRPr="00972AB9">
        <w:t>The core challenge is harmoni</w:t>
      </w:r>
      <w:r>
        <w:t>s</w:t>
      </w:r>
      <w:r w:rsidRPr="00972AB9">
        <w:t>ing a socialist civil law system (Mainland China), a common law system (Hong Kong), and a Portuguese-influenced civil law system (Maca</w:t>
      </w:r>
      <w:r>
        <w:t>u</w:t>
      </w:r>
      <w:r w:rsidRPr="00972AB9">
        <w:t>).</w:t>
      </w:r>
      <w:r>
        <w:t xml:space="preserve"> </w:t>
      </w:r>
      <w:r w:rsidRPr="00972AB9">
        <w:t>By treating the three legal systems</w:t>
      </w:r>
      <w:r w:rsidRPr="00972AB9">
        <w:t xml:space="preserve"> as complementary tools rather than obstacles, the GBA </w:t>
      </w:r>
      <w:r>
        <w:t>will set a benchmark for</w:t>
      </w:r>
      <w:r w:rsidRPr="00972AB9">
        <w:t xml:space="preserve"> </w:t>
      </w:r>
      <w:r>
        <w:t>overcoming</w:t>
      </w:r>
      <w:r w:rsidRPr="00972AB9">
        <w:t xml:space="preserve"> jurisdictional</w:t>
      </w:r>
      <w:r>
        <w:t xml:space="preserve"> boundaries</w:t>
      </w:r>
      <w:r w:rsidRPr="00972AB9">
        <w:t xml:space="preserve"> for global </w:t>
      </w:r>
      <w:r>
        <w:t>commercial activities</w:t>
      </w:r>
      <w:r w:rsidRPr="00972AB9">
        <w:t>.</w:t>
      </w:r>
    </w:p>
    <w:p w:rsidR="00396758" w:rsidRPr="00CC4FF8" w:rsidP="000759D5">
      <w:pPr>
        <w:jc w:val="both"/>
        <w:rPr>
          <w:b/>
          <w:bCs/>
        </w:rPr>
      </w:pPr>
      <w:r w:rsidRPr="00CC4FF8">
        <w:rPr>
          <w:b/>
          <w:bCs/>
        </w:rPr>
        <w:t>Conclusion</w:t>
      </w:r>
    </w:p>
    <w:p w:rsidR="00396758" w:rsidP="000759D5">
      <w:pPr>
        <w:pStyle w:val="ListParagraph"/>
        <w:numPr>
          <w:ilvl w:val="0"/>
          <w:numId w:val="1"/>
        </w:numPr>
        <w:jc w:val="both"/>
      </w:pPr>
      <w:r>
        <w:t>In summary, UK universities must confront the harsh reality that they can no longer rely on Chinese students as the primary driver of growth and must instead pivot toward alternative markets or increase education delivery within China through joint institutes. However, the UK's legal sector remains a powerful asset, as English law continues to be the preferred choice for global trade and finance. As China pursues internationali</w:t>
      </w:r>
      <w:r>
        <w:t>s</w:t>
      </w:r>
      <w:r>
        <w:t>ation through the Greater Bay Area and speciali</w:t>
      </w:r>
      <w:r>
        <w:t>s</w:t>
      </w:r>
      <w:r>
        <w:t xml:space="preserve">ed </w:t>
      </w:r>
      <w:r>
        <w:t xml:space="preserve">international </w:t>
      </w:r>
      <w:r>
        <w:t>commercial courts, the integration of distinct legal systems offers a new benchmark for global commerce. By leveraging Hong Kong’s common law heritage and participating in the emerging "Common Law Islands" along the Belt and Road, UK legal professionals are well-positioned to facilitate high-value global trade in an increasingly interconnected yet jurisdictionally complex world.</w:t>
      </w:r>
    </w:p>
    <w:sectPr>
      <w:head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96758" w:rsidP="009A70FF">
      <w:pPr>
        <w:spacing w:after="0" w:line="240" w:lineRule="auto"/>
      </w:pPr>
      <w:r>
        <w:separator/>
      </w:r>
    </w:p>
  </w:footnote>
  <w:footnote w:type="continuationSeparator" w:id="1">
    <w:p w:rsidR="00396758" w:rsidP="009A70FF">
      <w:pPr>
        <w:spacing w:after="0" w:line="240" w:lineRule="auto"/>
      </w:pPr>
      <w:r>
        <w:continuationSeparator/>
      </w:r>
    </w:p>
  </w:footnote>
  <w:footnote w:id="2">
    <w:p w:rsidR="00396758" w:rsidRPr="00061781">
      <w:pPr>
        <w:pStyle w:val="FootnoteText"/>
        <w:rPr>
          <w:rFonts w:cstheme="minorHAnsi"/>
        </w:rPr>
      </w:pPr>
      <w:r w:rsidRPr="00061781">
        <w:rPr>
          <w:rStyle w:val="FootnoteReference"/>
          <w:rFonts w:cstheme="minorHAnsi"/>
        </w:rPr>
        <w:footnoteRef/>
      </w:r>
      <w:r w:rsidRPr="00061781">
        <w:rPr>
          <w:rFonts w:cstheme="minorHAnsi"/>
        </w:rPr>
        <w:t xml:space="preserve"> </w:t>
      </w:r>
      <w:r w:rsidRPr="00061781">
        <w:rPr>
          <w:rFonts w:cstheme="minorHAnsi"/>
        </w:rPr>
        <w:t>HESA, “Higher Education Student Statistics” (2026) &lt;</w:t>
      </w:r>
      <w:r w:rsidRPr="00061781">
        <w:rPr>
          <w:rFonts w:cstheme="minorHAnsi"/>
        </w:rPr>
        <w:t>https://www.hesa.ac.uk/news/27-01-2026/sb273-higher-education-student-statistics/location</w:t>
      </w:r>
      <w:r w:rsidRPr="00061781">
        <w:rPr>
          <w:rFonts w:cstheme="minorHAnsi"/>
        </w:rPr>
        <w:t>&gt;.</w:t>
      </w:r>
    </w:p>
  </w:footnote>
  <w:footnote w:id="3">
    <w:p w:rsidR="00396758" w:rsidRPr="00061781">
      <w:pPr>
        <w:pStyle w:val="FootnoteText"/>
        <w:rPr>
          <w:rFonts w:cstheme="minorHAnsi"/>
        </w:rPr>
      </w:pPr>
      <w:r w:rsidRPr="00061781">
        <w:rPr>
          <w:rStyle w:val="FootnoteReference"/>
          <w:rFonts w:cstheme="minorHAnsi"/>
        </w:rPr>
        <w:footnoteRef/>
      </w:r>
      <w:r w:rsidRPr="00061781">
        <w:rPr>
          <w:rFonts w:cstheme="minorHAnsi"/>
        </w:rPr>
        <w:t xml:space="preserve"> Ibid. </w:t>
      </w:r>
    </w:p>
  </w:footnote>
  <w:footnote w:id="4">
    <w:p w:rsidR="00396758" w:rsidRPr="00061781">
      <w:pPr>
        <w:pStyle w:val="FootnoteText"/>
        <w:rPr>
          <w:rFonts w:cstheme="minorHAnsi"/>
        </w:rPr>
      </w:pPr>
      <w:r w:rsidRPr="00061781">
        <w:rPr>
          <w:rStyle w:val="FootnoteReference"/>
          <w:rFonts w:cstheme="minorHAnsi"/>
        </w:rPr>
        <w:footnoteRef/>
      </w:r>
      <w:r w:rsidRPr="00061781">
        <w:rPr>
          <w:rFonts w:cstheme="minorHAnsi"/>
        </w:rPr>
        <w:t xml:space="preserve"> J Jiang, “Targeted Abroad and Shunned at Home” (14 September 2025) CNN &lt;https://edition.cnn.com/2025/09/12/china/china-us-students-golden-ticket-hnk-intl#:~:text=The%20%E2%80%9Cspy%20suspicion%E2%80%9D%20%E2%80%93%20a%20paranoia%20usually,the%20government%20and%20the%20ruling%20Communist%20Party&gt;.</w:t>
      </w:r>
    </w:p>
  </w:footnote>
  <w:footnote w:id="5">
    <w:p w:rsidR="00396758" w:rsidRPr="00061781" w:rsidP="00061781">
      <w:pPr>
        <w:pStyle w:val="FootnoteText"/>
        <w:rPr>
          <w:rFonts w:cstheme="minorHAnsi"/>
        </w:rPr>
      </w:pPr>
      <w:r w:rsidRPr="00061781">
        <w:rPr>
          <w:rStyle w:val="FootnoteReference"/>
          <w:rFonts w:cstheme="minorHAnsi"/>
        </w:rPr>
        <w:footnoteRef/>
      </w:r>
      <w:r w:rsidRPr="00061781">
        <w:rPr>
          <w:rFonts w:cstheme="minorHAnsi"/>
        </w:rPr>
        <w:t xml:space="preserve"> </w:t>
      </w:r>
      <w:r w:rsidRPr="00061781">
        <w:rPr>
          <w:rFonts w:cstheme="minorHAnsi"/>
        </w:rPr>
        <w:t xml:space="preserve">Z Shuo, “UK, HK Top Overseas Study Destinations for Mainland Students” </w:t>
      </w:r>
      <w:r>
        <w:rPr>
          <w:rFonts w:cstheme="minorHAnsi"/>
        </w:rPr>
        <w:t>China Daily</w:t>
      </w:r>
      <w:r w:rsidRPr="00061781">
        <w:rPr>
          <w:rFonts w:cstheme="minorHAnsi"/>
        </w:rPr>
        <w:t>(17 March 2026) &lt;</w:t>
      </w:r>
      <w:r w:rsidRPr="00061781">
        <w:rPr>
          <w:rFonts w:cstheme="minorHAnsi"/>
        </w:rPr>
        <w:t>https://www.chinadaily.com.cn/a/202603/17/WS69b90ea8a310d6866eb3e497.html</w:t>
      </w:r>
      <w:r w:rsidRPr="00061781">
        <w:rPr>
          <w:rFonts w:cstheme="minorHAnsi"/>
        </w:rPr>
        <w:t>&gt;.</w:t>
      </w:r>
    </w:p>
  </w:footnote>
  <w:footnote w:id="6">
    <w:p w:rsidR="00396758" w:rsidRPr="00061781">
      <w:pPr>
        <w:pStyle w:val="FootnoteText"/>
        <w:rPr>
          <w:rFonts w:cstheme="minorHAnsi"/>
        </w:rPr>
      </w:pPr>
      <w:r w:rsidRPr="00061781">
        <w:rPr>
          <w:rStyle w:val="FootnoteReference"/>
          <w:rFonts w:cstheme="minorHAnsi"/>
        </w:rPr>
        <w:footnoteRef/>
      </w:r>
      <w:r w:rsidRPr="00061781">
        <w:rPr>
          <w:rFonts w:cstheme="minorHAnsi"/>
        </w:rPr>
        <w:t xml:space="preserve"> One such example is the Leicester International Institute at Dalian University of Technology.</w:t>
      </w:r>
    </w:p>
  </w:footnote>
  <w:footnote w:id="7">
    <w:p w:rsidR="00396758" w:rsidRPr="00061781">
      <w:pPr>
        <w:pStyle w:val="FootnoteText"/>
        <w:rPr>
          <w:rFonts w:cstheme="minorHAnsi"/>
        </w:rPr>
      </w:pPr>
      <w:r w:rsidRPr="00061781">
        <w:rPr>
          <w:rStyle w:val="FootnoteReference"/>
          <w:rFonts w:cstheme="minorHAnsi"/>
        </w:rPr>
        <w:footnoteRef/>
      </w:r>
      <w:r w:rsidRPr="00061781">
        <w:rPr>
          <w:rFonts w:cstheme="minorHAnsi"/>
        </w:rPr>
        <w:t xml:space="preserve"> </w:t>
      </w:r>
      <w:r>
        <w:rPr>
          <w:rFonts w:cstheme="minorHAnsi"/>
        </w:rPr>
        <w:t>The Law Society, “</w:t>
      </w:r>
      <w:r w:rsidRPr="00061781">
        <w:rPr>
          <w:rFonts w:cstheme="minorHAnsi"/>
        </w:rPr>
        <w:t xml:space="preserve">Global </w:t>
      </w:r>
      <w:r>
        <w:rPr>
          <w:rFonts w:cstheme="minorHAnsi"/>
        </w:rPr>
        <w:t>P</w:t>
      </w:r>
      <w:r w:rsidRPr="00061781">
        <w:rPr>
          <w:rFonts w:cstheme="minorHAnsi"/>
        </w:rPr>
        <w:t xml:space="preserve">osition of English </w:t>
      </w:r>
      <w:r>
        <w:rPr>
          <w:rFonts w:cstheme="minorHAnsi"/>
        </w:rPr>
        <w:t>L</w:t>
      </w:r>
      <w:r w:rsidRPr="00061781">
        <w:rPr>
          <w:rFonts w:cstheme="minorHAnsi"/>
        </w:rPr>
        <w:t>aw in 2025</w:t>
      </w:r>
      <w:r>
        <w:rPr>
          <w:rFonts w:cstheme="minorHAnsi"/>
        </w:rPr>
        <w:t>” (2025) &lt;</w:t>
      </w:r>
      <w:r w:rsidRPr="00061781">
        <w:rPr>
          <w:rFonts w:cstheme="minorHAnsi"/>
        </w:rPr>
        <w:t>https://www.lawsociety.org.uk/topics/research/international-data-insights-report-2025#:~:text=A%20significant%20proportion%20of%20international,for%20expertise%20in%20English%20law</w:t>
      </w:r>
      <w:r>
        <w:rPr>
          <w:rFonts w:cstheme="minorHAnsi"/>
        </w:rPr>
        <w:t>&gt;.</w:t>
      </w:r>
    </w:p>
  </w:footnote>
  <w:footnote w:id="8">
    <w:p w:rsidR="00396758" w:rsidRPr="00061781">
      <w:pPr>
        <w:pStyle w:val="FootnoteText"/>
        <w:rPr>
          <w:rFonts w:cstheme="minorHAnsi"/>
        </w:rPr>
      </w:pPr>
      <w:r w:rsidRPr="00061781">
        <w:rPr>
          <w:rStyle w:val="FootnoteReference"/>
          <w:rFonts w:cstheme="minorHAnsi"/>
        </w:rPr>
        <w:footnoteRef/>
      </w:r>
      <w:r w:rsidRPr="00061781">
        <w:rPr>
          <w:rFonts w:cstheme="minorHAnsi"/>
        </w:rPr>
        <w:t xml:space="preserve"> See e.g. </w:t>
      </w:r>
      <w:r w:rsidRPr="00061781">
        <w:rPr>
          <w:rFonts w:cstheme="minorHAnsi"/>
        </w:rPr>
        <w:t xml:space="preserve">CSA Okoli and A Yekini, </w:t>
      </w:r>
      <w:r>
        <w:rPr>
          <w:rFonts w:cstheme="minorHAnsi"/>
        </w:rPr>
        <w:t>“</w:t>
      </w:r>
      <w:r w:rsidRPr="00061781">
        <w:rPr>
          <w:rFonts w:cstheme="minorHAnsi"/>
        </w:rPr>
        <w:t xml:space="preserve">Implied </w:t>
      </w:r>
      <w:r>
        <w:rPr>
          <w:rFonts w:cstheme="minorHAnsi"/>
        </w:rPr>
        <w:t>J</w:t>
      </w:r>
      <w:r w:rsidRPr="00061781">
        <w:rPr>
          <w:rFonts w:cstheme="minorHAnsi"/>
        </w:rPr>
        <w:t xml:space="preserve">urisdiction </w:t>
      </w:r>
      <w:r>
        <w:rPr>
          <w:rFonts w:cstheme="minorHAnsi"/>
        </w:rPr>
        <w:t>A</w:t>
      </w:r>
      <w:r w:rsidRPr="00061781">
        <w:rPr>
          <w:rFonts w:cstheme="minorHAnsi"/>
        </w:rPr>
        <w:t xml:space="preserve">greements in </w:t>
      </w:r>
      <w:r>
        <w:rPr>
          <w:rFonts w:cstheme="minorHAnsi"/>
        </w:rPr>
        <w:t>I</w:t>
      </w:r>
      <w:r w:rsidRPr="00061781">
        <w:rPr>
          <w:rFonts w:cstheme="minorHAnsi"/>
        </w:rPr>
        <w:t xml:space="preserve">nternational </w:t>
      </w:r>
      <w:r>
        <w:rPr>
          <w:rFonts w:cstheme="minorHAnsi"/>
        </w:rPr>
        <w:t>C</w:t>
      </w:r>
      <w:r w:rsidRPr="00061781">
        <w:rPr>
          <w:rFonts w:cstheme="minorHAnsi"/>
        </w:rPr>
        <w:t xml:space="preserve">ommercial </w:t>
      </w:r>
      <w:r>
        <w:rPr>
          <w:rFonts w:cstheme="minorHAnsi"/>
        </w:rPr>
        <w:t>C</w:t>
      </w:r>
      <w:r w:rsidRPr="00061781">
        <w:rPr>
          <w:rFonts w:cstheme="minorHAnsi"/>
        </w:rPr>
        <w:t xml:space="preserve">ontracts: </w:t>
      </w:r>
      <w:r>
        <w:rPr>
          <w:rFonts w:cstheme="minorHAnsi"/>
        </w:rPr>
        <w:t>A</w:t>
      </w:r>
      <w:r w:rsidRPr="00061781">
        <w:rPr>
          <w:rFonts w:cstheme="minorHAnsi"/>
        </w:rPr>
        <w:t xml:space="preserve"> </w:t>
      </w:r>
      <w:r>
        <w:rPr>
          <w:rFonts w:cstheme="minorHAnsi"/>
        </w:rPr>
        <w:t>G</w:t>
      </w:r>
      <w:r w:rsidRPr="00061781">
        <w:rPr>
          <w:rFonts w:cstheme="minorHAnsi"/>
        </w:rPr>
        <w:t xml:space="preserve">lobal </w:t>
      </w:r>
      <w:r>
        <w:rPr>
          <w:rFonts w:cstheme="minorHAnsi"/>
        </w:rPr>
        <w:t>C</w:t>
      </w:r>
      <w:r w:rsidRPr="00061781">
        <w:rPr>
          <w:rFonts w:cstheme="minorHAnsi"/>
        </w:rPr>
        <w:t xml:space="preserve">omparative </w:t>
      </w:r>
      <w:r>
        <w:rPr>
          <w:rFonts w:cstheme="minorHAnsi"/>
        </w:rPr>
        <w:t>P</w:t>
      </w:r>
      <w:r w:rsidRPr="00061781">
        <w:rPr>
          <w:rFonts w:cstheme="minorHAnsi"/>
        </w:rPr>
        <w:t>erspective</w:t>
      </w:r>
      <w:r>
        <w:rPr>
          <w:rFonts w:cstheme="minorHAnsi"/>
        </w:rPr>
        <w:t>”</w:t>
      </w:r>
      <w:r w:rsidRPr="00061781">
        <w:rPr>
          <w:rFonts w:cstheme="minorHAnsi"/>
        </w:rPr>
        <w:t xml:space="preserve"> (2023) 19(3) Journal of Private International Law 321.</w:t>
      </w:r>
    </w:p>
  </w:footnote>
  <w:footnote w:id="9">
    <w:p w:rsidR="00396758" w:rsidRPr="00061781">
      <w:pPr>
        <w:pStyle w:val="FootnoteText"/>
        <w:rPr>
          <w:rFonts w:cstheme="minorHAnsi"/>
        </w:rPr>
      </w:pPr>
      <w:r w:rsidRPr="00061781">
        <w:rPr>
          <w:rStyle w:val="FootnoteReference"/>
          <w:rFonts w:cstheme="minorHAnsi"/>
        </w:rPr>
        <w:footnoteRef/>
      </w:r>
      <w:r w:rsidRPr="00061781">
        <w:rPr>
          <w:rFonts w:cstheme="minorHAnsi"/>
        </w:rPr>
        <w:t xml:space="preserve"> See e.g. </w:t>
      </w:r>
      <w:r w:rsidRPr="005F4BA8">
        <w:rPr>
          <w:rFonts w:cstheme="minorHAnsi"/>
        </w:rPr>
        <w:t xml:space="preserve">T Beck, A Demirgüç-Kunt and R Levine, </w:t>
      </w:r>
      <w:r>
        <w:rPr>
          <w:rFonts w:cstheme="minorHAnsi"/>
        </w:rPr>
        <w:t>“</w:t>
      </w:r>
      <w:r w:rsidRPr="005F4BA8">
        <w:rPr>
          <w:rFonts w:cstheme="minorHAnsi"/>
        </w:rPr>
        <w:t xml:space="preserve">Law and </w:t>
      </w:r>
      <w:r>
        <w:rPr>
          <w:rFonts w:cstheme="minorHAnsi"/>
        </w:rPr>
        <w:t>F</w:t>
      </w:r>
      <w:r w:rsidRPr="005F4BA8">
        <w:rPr>
          <w:rFonts w:cstheme="minorHAnsi"/>
        </w:rPr>
        <w:t xml:space="preserve">inance: </w:t>
      </w:r>
      <w:r>
        <w:rPr>
          <w:rFonts w:cstheme="minorHAnsi"/>
        </w:rPr>
        <w:t>W</w:t>
      </w:r>
      <w:r w:rsidRPr="005F4BA8">
        <w:rPr>
          <w:rFonts w:cstheme="minorHAnsi"/>
        </w:rPr>
        <w:t xml:space="preserve">hy </w:t>
      </w:r>
      <w:r>
        <w:rPr>
          <w:rFonts w:cstheme="minorHAnsi"/>
        </w:rPr>
        <w:t>D</w:t>
      </w:r>
      <w:r w:rsidRPr="005F4BA8">
        <w:rPr>
          <w:rFonts w:cstheme="minorHAnsi"/>
        </w:rPr>
        <w:t xml:space="preserve">oes </w:t>
      </w:r>
      <w:r>
        <w:rPr>
          <w:rFonts w:cstheme="minorHAnsi"/>
        </w:rPr>
        <w:t>L</w:t>
      </w:r>
      <w:r w:rsidRPr="005F4BA8">
        <w:rPr>
          <w:rFonts w:cstheme="minorHAnsi"/>
        </w:rPr>
        <w:t xml:space="preserve">egal </w:t>
      </w:r>
      <w:r>
        <w:rPr>
          <w:rFonts w:cstheme="minorHAnsi"/>
        </w:rPr>
        <w:t>O</w:t>
      </w:r>
      <w:r w:rsidRPr="005F4BA8">
        <w:rPr>
          <w:rFonts w:cstheme="minorHAnsi"/>
        </w:rPr>
        <w:t xml:space="preserve">rigin </w:t>
      </w:r>
      <w:r>
        <w:rPr>
          <w:rFonts w:cstheme="minorHAnsi"/>
        </w:rPr>
        <w:t>M</w:t>
      </w:r>
      <w:r w:rsidRPr="005F4BA8">
        <w:rPr>
          <w:rFonts w:cstheme="minorHAnsi"/>
        </w:rPr>
        <w:t>atter?</w:t>
      </w:r>
      <w:r>
        <w:rPr>
          <w:rFonts w:cstheme="minorHAnsi"/>
        </w:rPr>
        <w:t>”</w:t>
      </w:r>
      <w:r w:rsidRPr="005F4BA8">
        <w:rPr>
          <w:rFonts w:cstheme="minorHAnsi"/>
        </w:rPr>
        <w:t xml:space="preserve"> (2003) 31(4) Journal of Comparative Economics 653.</w:t>
      </w:r>
    </w:p>
  </w:footnote>
  <w:footnote w:id="10">
    <w:p w:rsidR="00396758" w:rsidRPr="00061781">
      <w:pPr>
        <w:pStyle w:val="FootnoteText"/>
        <w:rPr>
          <w:rFonts w:cstheme="minorHAnsi"/>
        </w:rPr>
      </w:pPr>
      <w:r w:rsidRPr="00061781">
        <w:rPr>
          <w:rStyle w:val="FootnoteReference"/>
          <w:rFonts w:cstheme="minorHAnsi"/>
        </w:rPr>
        <w:footnoteRef/>
      </w:r>
      <w:r w:rsidRPr="00061781">
        <w:rPr>
          <w:rFonts w:cstheme="minorHAnsi"/>
        </w:rPr>
        <w:t xml:space="preserve"> </w:t>
      </w:r>
      <w:r w:rsidRPr="005F4BA8">
        <w:rPr>
          <w:rFonts w:cstheme="minorHAnsi"/>
        </w:rPr>
        <w:t xml:space="preserve">H Hansmann and R Kraakman, </w:t>
      </w:r>
      <w:r>
        <w:rPr>
          <w:rFonts w:cstheme="minorHAnsi"/>
        </w:rPr>
        <w:t>“</w:t>
      </w:r>
      <w:r w:rsidRPr="005F4BA8">
        <w:rPr>
          <w:rFonts w:cstheme="minorHAnsi"/>
        </w:rPr>
        <w:t>The End of History for Corporate Law</w:t>
      </w:r>
      <w:r>
        <w:rPr>
          <w:rFonts w:cstheme="minorHAnsi"/>
        </w:rPr>
        <w:t>”</w:t>
      </w:r>
      <w:r w:rsidRPr="005F4BA8">
        <w:rPr>
          <w:rFonts w:cstheme="minorHAnsi"/>
        </w:rPr>
        <w:t xml:space="preserve"> (2001) 89(2) Georgetown Law Journal 439</w:t>
      </w:r>
      <w:r w:rsidRPr="00061781">
        <w:rPr>
          <w:rFonts w:cstheme="minorHAnsi"/>
        </w:rPr>
        <w:t xml:space="preserve">; </w:t>
      </w:r>
      <w:r w:rsidRPr="005F4BA8">
        <w:rPr>
          <w:rFonts w:cstheme="minorHAnsi"/>
        </w:rPr>
        <w:t>F</w:t>
      </w:r>
      <w:r>
        <w:rPr>
          <w:rFonts w:cstheme="minorHAnsi"/>
        </w:rPr>
        <w:t xml:space="preserve"> </w:t>
      </w:r>
      <w:r w:rsidRPr="005F4BA8">
        <w:rPr>
          <w:rFonts w:cstheme="minorHAnsi"/>
        </w:rPr>
        <w:t>Huang and H</w:t>
      </w:r>
      <w:r>
        <w:rPr>
          <w:rFonts w:cstheme="minorHAnsi"/>
        </w:rPr>
        <w:t xml:space="preserve"> </w:t>
      </w:r>
      <w:r w:rsidRPr="005F4BA8">
        <w:rPr>
          <w:rFonts w:cstheme="minorHAnsi"/>
        </w:rPr>
        <w:t xml:space="preserve">Yeung, </w:t>
      </w:r>
      <w:r w:rsidRPr="005F4BA8">
        <w:rPr>
          <w:rFonts w:cstheme="minorHAnsi"/>
          <w:i/>
          <w:iCs/>
        </w:rPr>
        <w:t>Chinese Companies and the Hong Kong Stock Market</w:t>
      </w:r>
      <w:r w:rsidRPr="005F4BA8">
        <w:rPr>
          <w:rFonts w:cstheme="minorHAnsi"/>
        </w:rPr>
        <w:t xml:space="preserve"> (Routledge 2014)</w:t>
      </w:r>
      <w:r>
        <w:rPr>
          <w:rFonts w:cstheme="minorHAnsi"/>
        </w:rPr>
        <w:t xml:space="preserve"> </w:t>
      </w:r>
      <w:r w:rsidRPr="00061781">
        <w:rPr>
          <w:rFonts w:cstheme="minorHAnsi"/>
        </w:rPr>
        <w:t xml:space="preserve">164-166; </w:t>
      </w:r>
      <w:r w:rsidRPr="005F4BA8">
        <w:rPr>
          <w:rFonts w:cstheme="minorHAnsi"/>
        </w:rPr>
        <w:t xml:space="preserve">F Huang, </w:t>
      </w:r>
      <w:r>
        <w:rPr>
          <w:rFonts w:cstheme="minorHAnsi"/>
        </w:rPr>
        <w:t>“</w:t>
      </w:r>
      <w:r w:rsidRPr="005F4BA8">
        <w:rPr>
          <w:rFonts w:cstheme="minorHAnsi"/>
        </w:rPr>
        <w:t xml:space="preserve">Modernising the Chinese </w:t>
      </w:r>
      <w:r>
        <w:rPr>
          <w:rFonts w:cstheme="minorHAnsi"/>
        </w:rPr>
        <w:t>C</w:t>
      </w:r>
      <w:r w:rsidRPr="005F4BA8">
        <w:rPr>
          <w:rFonts w:cstheme="minorHAnsi"/>
        </w:rPr>
        <w:t xml:space="preserve">apital </w:t>
      </w:r>
      <w:r>
        <w:rPr>
          <w:rFonts w:cstheme="minorHAnsi"/>
        </w:rPr>
        <w:t>M</w:t>
      </w:r>
      <w:r w:rsidRPr="005F4BA8">
        <w:rPr>
          <w:rFonts w:cstheme="minorHAnsi"/>
        </w:rPr>
        <w:t xml:space="preserve">arket: </w:t>
      </w:r>
      <w:r>
        <w:rPr>
          <w:rFonts w:cstheme="minorHAnsi"/>
        </w:rPr>
        <w:t>O</w:t>
      </w:r>
      <w:r w:rsidRPr="005F4BA8">
        <w:rPr>
          <w:rFonts w:cstheme="minorHAnsi"/>
        </w:rPr>
        <w:t xml:space="preserve">ld </w:t>
      </w:r>
      <w:r>
        <w:rPr>
          <w:rFonts w:cstheme="minorHAnsi"/>
        </w:rPr>
        <w:t>P</w:t>
      </w:r>
      <w:r w:rsidRPr="005F4BA8">
        <w:rPr>
          <w:rFonts w:cstheme="minorHAnsi"/>
        </w:rPr>
        <w:t xml:space="preserve">roblems and </w:t>
      </w:r>
      <w:r>
        <w:rPr>
          <w:rFonts w:cstheme="minorHAnsi"/>
        </w:rPr>
        <w:t>N</w:t>
      </w:r>
      <w:r w:rsidRPr="005F4BA8">
        <w:rPr>
          <w:rFonts w:cstheme="minorHAnsi"/>
        </w:rPr>
        <w:t xml:space="preserve">ew </w:t>
      </w:r>
      <w:r>
        <w:rPr>
          <w:rFonts w:cstheme="minorHAnsi"/>
        </w:rPr>
        <w:t>L</w:t>
      </w:r>
      <w:r w:rsidRPr="005F4BA8">
        <w:rPr>
          <w:rFonts w:cstheme="minorHAnsi"/>
        </w:rPr>
        <w:t xml:space="preserve">egal </w:t>
      </w:r>
      <w:r>
        <w:rPr>
          <w:rFonts w:cstheme="minorHAnsi"/>
        </w:rPr>
        <w:t>R</w:t>
      </w:r>
      <w:r w:rsidRPr="005F4BA8">
        <w:rPr>
          <w:rFonts w:cstheme="minorHAnsi"/>
        </w:rPr>
        <w:t>esponses</w:t>
      </w:r>
      <w:r>
        <w:rPr>
          <w:rFonts w:cstheme="minorHAnsi"/>
        </w:rPr>
        <w:t xml:space="preserve">” (2010) 21(10) </w:t>
      </w:r>
      <w:r w:rsidRPr="005F4BA8">
        <w:rPr>
          <w:rFonts w:cstheme="minorHAnsi"/>
        </w:rPr>
        <w:t>International Company and Commercial Law Review</w:t>
      </w:r>
      <w:r>
        <w:rPr>
          <w:rFonts w:cstheme="minorHAnsi"/>
        </w:rPr>
        <w:t xml:space="preserve"> </w:t>
      </w:r>
      <w:r w:rsidRPr="005F4BA8">
        <w:rPr>
          <w:rFonts w:cstheme="minorHAnsi"/>
        </w:rPr>
        <w:t>327</w:t>
      </w:r>
      <w:r>
        <w:rPr>
          <w:rFonts w:cstheme="minorHAnsi"/>
        </w:rPr>
        <w:t>.</w:t>
      </w:r>
    </w:p>
  </w:footnote>
  <w:footnote w:id="11">
    <w:p w:rsidR="00396758" w:rsidRPr="00061781">
      <w:pPr>
        <w:pStyle w:val="FootnoteText"/>
        <w:rPr>
          <w:rFonts w:cstheme="minorHAnsi"/>
        </w:rPr>
      </w:pPr>
      <w:r w:rsidRPr="00061781">
        <w:rPr>
          <w:rStyle w:val="FootnoteReference"/>
          <w:rFonts w:cstheme="minorHAnsi"/>
        </w:rPr>
        <w:footnoteRef/>
      </w:r>
      <w:r w:rsidRPr="00061781">
        <w:rPr>
          <w:rFonts w:cstheme="minorHAnsi"/>
        </w:rPr>
        <w:t xml:space="preserve"> </w:t>
      </w:r>
      <w:r>
        <w:rPr>
          <w:rFonts w:cstheme="minorHAnsi"/>
        </w:rPr>
        <w:t xml:space="preserve">F Huang, </w:t>
      </w:r>
      <w:r w:rsidRPr="005F4BA8">
        <w:rPr>
          <w:rFonts w:cstheme="minorHAnsi"/>
        </w:rPr>
        <w:t>Chinese and Global Financial Integration through Stock Connect: A Legal Analysis (Hart 202</w:t>
      </w:r>
      <w:r>
        <w:rPr>
          <w:rFonts w:cstheme="minorHAnsi"/>
        </w:rPr>
        <w:t>5</w:t>
      </w:r>
      <w:r w:rsidRPr="005F4BA8">
        <w:rPr>
          <w:rFonts w:cstheme="minorHAnsi"/>
        </w:rPr>
        <w:t>)</w:t>
      </w:r>
      <w:r>
        <w:rPr>
          <w:rFonts w:cstheme="minorHAnsi"/>
        </w:rPr>
        <w:t>;</w:t>
      </w:r>
      <w:r w:rsidRPr="005F4BA8">
        <w:rPr>
          <w:rFonts w:cstheme="minorHAnsi"/>
        </w:rPr>
        <w:t xml:space="preserve"> </w:t>
      </w:r>
      <w:r w:rsidRPr="00A73D60">
        <w:rPr>
          <w:rFonts w:cstheme="minorHAnsi"/>
        </w:rPr>
        <w:t xml:space="preserve">F Huang, </w:t>
      </w:r>
      <w:r>
        <w:rPr>
          <w:rFonts w:cstheme="minorHAnsi"/>
        </w:rPr>
        <w:t>“</w:t>
      </w:r>
      <w:r w:rsidRPr="00A73D60">
        <w:rPr>
          <w:rFonts w:cstheme="minorHAnsi"/>
        </w:rPr>
        <w:t>Stock Connect: Integration, Internationalisation and Implementation</w:t>
      </w:r>
      <w:r>
        <w:rPr>
          <w:rFonts w:cstheme="minorHAnsi"/>
        </w:rPr>
        <w:t>”</w:t>
      </w:r>
      <w:r w:rsidRPr="00A73D60">
        <w:rPr>
          <w:rFonts w:cstheme="minorHAnsi"/>
        </w:rPr>
        <w:t xml:space="preserve"> [2021] J</w:t>
      </w:r>
      <w:r>
        <w:rPr>
          <w:rFonts w:cstheme="minorHAnsi"/>
        </w:rPr>
        <w:t>ournal of Business Law</w:t>
      </w:r>
      <w:r w:rsidRPr="00A73D60">
        <w:rPr>
          <w:rFonts w:cstheme="minorHAnsi"/>
        </w:rPr>
        <w:t xml:space="preserve"> </w:t>
      </w:r>
      <w:r>
        <w:rPr>
          <w:rFonts w:cstheme="minorHAnsi"/>
        </w:rPr>
        <w:t>558.</w:t>
      </w:r>
    </w:p>
  </w:footnote>
  <w:footnote w:id="12">
    <w:p w:rsidR="00396758" w:rsidRPr="00061781">
      <w:pPr>
        <w:pStyle w:val="FootnoteText"/>
        <w:rPr>
          <w:rFonts w:cstheme="minorHAnsi"/>
        </w:rPr>
      </w:pPr>
      <w:r w:rsidRPr="00061781">
        <w:rPr>
          <w:rStyle w:val="FootnoteReference"/>
          <w:rFonts w:cstheme="minorHAnsi"/>
        </w:rPr>
        <w:footnoteRef/>
      </w:r>
      <w:r w:rsidRPr="00061781">
        <w:rPr>
          <w:rFonts w:cstheme="minorHAnsi"/>
        </w:rPr>
        <w:t xml:space="preserve"> </w:t>
      </w:r>
      <w:r w:rsidRPr="00A73D60">
        <w:rPr>
          <w:rFonts w:cstheme="minorHAnsi"/>
        </w:rPr>
        <w:t xml:space="preserve">JI Moreira and S Lin, </w:t>
      </w:r>
      <w:r>
        <w:rPr>
          <w:rFonts w:cstheme="minorHAnsi"/>
        </w:rPr>
        <w:t>“</w:t>
      </w:r>
      <w:r w:rsidRPr="00A73D60">
        <w:rPr>
          <w:rFonts w:cstheme="minorHAnsi"/>
        </w:rPr>
        <w:t xml:space="preserve">Effective or </w:t>
      </w:r>
      <w:r>
        <w:rPr>
          <w:rFonts w:cstheme="minorHAnsi"/>
        </w:rPr>
        <w:t>S</w:t>
      </w:r>
      <w:r w:rsidRPr="00A73D60">
        <w:rPr>
          <w:rFonts w:cstheme="minorHAnsi"/>
        </w:rPr>
        <w:t xml:space="preserve">ymbolic? A </w:t>
      </w:r>
      <w:r>
        <w:rPr>
          <w:rFonts w:cstheme="minorHAnsi"/>
        </w:rPr>
        <w:t>R</w:t>
      </w:r>
      <w:r w:rsidRPr="00A73D60">
        <w:rPr>
          <w:rFonts w:cstheme="minorHAnsi"/>
        </w:rPr>
        <w:t xml:space="preserve">etrospective </w:t>
      </w:r>
      <w:r>
        <w:rPr>
          <w:rFonts w:cstheme="minorHAnsi"/>
        </w:rPr>
        <w:t>L</w:t>
      </w:r>
      <w:r w:rsidRPr="00A73D60">
        <w:rPr>
          <w:rFonts w:cstheme="minorHAnsi"/>
        </w:rPr>
        <w:t xml:space="preserve">ook at the </w:t>
      </w:r>
      <w:r>
        <w:rPr>
          <w:rFonts w:cstheme="minorHAnsi"/>
        </w:rPr>
        <w:t>P</w:t>
      </w:r>
      <w:r w:rsidRPr="00A73D60">
        <w:rPr>
          <w:rFonts w:cstheme="minorHAnsi"/>
        </w:rPr>
        <w:t>erformance of the China International Commercial Court</w:t>
      </w:r>
      <w:r>
        <w:rPr>
          <w:rFonts w:cstheme="minorHAnsi"/>
        </w:rPr>
        <w:t>”</w:t>
      </w:r>
      <w:r w:rsidRPr="00A73D60">
        <w:rPr>
          <w:rFonts w:cstheme="minorHAnsi"/>
        </w:rPr>
        <w:t xml:space="preserve"> (2025) 33(1) Asia Pacific Law Review 1.</w:t>
      </w:r>
    </w:p>
  </w:footnote>
  <w:footnote w:id="13">
    <w:p w:rsidR="00396758" w:rsidRPr="00061781">
      <w:pPr>
        <w:pStyle w:val="FootnoteText"/>
        <w:rPr>
          <w:rFonts w:cstheme="minorHAnsi"/>
        </w:rPr>
      </w:pPr>
      <w:r w:rsidRPr="00061781">
        <w:rPr>
          <w:rStyle w:val="FootnoteReference"/>
          <w:rFonts w:cstheme="minorHAnsi"/>
        </w:rPr>
        <w:footnoteRef/>
      </w:r>
      <w:r w:rsidRPr="00061781">
        <w:rPr>
          <w:rFonts w:cstheme="minorHAnsi"/>
        </w:rPr>
        <w:t xml:space="preserve"> </w:t>
      </w:r>
      <w:r>
        <w:rPr>
          <w:rFonts w:cstheme="minorHAnsi"/>
        </w:rPr>
        <w:t>F Huang and others, “</w:t>
      </w:r>
      <w:r w:rsidRPr="00A73D60">
        <w:rPr>
          <w:rFonts w:cstheme="minorHAnsi"/>
        </w:rPr>
        <w:t xml:space="preserve">The Rise of Distinct </w:t>
      </w:r>
      <w:r>
        <w:rPr>
          <w:rFonts w:cstheme="minorHAnsi"/>
        </w:rPr>
        <w:t>“</w:t>
      </w:r>
      <w:r w:rsidRPr="00A73D60">
        <w:rPr>
          <w:rFonts w:cstheme="minorHAnsi"/>
        </w:rPr>
        <w:t>Common Law</w:t>
      </w:r>
      <w:r>
        <w:rPr>
          <w:rFonts w:cstheme="minorHAnsi"/>
        </w:rPr>
        <w:t>”</w:t>
      </w:r>
      <w:r w:rsidRPr="00A73D60">
        <w:rPr>
          <w:rFonts w:cstheme="minorHAnsi"/>
        </w:rPr>
        <w:t xml:space="preserve"> Financial Zones in Islamic Countries</w:t>
      </w:r>
      <w:r>
        <w:rPr>
          <w:rFonts w:cstheme="minorHAnsi"/>
        </w:rPr>
        <w:t xml:space="preserve">” (2025) 42(1) </w:t>
      </w:r>
      <w:r w:rsidRPr="00A73D60">
        <w:rPr>
          <w:rFonts w:cstheme="minorHAnsi"/>
        </w:rPr>
        <w:t>Arizona Journal of International and Comparative Law</w:t>
      </w:r>
      <w:r>
        <w:rPr>
          <w:rFonts w:cstheme="minorHAnsi"/>
        </w:rPr>
        <w:t xml:space="preserve"> 100; F Huang</w:t>
      </w:r>
      <w:r w:rsidRPr="00A73D60">
        <w:rPr>
          <w:rFonts w:cstheme="minorHAnsi"/>
        </w:rPr>
        <w:t xml:space="preserve"> and others, </w:t>
      </w:r>
      <w:r>
        <w:rPr>
          <w:rFonts w:cstheme="minorHAnsi"/>
        </w:rPr>
        <w:t>“</w:t>
      </w:r>
      <w:r w:rsidRPr="00A73D60">
        <w:rPr>
          <w:rFonts w:cstheme="minorHAnsi"/>
        </w:rPr>
        <w:t>Institutional Development and the Astana International Financial Centre in Kazakhstan</w:t>
      </w:r>
      <w:r>
        <w:rPr>
          <w:rFonts w:cstheme="minorHAnsi"/>
        </w:rPr>
        <w:t>”</w:t>
      </w:r>
      <w:r w:rsidRPr="00A73D60">
        <w:rPr>
          <w:rFonts w:cstheme="minorHAnsi"/>
        </w:rPr>
        <w:t xml:space="preserve"> (2021) 19(1) Washington University Global Studies Law Review 53.</w:t>
      </w:r>
    </w:p>
  </w:footnote>
  <w:footnote w:id="14">
    <w:p w:rsidR="00396758" w:rsidRPr="00061781">
      <w:pPr>
        <w:pStyle w:val="FootnoteText"/>
        <w:rPr>
          <w:rFonts w:cstheme="minorHAnsi"/>
        </w:rPr>
      </w:pPr>
      <w:r w:rsidRPr="00061781">
        <w:rPr>
          <w:rStyle w:val="FootnoteReference"/>
          <w:rFonts w:cstheme="minorHAnsi"/>
        </w:rPr>
        <w:footnoteRef/>
      </w:r>
      <w:r w:rsidRPr="00061781">
        <w:rPr>
          <w:rFonts w:cstheme="minorHAnsi"/>
        </w:rPr>
        <w:t xml:space="preserve"> </w:t>
      </w:r>
      <w:r w:rsidRPr="002869F5">
        <w:rPr>
          <w:rFonts w:cstheme="minorHAnsi"/>
        </w:rPr>
        <w:t xml:space="preserve">F Huang and H Yeung, </w:t>
      </w:r>
      <w:r w:rsidRPr="002869F5">
        <w:rPr>
          <w:rFonts w:cstheme="minorHAnsi"/>
          <w:i/>
          <w:iCs/>
        </w:rPr>
        <w:t>Institutions and Economic Growth in Asia</w:t>
      </w:r>
      <w:r w:rsidRPr="002869F5">
        <w:rPr>
          <w:rFonts w:cstheme="minorHAnsi"/>
        </w:rPr>
        <w:t>: The Case of Mainland China, Hong Kong, Singapore and Malaysia (Routledge 2018)</w:t>
      </w:r>
      <w:r>
        <w:rPr>
          <w:rFonts w:cstheme="minorHAnsi"/>
        </w:rPr>
        <w:t xml:space="preserve"> 114.</w:t>
      </w:r>
    </w:p>
  </w:footnote>
  <w:footnote w:id="15">
    <w:p w:rsidR="00396758" w:rsidRPr="00061781">
      <w:pPr>
        <w:pStyle w:val="FootnoteText"/>
        <w:rPr>
          <w:rFonts w:cstheme="minorHAnsi"/>
        </w:rPr>
      </w:pPr>
      <w:r w:rsidRPr="00061781">
        <w:rPr>
          <w:rStyle w:val="FootnoteReference"/>
          <w:rFonts w:cstheme="minorHAnsi"/>
        </w:rPr>
        <w:footnoteRef/>
      </w:r>
      <w:r>
        <w:rPr>
          <w:rFonts w:cstheme="minorHAnsi"/>
        </w:rPr>
        <w:t xml:space="preserve"> </w:t>
      </w:r>
      <w:r w:rsidRPr="002869F5">
        <w:rPr>
          <w:rFonts w:cstheme="minorHAnsi"/>
        </w:rPr>
        <w:t xml:space="preserve">F Huang and H Yeung, </w:t>
      </w:r>
      <w:r>
        <w:rPr>
          <w:rFonts w:cstheme="minorHAnsi"/>
        </w:rPr>
        <w:t>“</w:t>
      </w:r>
      <w:r w:rsidRPr="002869F5">
        <w:rPr>
          <w:rFonts w:cstheme="minorHAnsi"/>
        </w:rPr>
        <w:t>“One Country Two Systems” as Bedrock of Hong Kong’s Continued Success: Fiction or Reality?</w:t>
      </w:r>
      <w:r>
        <w:rPr>
          <w:rFonts w:cstheme="minorHAnsi"/>
        </w:rPr>
        <w:t>”</w:t>
      </w:r>
      <w:r w:rsidRPr="00061781">
        <w:rPr>
          <w:rFonts w:cstheme="minorHAnsi"/>
        </w:rPr>
        <w:t xml:space="preserve"> </w:t>
      </w:r>
      <w:r>
        <w:rPr>
          <w:rFonts w:cstheme="minorHAnsi"/>
        </w:rPr>
        <w:t xml:space="preserve">(2015) </w:t>
      </w:r>
      <w:r w:rsidRPr="002869F5">
        <w:rPr>
          <w:rFonts w:cstheme="minorHAnsi"/>
        </w:rPr>
        <w:t>38 Boston College International &amp; Comparative Law Review 191</w:t>
      </w:r>
      <w:r>
        <w:rPr>
          <w:rFonts w:cstheme="minorHAnsi"/>
        </w:rPr>
        <w:t xml:space="preserve">; </w:t>
      </w:r>
      <w:r w:rsidRPr="002869F5">
        <w:rPr>
          <w:rFonts w:cstheme="minorHAnsi"/>
        </w:rPr>
        <w:t xml:space="preserve">F Huang and H Yeung, </w:t>
      </w:r>
      <w:r>
        <w:rPr>
          <w:rFonts w:cstheme="minorHAnsi"/>
        </w:rPr>
        <w:t>“</w:t>
      </w:r>
      <w:r w:rsidRPr="002869F5">
        <w:rPr>
          <w:rFonts w:cstheme="minorHAnsi"/>
        </w:rPr>
        <w:t>Law and Finance: What Matters? Hong Kong as a Test Case</w:t>
      </w:r>
      <w:r>
        <w:rPr>
          <w:rFonts w:cstheme="minorHAnsi"/>
        </w:rPr>
        <w:t xml:space="preserve">” (2012) 3(1) </w:t>
      </w:r>
      <w:r w:rsidRPr="002869F5">
        <w:rPr>
          <w:rFonts w:cstheme="minorHAnsi"/>
        </w:rPr>
        <w:t>Asian Journal of Law and Economics</w:t>
      </w:r>
      <w:r>
        <w:rPr>
          <w:rFonts w:cstheme="minorHAnsi"/>
        </w:rPr>
        <w:t xml:space="preserve"> 1.</w:t>
      </w:r>
    </w:p>
  </w:footnote>
  <w:footnote w:id="16">
    <w:p w:rsidR="00396758">
      <w:pPr>
        <w:pStyle w:val="FootnoteText"/>
      </w:pPr>
      <w:r>
        <w:rPr>
          <w:rStyle w:val="FootnoteReference"/>
        </w:rPr>
        <w:footnoteRef/>
      </w:r>
      <w:r>
        <w:t xml:space="preserve"> World Shipping Council, “</w:t>
      </w:r>
      <w:r w:rsidRPr="002869F5">
        <w:t>The Top 50 Container Ports</w:t>
      </w:r>
      <w:r>
        <w:t>” (2025) &lt;</w:t>
      </w:r>
      <w:r w:rsidRPr="002869F5">
        <w:t>https://www.worldshipping.org/top-50-container-ports</w:t>
      </w:r>
      <w:r>
        <w:t>&gt;.</w:t>
      </w:r>
    </w:p>
  </w:footnote>
  <w:footnote w:id="17">
    <w:p w:rsidR="00396758" w:rsidRPr="002869F5">
      <w:pPr>
        <w:pStyle w:val="FootnoteText"/>
        <w:rPr>
          <w:rFonts w:cstheme="minorHAnsi"/>
        </w:rPr>
      </w:pPr>
      <w:r w:rsidRPr="00061781">
        <w:rPr>
          <w:rStyle w:val="FootnoteReference"/>
          <w:rFonts w:cstheme="minorHAnsi"/>
        </w:rPr>
        <w:footnoteRef/>
      </w:r>
      <w:r w:rsidRPr="002869F5">
        <w:rPr>
          <w:rFonts w:cstheme="minorHAnsi"/>
        </w:rPr>
        <w:t xml:space="preserve"> </w:t>
      </w:r>
      <w:r w:rsidRPr="002869F5">
        <w:rPr>
          <w:rFonts w:cstheme="minorHAnsi"/>
        </w:rPr>
        <w:t xml:space="preserve">KPMG, “Hong Kong </w:t>
      </w:r>
      <w:r>
        <w:rPr>
          <w:rFonts w:cstheme="minorHAnsi"/>
        </w:rPr>
        <w:t>R</w:t>
      </w:r>
      <w:r w:rsidRPr="002869F5">
        <w:rPr>
          <w:rFonts w:cstheme="minorHAnsi"/>
        </w:rPr>
        <w:t xml:space="preserve">eclaims </w:t>
      </w:r>
      <w:r>
        <w:rPr>
          <w:rFonts w:cstheme="minorHAnsi"/>
        </w:rPr>
        <w:t>T</w:t>
      </w:r>
      <w:r w:rsidRPr="002869F5">
        <w:rPr>
          <w:rFonts w:cstheme="minorHAnsi"/>
        </w:rPr>
        <w:t xml:space="preserve">op </w:t>
      </w:r>
      <w:r>
        <w:rPr>
          <w:rFonts w:cstheme="minorHAnsi"/>
        </w:rPr>
        <w:t>G</w:t>
      </w:r>
      <w:r w:rsidRPr="002869F5">
        <w:rPr>
          <w:rFonts w:cstheme="minorHAnsi"/>
        </w:rPr>
        <w:t xml:space="preserve">lobal IPO </w:t>
      </w:r>
      <w:r>
        <w:rPr>
          <w:rFonts w:cstheme="minorHAnsi"/>
        </w:rPr>
        <w:t>S</w:t>
      </w:r>
      <w:r w:rsidRPr="002869F5">
        <w:rPr>
          <w:rFonts w:cstheme="minorHAnsi"/>
        </w:rPr>
        <w:t>pot in 2025</w:t>
      </w:r>
      <w:r>
        <w:rPr>
          <w:rFonts w:cstheme="minorHAnsi"/>
        </w:rPr>
        <w:t>” (2025) &lt;</w:t>
      </w:r>
      <w:r w:rsidRPr="002869F5">
        <w:rPr>
          <w:rFonts w:cstheme="minorHAnsi"/>
        </w:rPr>
        <w:t>https://kpmg.com/cn/en/media/press-releases/2025/12/hk-reclaims-top-global-ipo-spot-in-2025-says-kpmg.html</w:t>
      </w:r>
      <w:r>
        <w:rPr>
          <w:rFonts w:cstheme="minorHAnsi"/>
        </w:rPr>
        <w:t>&gt;.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262C" w:rsidP="0016262C">
    <w:pPr>
      <w:pStyle w:val="Header"/>
      <w:jc w:val="center"/>
    </w:pPr>
    <w:r>
      <w:t>Written submission from Professor Flora Huang, Dr Horace Yeung, Dr Mark Hsiao, Dr Joao Ilhao Moreira (CHI0033)</w:t>
    </w:r>
  </w:p>
  <w:p w:rsidR="001626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9D3430"/>
    <w:multiLevelType w:val="hybridMultilevel"/>
    <w:tmpl w:val="685C2A7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269C6F18"/>
    <w:multiLevelType w:val="hybridMultilevel"/>
    <w:tmpl w:val="8C4E08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F6962BB"/>
    <w:multiLevelType w:val="hybridMultilevel"/>
    <w:tmpl w:val="DA9061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75A62D2"/>
    <w:multiLevelType w:val="hybridMultilevel"/>
    <w:tmpl w:val="B40E02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5D2B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2B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2B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2B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D2B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D2B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B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B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B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2B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2B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2B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2B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2B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B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B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B41"/>
    <w:rPr>
      <w:rFonts w:eastAsiaTheme="majorEastAsia" w:cstheme="majorBidi"/>
      <w:color w:val="272727" w:themeColor="text1" w:themeTint="D8"/>
    </w:rPr>
  </w:style>
  <w:style w:type="paragraph" w:styleId="Title">
    <w:name w:val="Title"/>
    <w:basedOn w:val="Normal"/>
    <w:next w:val="Normal"/>
    <w:link w:val="TitleChar"/>
    <w:uiPriority w:val="10"/>
    <w:qFormat/>
    <w:rsid w:val="005D2B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B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B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B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2B41"/>
    <w:pPr>
      <w:spacing w:before="160"/>
      <w:jc w:val="center"/>
    </w:pPr>
    <w:rPr>
      <w:i/>
      <w:iCs/>
      <w:color w:val="404040" w:themeColor="text1" w:themeTint="BF"/>
    </w:rPr>
  </w:style>
  <w:style w:type="character" w:customStyle="1" w:styleId="QuoteChar">
    <w:name w:val="Quote Char"/>
    <w:basedOn w:val="DefaultParagraphFont"/>
    <w:link w:val="Quote"/>
    <w:uiPriority w:val="29"/>
    <w:rsid w:val="005D2B41"/>
    <w:rPr>
      <w:i/>
      <w:iCs/>
      <w:color w:val="404040" w:themeColor="text1" w:themeTint="BF"/>
    </w:rPr>
  </w:style>
  <w:style w:type="paragraph" w:styleId="ListParagraph">
    <w:name w:val="List Paragraph"/>
    <w:basedOn w:val="Normal"/>
    <w:uiPriority w:val="34"/>
    <w:qFormat/>
    <w:rsid w:val="005D2B41"/>
    <w:pPr>
      <w:ind w:left="720"/>
      <w:contextualSpacing/>
    </w:pPr>
  </w:style>
  <w:style w:type="character" w:styleId="IntenseEmphasis">
    <w:name w:val="Intense Emphasis"/>
    <w:basedOn w:val="DefaultParagraphFont"/>
    <w:uiPriority w:val="21"/>
    <w:qFormat/>
    <w:rsid w:val="005D2B41"/>
    <w:rPr>
      <w:i/>
      <w:iCs/>
      <w:color w:val="2F5496" w:themeColor="accent1" w:themeShade="BF"/>
    </w:rPr>
  </w:style>
  <w:style w:type="paragraph" w:styleId="IntenseQuote">
    <w:name w:val="Intense Quote"/>
    <w:basedOn w:val="Normal"/>
    <w:next w:val="Normal"/>
    <w:link w:val="IntenseQuoteChar"/>
    <w:uiPriority w:val="30"/>
    <w:qFormat/>
    <w:rsid w:val="005D2B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2B41"/>
    <w:rPr>
      <w:i/>
      <w:iCs/>
      <w:color w:val="2F5496" w:themeColor="accent1" w:themeShade="BF"/>
    </w:rPr>
  </w:style>
  <w:style w:type="character" w:styleId="IntenseReference">
    <w:name w:val="Intense Reference"/>
    <w:basedOn w:val="DefaultParagraphFont"/>
    <w:uiPriority w:val="32"/>
    <w:qFormat/>
    <w:rsid w:val="005D2B41"/>
    <w:rPr>
      <w:b/>
      <w:bCs/>
      <w:smallCaps/>
      <w:color w:val="2F5496" w:themeColor="accent1" w:themeShade="BF"/>
      <w:spacing w:val="5"/>
    </w:rPr>
  </w:style>
  <w:style w:type="paragraph" w:styleId="FootnoteText">
    <w:name w:val="footnote text"/>
    <w:basedOn w:val="Normal"/>
    <w:link w:val="FootnoteTextChar"/>
    <w:uiPriority w:val="99"/>
    <w:semiHidden/>
    <w:unhideWhenUsed/>
    <w:rsid w:val="009A70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70FF"/>
    <w:rPr>
      <w:sz w:val="20"/>
      <w:szCs w:val="20"/>
    </w:rPr>
  </w:style>
  <w:style w:type="character" w:styleId="FootnoteReference">
    <w:name w:val="footnote reference"/>
    <w:basedOn w:val="DefaultParagraphFont"/>
    <w:uiPriority w:val="99"/>
    <w:semiHidden/>
    <w:unhideWhenUsed/>
    <w:rsid w:val="009A70FF"/>
    <w:rPr>
      <w:vertAlign w:val="superscript"/>
    </w:rPr>
  </w:style>
  <w:style w:type="paragraph" w:styleId="Revision">
    <w:name w:val="Revision"/>
    <w:hidden/>
    <w:uiPriority w:val="99"/>
    <w:semiHidden/>
    <w:rsid w:val="002E5664"/>
    <w:pPr>
      <w:spacing w:after="0" w:line="240" w:lineRule="auto"/>
    </w:pPr>
  </w:style>
  <w:style w:type="character" w:styleId="CommentReference">
    <w:name w:val="annotation reference"/>
    <w:basedOn w:val="DefaultParagraphFont"/>
    <w:uiPriority w:val="99"/>
    <w:semiHidden/>
    <w:unhideWhenUsed/>
    <w:rsid w:val="002E5664"/>
    <w:rPr>
      <w:sz w:val="16"/>
      <w:szCs w:val="16"/>
    </w:rPr>
  </w:style>
  <w:style w:type="paragraph" w:styleId="CommentText">
    <w:name w:val="annotation text"/>
    <w:basedOn w:val="Normal"/>
    <w:link w:val="CommentTextChar"/>
    <w:uiPriority w:val="99"/>
    <w:unhideWhenUsed/>
    <w:rsid w:val="002E5664"/>
    <w:pPr>
      <w:spacing w:line="240" w:lineRule="auto"/>
    </w:pPr>
    <w:rPr>
      <w:sz w:val="20"/>
      <w:szCs w:val="20"/>
    </w:rPr>
  </w:style>
  <w:style w:type="character" w:customStyle="1" w:styleId="CommentTextChar">
    <w:name w:val="Comment Text Char"/>
    <w:basedOn w:val="DefaultParagraphFont"/>
    <w:link w:val="CommentText"/>
    <w:uiPriority w:val="99"/>
    <w:rsid w:val="002E5664"/>
    <w:rPr>
      <w:sz w:val="20"/>
      <w:szCs w:val="20"/>
    </w:rPr>
  </w:style>
  <w:style w:type="paragraph" w:styleId="CommentSubject">
    <w:name w:val="annotation subject"/>
    <w:basedOn w:val="CommentText"/>
    <w:next w:val="CommentText"/>
    <w:link w:val="CommentSubjectChar"/>
    <w:uiPriority w:val="99"/>
    <w:semiHidden/>
    <w:unhideWhenUsed/>
    <w:rsid w:val="002E5664"/>
    <w:rPr>
      <w:b/>
      <w:bCs/>
    </w:rPr>
  </w:style>
  <w:style w:type="character" w:customStyle="1" w:styleId="CommentSubjectChar">
    <w:name w:val="Comment Subject Char"/>
    <w:basedOn w:val="CommentTextChar"/>
    <w:link w:val="CommentSubject"/>
    <w:uiPriority w:val="99"/>
    <w:semiHidden/>
    <w:rsid w:val="002E5664"/>
    <w:rPr>
      <w:b/>
      <w:bCs/>
      <w:sz w:val="20"/>
      <w:szCs w:val="20"/>
    </w:rPr>
  </w:style>
  <w:style w:type="character" w:styleId="Hyperlink">
    <w:name w:val="Hyperlink"/>
    <w:basedOn w:val="DefaultParagraphFont"/>
    <w:uiPriority w:val="99"/>
    <w:unhideWhenUsed/>
    <w:rsid w:val="00B87B11"/>
    <w:rPr>
      <w:color w:val="0563C1" w:themeColor="hyperlink"/>
      <w:u w:val="single"/>
    </w:rPr>
  </w:style>
  <w:style w:type="character" w:customStyle="1" w:styleId="UnresolvedMention1">
    <w:name w:val="Unresolved Mention1"/>
    <w:basedOn w:val="DefaultParagraphFont"/>
    <w:uiPriority w:val="99"/>
    <w:semiHidden/>
    <w:unhideWhenUsed/>
    <w:rsid w:val="00B87B11"/>
    <w:rPr>
      <w:color w:val="605E5C"/>
      <w:shd w:val="clear" w:color="auto" w:fill="E1DFDD"/>
    </w:rPr>
  </w:style>
  <w:style w:type="paragraph" w:styleId="Header">
    <w:name w:val="header"/>
    <w:basedOn w:val="Normal"/>
    <w:link w:val="HeaderChar"/>
    <w:uiPriority w:val="99"/>
    <w:unhideWhenUsed/>
    <w:rsid w:val="00162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62C"/>
  </w:style>
  <w:style w:type="paragraph" w:styleId="Footer">
    <w:name w:val="footer"/>
    <w:basedOn w:val="Normal"/>
    <w:link w:val="FooterChar"/>
    <w:uiPriority w:val="99"/>
    <w:unhideWhenUsed/>
    <w:rsid w:val="00162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FC6CF-AA23-3C43-ADF4-765C9C2CE679}">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CHI0033</dc:title>
  <cp:revision>0</cp:revision>
</cp:coreProperties>
</file>