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2D41" w:rsidRPr="00EE2045" w:rsidP="00EE2045">
      <w:pPr>
        <w:jc w:val="center"/>
        <w:rPr>
          <w:rFonts w:ascii="Calibri" w:hAnsi="Calibri" w:cs="Calibri"/>
          <w:b/>
          <w:bCs/>
          <w:color w:val="303030"/>
        </w:rPr>
      </w:pPr>
      <w:r w:rsidRPr="00EE2045">
        <w:rPr>
          <w:rFonts w:ascii="Calibri" w:hAnsi="Calibri" w:cs="Calibri"/>
          <w:b/>
          <w:bCs/>
          <w:color w:val="303030"/>
          <w:highlight w:val="white"/>
        </w:rPr>
        <w:t xml:space="preserve">Written evidence by </w:t>
      </w:r>
      <w:r w:rsidRPr="00EE2045">
        <w:rPr>
          <w:rFonts w:ascii="Calibri" w:hAnsi="Calibri" w:cs="Calibri"/>
          <w:b/>
          <w:bCs/>
          <w:color w:val="303030"/>
        </w:rPr>
        <w:t>Professor Jo Bates</w:t>
      </w:r>
      <w:r w:rsidRPr="00EE2045">
        <w:rPr>
          <w:rFonts w:ascii="Calibri" w:hAnsi="Calibri" w:cs="Calibri"/>
          <w:b/>
          <w:bCs/>
          <w:color w:val="303030"/>
        </w:rPr>
        <w:t xml:space="preserve">, </w:t>
      </w:r>
      <w:r w:rsidRPr="00EE2045">
        <w:rPr>
          <w:rFonts w:ascii="Calibri" w:hAnsi="Calibri" w:cs="Calibri"/>
          <w:b/>
          <w:bCs/>
          <w:color w:val="303030"/>
        </w:rPr>
        <w:t>Dr Monika Frątczak</w:t>
      </w:r>
      <w:r w:rsidRPr="00EE2045">
        <w:rPr>
          <w:rFonts w:ascii="Calibri" w:hAnsi="Calibri" w:cs="Calibri"/>
          <w:b/>
          <w:bCs/>
          <w:color w:val="303030"/>
        </w:rPr>
        <w:t xml:space="preserve">, </w:t>
      </w:r>
      <w:r w:rsidRPr="00EE2045">
        <w:rPr>
          <w:rFonts w:ascii="Calibri" w:hAnsi="Calibri" w:cs="Calibri"/>
          <w:b/>
          <w:bCs/>
          <w:color w:val="303030"/>
        </w:rPr>
        <w:t>Dr Itzelle Medina-Perea</w:t>
      </w:r>
      <w:r w:rsidRPr="00EE2045">
        <w:rPr>
          <w:rFonts w:ascii="Calibri" w:hAnsi="Calibri" w:cs="Calibri"/>
          <w:b/>
          <w:bCs/>
          <w:color w:val="303030"/>
        </w:rPr>
        <w:t xml:space="preserve"> and </w:t>
      </w:r>
      <w:r w:rsidRPr="00EE2045">
        <w:rPr>
          <w:rFonts w:ascii="Calibri" w:hAnsi="Calibri" w:cs="Calibri"/>
          <w:b/>
          <w:bCs/>
          <w:color w:val="303030"/>
        </w:rPr>
        <w:t>Dr Erinma Ochu</w:t>
      </w:r>
      <w:r w:rsidRPr="00EE2045">
        <w:rPr>
          <w:rFonts w:ascii="Calibri" w:hAnsi="Calibri" w:cs="Calibri"/>
          <w:b/>
          <w:bCs/>
          <w:color w:val="303030"/>
        </w:rPr>
        <w:t xml:space="preserve"> (</w:t>
      </w:r>
      <w:r w:rsidRPr="00EE2045">
        <w:rPr>
          <w:rFonts w:ascii="Calibri" w:hAnsi="Calibri" w:cs="Calibri"/>
          <w:b/>
          <w:bCs/>
          <w:color w:val="303030"/>
        </w:rPr>
        <w:t>AIE0126</w:t>
      </w:r>
      <w:r w:rsidRPr="00EE2045">
        <w:rPr>
          <w:rFonts w:ascii="Calibri" w:hAnsi="Calibri" w:cs="Calibri"/>
          <w:b/>
          <w:bCs/>
          <w:color w:val="303030"/>
        </w:rPr>
        <w:t>)</w:t>
      </w:r>
    </w:p>
    <w:p w:rsidR="00EE2045" w:rsidRPr="00EE2045" w:rsidP="00EE2045">
      <w:pPr>
        <w:spacing w:line="240" w:lineRule="auto"/>
        <w:rPr>
          <w:rFonts w:ascii="Calibri" w:eastAsia="Aptos" w:hAnsi="Calibri" w:cs="Calibri"/>
          <w:b/>
          <w:bCs/>
          <w:lang w:eastAsia="en-US"/>
        </w:rPr>
      </w:pPr>
      <w:r w:rsidRPr="00EE2045">
        <w:rPr>
          <w:rFonts w:ascii="Calibri" w:eastAsia="Aptos" w:hAnsi="Calibri" w:cs="Calibri"/>
          <w:b/>
          <w:bCs/>
          <w:lang w:eastAsia="en-US"/>
        </w:rPr>
        <w:t>Education Committee</w:t>
      </w:r>
    </w:p>
    <w:p w:rsidR="00EE2045" w:rsidRPr="00EE2045" w:rsidP="00EE2045">
      <w:pPr>
        <w:spacing w:line="240" w:lineRule="auto"/>
        <w:rPr>
          <w:rFonts w:ascii="Calibri" w:eastAsia="Aptos" w:hAnsi="Calibri" w:cs="Calibri"/>
          <w:lang w:eastAsia="en-US"/>
        </w:rPr>
      </w:pPr>
      <w:r w:rsidRPr="00EE2045">
        <w:rPr>
          <w:rFonts w:ascii="Calibri" w:eastAsia="Aptos" w:hAnsi="Calibri" w:cs="Calibri"/>
          <w:b/>
          <w:bCs/>
          <w:lang w:eastAsia="en-US"/>
        </w:rPr>
        <w:t>The</w:t>
      </w:r>
      <w:r w:rsidRPr="00EE2045">
        <w:rPr>
          <w:rFonts w:ascii="Calibri" w:eastAsia="Aptos" w:hAnsi="Calibri" w:cs="Calibri"/>
          <w:lang w:eastAsia="en-US"/>
        </w:rPr>
        <w:t xml:space="preserve"> </w:t>
      </w:r>
      <w:r w:rsidRPr="00EE2045">
        <w:rPr>
          <w:rFonts w:ascii="Calibri" w:eastAsia="Aptos" w:hAnsi="Calibri" w:cs="Calibri"/>
          <w:b/>
          <w:bCs/>
          <w:lang w:eastAsia="en-US"/>
        </w:rPr>
        <w:t>use of Artificial Intelligence and EdTech in Education inquiry</w:t>
      </w:r>
    </w:p>
    <w:p w:rsidR="00EE2045" w:rsidRPr="00EE2045" w:rsidP="00EE2045">
      <w:pPr>
        <w:rPr>
          <w:rFonts w:ascii="Calibri" w:hAnsi="Calibri" w:cs="Calibri"/>
          <w:b/>
          <w:bCs/>
          <w:color w:val="303030"/>
          <w:highlight w:val="white"/>
        </w:rPr>
      </w:pPr>
    </w:p>
    <w:p w:rsidR="00E12D41" w:rsidRPr="00EE2045">
      <w:pPr>
        <w:rPr>
          <w:rFonts w:ascii="Calibri" w:hAnsi="Calibri" w:cs="Calibri"/>
          <w:color w:val="303030"/>
          <w:highlight w:val="white"/>
        </w:rPr>
      </w:pPr>
    </w:p>
    <w:p w:rsidR="00E12D41" w:rsidRPr="00EE2045">
      <w:pPr>
        <w:rPr>
          <w:rFonts w:ascii="Calibri" w:hAnsi="Calibri" w:cs="Calibri"/>
          <w:color w:val="303030"/>
          <w:highlight w:val="yellow"/>
        </w:rPr>
      </w:pPr>
      <w:r w:rsidRPr="00EE2045">
        <w:rPr>
          <w:rFonts w:ascii="Calibri" w:hAnsi="Calibri" w:cs="Calibri"/>
          <w:b/>
          <w:bCs/>
          <w:color w:val="303030"/>
          <w:highlight w:val="white"/>
        </w:rPr>
        <w:t>Author introduction</w:t>
      </w:r>
    </w:p>
    <w:p w:rsidR="00E12D41" w:rsidRPr="00EE2045">
      <w:pPr>
        <w:rPr>
          <w:rFonts w:ascii="Calibri" w:hAnsi="Calibri" w:cs="Calibri"/>
          <w:color w:val="303030"/>
        </w:rPr>
      </w:pPr>
    </w:p>
    <w:p w:rsidR="00E12D41" w:rsidRPr="00EE2045">
      <w:pPr>
        <w:rPr>
          <w:rFonts w:ascii="Calibri" w:hAnsi="Calibri" w:cs="Calibri"/>
          <w:color w:val="303030"/>
          <w:highlight w:val="white"/>
        </w:rPr>
      </w:pPr>
      <w:r w:rsidRPr="00EE2045">
        <w:rPr>
          <w:rFonts w:ascii="Calibri" w:hAnsi="Calibri" w:cs="Calibri"/>
          <w:color w:val="303030"/>
        </w:rPr>
        <w:t xml:space="preserve">The submission is authored by Dr. Itzelle Medina Perea, Prof. Jo Bates, Dr Monika Fratczak, and Dr Erinma Ochu. This evidence is informed by our research on the Patterns in Practice research project funded by the Arts and Humanities Research Council (AH/T013362/1), on which we conducted an </w:t>
      </w:r>
      <w:r w:rsidRPr="00EE2045">
        <w:rPr>
          <w:rFonts w:ascii="Calibri" w:hAnsi="Calibri" w:cs="Calibri"/>
          <w:color w:val="303030"/>
          <w:highlight w:val="white"/>
        </w:rPr>
        <w:t xml:space="preserve">empirical study about learning analytics adoption involving </w:t>
      </w:r>
      <w:r w:rsidRPr="00EE2045">
        <w:rPr>
          <w:rFonts w:ascii="Calibri" w:hAnsi="Calibri" w:cs="Calibri"/>
          <w:b/>
          <w:bCs/>
          <w:color w:val="303030"/>
          <w:highlight w:val="white"/>
        </w:rPr>
        <w:t>33 UK-based higher education practitioners</w:t>
      </w:r>
      <w:r w:rsidRPr="00EE2045">
        <w:rPr>
          <w:rFonts w:ascii="Calibri" w:hAnsi="Calibri" w:cs="Calibri"/>
          <w:color w:val="303030"/>
          <w:highlight w:val="white"/>
        </w:rPr>
        <w:t xml:space="preserve">—including academic staff across various disciplines, learning technologists, and student advisors—from two UK universities and the Jisc learning analytics (LA) network. </w:t>
      </w:r>
    </w:p>
    <w:p w:rsidR="00E12D41" w:rsidRPr="00EE2045">
      <w:pPr>
        <w:rPr>
          <w:rFonts w:ascii="Calibri" w:hAnsi="Calibri" w:cs="Calibri"/>
          <w:color w:val="303030"/>
          <w:highlight w:val="white"/>
        </w:rPr>
      </w:pPr>
    </w:p>
    <w:p w:rsidR="00E12D41" w:rsidRPr="00EE2045">
      <w:pPr>
        <w:shd w:val="clear" w:color="auto" w:fill="FFFFFF"/>
        <w:spacing w:after="180" w:line="240" w:lineRule="auto"/>
        <w:rPr>
          <w:rFonts w:ascii="Calibri" w:hAnsi="Calibri" w:cs="Calibri"/>
          <w:b/>
          <w:bCs/>
          <w:color w:val="303030"/>
          <w:highlight w:val="white"/>
          <w:u w:val="single"/>
        </w:rPr>
      </w:pPr>
      <w:r w:rsidRPr="00EE2045">
        <w:rPr>
          <w:rFonts w:ascii="Calibri" w:hAnsi="Calibri" w:cs="Calibri"/>
          <w:b/>
          <w:bCs/>
          <w:color w:val="303030"/>
          <w:highlight w:val="white"/>
          <w:u w:val="single"/>
        </w:rPr>
        <w:t>Key recommendations</w:t>
      </w:r>
    </w:p>
    <w:p w:rsidR="00E12D41" w:rsidRPr="00EE2045">
      <w:pPr>
        <w:shd w:val="clear" w:color="auto" w:fill="FFFFFF"/>
        <w:spacing w:after="180" w:line="240" w:lineRule="auto"/>
        <w:rPr>
          <w:rFonts w:ascii="Calibri" w:hAnsi="Calibri" w:cs="Calibri"/>
          <w:b/>
          <w:bCs/>
          <w:color w:val="303030"/>
          <w:highlight w:val="white"/>
        </w:rPr>
      </w:pPr>
      <w:r w:rsidRPr="00EE2045">
        <w:rPr>
          <w:rFonts w:ascii="Calibri" w:hAnsi="Calibri" w:cs="Calibri"/>
          <w:b/>
          <w:bCs/>
          <w:color w:val="303030"/>
          <w:highlight w:val="white"/>
        </w:rPr>
        <w:t>Supporting Safe, Responsible, and Effective Use</w:t>
      </w:r>
    </w:p>
    <w:p w:rsidR="00E12D41" w:rsidRPr="00EE2045">
      <w:pPr>
        <w:shd w:val="clear" w:color="auto" w:fill="FFFFFF"/>
        <w:spacing w:after="180" w:line="240" w:lineRule="auto"/>
        <w:rPr>
          <w:rFonts w:ascii="Calibri" w:hAnsi="Calibri" w:cs="Calibri"/>
          <w:color w:val="303030"/>
          <w:highlight w:val="yellow"/>
        </w:rPr>
      </w:pPr>
      <w:r w:rsidRPr="00EE2045">
        <w:rPr>
          <w:rFonts w:ascii="Calibri" w:hAnsi="Calibri" w:cs="Calibri"/>
          <w:color w:val="303030"/>
          <w:highlight w:val="white"/>
        </w:rPr>
        <w:t>B</w:t>
      </w:r>
      <w:r w:rsidRPr="00EE2045">
        <w:rPr>
          <w:rFonts w:ascii="Calibri" w:hAnsi="Calibri" w:cs="Calibri"/>
          <w:color w:val="303030"/>
          <w:highlight w:val="white"/>
        </w:rPr>
        <w:t xml:space="preserve">ased on the research findings described below, </w:t>
      </w:r>
      <w:r w:rsidRPr="00EE2045">
        <w:rPr>
          <w:rFonts w:ascii="Calibri" w:hAnsi="Calibri" w:cs="Calibri"/>
          <w:color w:val="303030"/>
          <w:highlight w:val="white"/>
        </w:rPr>
        <w:t>we propose the following recommendations:</w:t>
      </w:r>
    </w:p>
    <w:p w:rsidR="00E12D41" w:rsidRPr="00EE2045">
      <w:pPr>
        <w:numPr>
          <w:ilvl w:val="0"/>
          <w:numId w:val="4"/>
        </w:numPr>
        <w:shd w:val="clear" w:color="auto" w:fill="FFFFFF"/>
        <w:spacing w:line="240" w:lineRule="auto"/>
        <w:rPr>
          <w:rFonts w:ascii="Calibri" w:hAnsi="Calibri" w:cs="Calibri"/>
          <w:color w:val="303030"/>
        </w:rPr>
      </w:pPr>
      <w:r w:rsidRPr="00EE2045">
        <w:rPr>
          <w:rFonts w:ascii="Calibri" w:hAnsi="Calibri" w:cs="Calibri"/>
          <w:b/>
          <w:bCs/>
          <w:color w:val="303030"/>
        </w:rPr>
        <w:t xml:space="preserve">Promoting Healthy Debate: </w:t>
      </w:r>
      <w:r w:rsidRPr="00EE2045">
        <w:rPr>
          <w:rFonts w:ascii="Calibri" w:hAnsi="Calibri" w:cs="Calibri"/>
          <w:color w:val="303030"/>
        </w:rPr>
        <w:t>Institutions should foster open debate regarding EdTech integration that acknowledges the influence of commercial drivers and top-down design, while cultivating a safe environment where staff can express healthy scepticism without fear of being labelled "anti-progress”</w:t>
      </w:r>
    </w:p>
    <w:p w:rsidR="00E12D41" w:rsidRPr="00EE2045">
      <w:pPr>
        <w:numPr>
          <w:ilvl w:val="0"/>
          <w:numId w:val="4"/>
        </w:numPr>
        <w:shd w:val="clear" w:color="auto" w:fill="FFFFFF"/>
        <w:spacing w:line="240" w:lineRule="auto"/>
        <w:rPr>
          <w:rFonts w:ascii="Calibri" w:hAnsi="Calibri" w:cs="Calibri"/>
        </w:rPr>
      </w:pPr>
      <w:r w:rsidRPr="00EE2045">
        <w:rPr>
          <w:rFonts w:ascii="Calibri" w:hAnsi="Calibri" w:cs="Calibri"/>
          <w:b/>
          <w:bCs/>
          <w:color w:val="303030"/>
        </w:rPr>
        <w:t>Human-Mediated Design:</w:t>
      </w:r>
      <w:r w:rsidRPr="00EE2045">
        <w:rPr>
          <w:rFonts w:ascii="Calibri" w:hAnsi="Calibri" w:cs="Calibri"/>
          <w:color w:val="303030"/>
        </w:rPr>
        <w:t xml:space="preserve"> Practitioners strongly advocate an approach in which technology serves the user and is always mediated by an educator who understands the student's context.</w:t>
      </w:r>
    </w:p>
    <w:p w:rsidR="00E12D41" w:rsidRPr="00EE2045">
      <w:pPr>
        <w:numPr>
          <w:ilvl w:val="0"/>
          <w:numId w:val="4"/>
        </w:numPr>
        <w:shd w:val="clear" w:color="auto" w:fill="FFFFFF"/>
        <w:spacing w:line="240" w:lineRule="auto"/>
        <w:rPr>
          <w:rFonts w:ascii="Calibri" w:hAnsi="Calibri" w:cs="Calibri"/>
        </w:rPr>
      </w:pPr>
      <w:r w:rsidRPr="00EE2045">
        <w:rPr>
          <w:rFonts w:ascii="Calibri" w:hAnsi="Calibri" w:cs="Calibri"/>
          <w:b/>
          <w:bCs/>
          <w:color w:val="303030"/>
        </w:rPr>
        <w:t>Educator Involvement:</w:t>
      </w:r>
      <w:r w:rsidRPr="00EE2045">
        <w:rPr>
          <w:rFonts w:ascii="Calibri" w:hAnsi="Calibri" w:cs="Calibri"/>
          <w:color w:val="303030"/>
        </w:rPr>
        <w:t xml:space="preserve"> Meaningful input from teaching-facing staff in the design and implementation phase is crucial to ensure AI and EdTech tools address real </w:t>
      </w:r>
      <w:r w:rsidRPr="00EE2045">
        <w:rPr>
          <w:rFonts w:ascii="Calibri" w:hAnsi="Calibri" w:cs="Calibri"/>
          <w:color w:val="303030"/>
        </w:rPr>
        <w:t>problems, and</w:t>
      </w:r>
      <w:r w:rsidRPr="00EE2045">
        <w:rPr>
          <w:rFonts w:ascii="Calibri" w:hAnsi="Calibri" w:cs="Calibri"/>
          <w:color w:val="303030"/>
        </w:rPr>
        <w:t xml:space="preserve"> are genuinely helpful and pedagogically sound.</w:t>
      </w:r>
    </w:p>
    <w:p w:rsidR="00E12D41" w:rsidRPr="00EE2045">
      <w:pPr>
        <w:numPr>
          <w:ilvl w:val="0"/>
          <w:numId w:val="4"/>
        </w:numPr>
        <w:shd w:val="clear" w:color="auto" w:fill="FFFFFF"/>
        <w:spacing w:line="240" w:lineRule="auto"/>
        <w:rPr>
          <w:rFonts w:ascii="Calibri" w:hAnsi="Calibri" w:cs="Calibri"/>
          <w:color w:val="303030"/>
        </w:rPr>
      </w:pPr>
      <w:r w:rsidRPr="00EE2045">
        <w:rPr>
          <w:rFonts w:ascii="Calibri" w:hAnsi="Calibri" w:cs="Calibri"/>
          <w:b/>
          <w:bCs/>
          <w:color w:val="303030"/>
        </w:rPr>
        <w:t xml:space="preserve">Beyond Technical Training: </w:t>
      </w:r>
      <w:r w:rsidRPr="00EE2045">
        <w:rPr>
          <w:rFonts w:ascii="Calibri" w:hAnsi="Calibri" w:cs="Calibri"/>
          <w:color w:val="303030"/>
        </w:rPr>
        <w:t>CPD should expand beyond the “how-to” technical training to include critical awareness of algorithmic design, data sources, and ethical implications.</w:t>
      </w:r>
    </w:p>
    <w:p w:rsidR="00E12D41" w:rsidRPr="00EE2045">
      <w:pPr>
        <w:numPr>
          <w:ilvl w:val="0"/>
          <w:numId w:val="4"/>
        </w:numPr>
        <w:shd w:val="clear" w:color="auto" w:fill="FFFFFF"/>
        <w:spacing w:line="240" w:lineRule="auto"/>
        <w:rPr>
          <w:rFonts w:ascii="Calibri" w:hAnsi="Calibri" w:cs="Calibri"/>
          <w:color w:val="303030"/>
        </w:rPr>
      </w:pPr>
      <w:r w:rsidRPr="00EE2045">
        <w:rPr>
          <w:rFonts w:ascii="Calibri" w:hAnsi="Calibri" w:cs="Calibri"/>
          <w:b/>
          <w:bCs/>
          <w:color w:val="303030"/>
        </w:rPr>
        <w:t>Critical Resource Assessment:</w:t>
      </w:r>
      <w:r w:rsidRPr="00EE2045">
        <w:rPr>
          <w:rFonts w:ascii="Calibri" w:hAnsi="Calibri" w:cs="Calibri"/>
          <w:color w:val="303030"/>
        </w:rPr>
        <w:t xml:space="preserve"> Before investing in new EdTech and AI tools, institutions should conduct a thorough evaluation of opportunity costs, asking whether such investments represent the best use of resources.</w:t>
      </w:r>
    </w:p>
    <w:p w:rsidR="00E12D41" w:rsidRPr="00EE2045">
      <w:pPr>
        <w:numPr>
          <w:ilvl w:val="0"/>
          <w:numId w:val="4"/>
        </w:numPr>
        <w:shd w:val="clear" w:color="auto" w:fill="FFFFFF"/>
        <w:spacing w:after="180" w:line="240" w:lineRule="auto"/>
        <w:rPr>
          <w:rFonts w:ascii="Calibri" w:hAnsi="Calibri" w:cs="Calibri"/>
        </w:rPr>
      </w:pPr>
      <w:r w:rsidRPr="00EE2045">
        <w:rPr>
          <w:rFonts w:ascii="Calibri" w:hAnsi="Calibri" w:cs="Calibri"/>
          <w:b/>
          <w:bCs/>
          <w:color w:val="303030"/>
        </w:rPr>
        <w:t>Strategic Evaluation:</w:t>
      </w:r>
      <w:r w:rsidRPr="00EE2045">
        <w:rPr>
          <w:rFonts w:ascii="Calibri" w:hAnsi="Calibri" w:cs="Calibri"/>
          <w:color w:val="303030"/>
        </w:rPr>
        <w:t xml:space="preserve"> Institutions should be willing to reassess or even discontinue the use of learning technologies that fail to show evidence of effectiveness or that do not align with educational values, rather than continuing to invest in systems that fail to support educational outcomes.</w:t>
      </w:r>
    </w:p>
    <w:p w:rsidR="00E12D41" w:rsidRPr="00EE2045">
      <w:pPr>
        <w:rPr>
          <w:rFonts w:ascii="Calibri" w:hAnsi="Calibri" w:cs="Calibri"/>
          <w:color w:val="303030"/>
          <w:highlight w:val="white"/>
        </w:rPr>
      </w:pPr>
    </w:p>
    <w:p w:rsidR="00E12D41" w:rsidRPr="00EE2045">
      <w:pPr>
        <w:shd w:val="clear" w:color="auto" w:fill="FFFFFF"/>
        <w:spacing w:after="180" w:line="240" w:lineRule="auto"/>
        <w:rPr>
          <w:rFonts w:ascii="Calibri" w:hAnsi="Calibri" w:cs="Calibri"/>
          <w:b/>
          <w:bCs/>
          <w:color w:val="303030"/>
          <w:highlight w:val="white"/>
          <w:u w:val="single"/>
        </w:rPr>
      </w:pPr>
      <w:r w:rsidRPr="00EE2045">
        <w:rPr>
          <w:rFonts w:ascii="Calibri" w:hAnsi="Calibri" w:cs="Calibri"/>
          <w:b/>
          <w:bCs/>
          <w:color w:val="303030"/>
          <w:highlight w:val="white"/>
          <w:u w:val="single"/>
        </w:rPr>
        <w:t>Key research findings</w:t>
      </w:r>
    </w:p>
    <w:p w:rsidR="00E12D41" w:rsidRPr="00EE2045">
      <w:pPr>
        <w:shd w:val="clear" w:color="auto" w:fill="FFFFFF"/>
        <w:spacing w:after="180" w:line="240" w:lineRule="auto"/>
        <w:rPr>
          <w:rFonts w:ascii="Calibri" w:hAnsi="Calibri" w:cs="Calibri"/>
          <w:b/>
          <w:bCs/>
          <w:color w:val="303030"/>
          <w:highlight w:val="white"/>
        </w:rPr>
      </w:pPr>
      <w:r w:rsidRPr="00EE2045">
        <w:rPr>
          <w:rFonts w:ascii="Calibri" w:hAnsi="Calibri" w:cs="Calibri"/>
          <w:b/>
          <w:bCs/>
          <w:color w:val="303030"/>
          <w:highlight w:val="white"/>
        </w:rPr>
        <w:t>Benefits of EdTech and AI tools in Higher Education</w:t>
      </w:r>
    </w:p>
    <w:p w:rsidR="00E12D41" w:rsidRPr="00EE2045">
      <w:pPr>
        <w:shd w:val="clear" w:color="auto" w:fill="FFFFFF"/>
        <w:spacing w:after="180" w:line="240" w:lineRule="auto"/>
        <w:rPr>
          <w:rFonts w:ascii="Calibri" w:hAnsi="Calibri" w:cs="Calibri"/>
          <w:color w:val="303030"/>
          <w:highlight w:val="white"/>
        </w:rPr>
      </w:pPr>
      <w:r w:rsidRPr="00EE2045">
        <w:rPr>
          <w:rFonts w:ascii="Calibri" w:hAnsi="Calibri" w:cs="Calibri"/>
          <w:color w:val="303030"/>
          <w:highlight w:val="white"/>
        </w:rPr>
        <w:t xml:space="preserve">Practitioners indicated </w:t>
      </w:r>
      <w:r w:rsidRPr="00EE2045">
        <w:rPr>
          <w:rFonts w:ascii="Calibri" w:hAnsi="Calibri" w:cs="Calibri"/>
          <w:color w:val="303030"/>
          <w:highlight w:val="white"/>
        </w:rPr>
        <w:t>a number of</w:t>
      </w:r>
      <w:r w:rsidRPr="00EE2045">
        <w:rPr>
          <w:rFonts w:ascii="Calibri" w:hAnsi="Calibri" w:cs="Calibri"/>
          <w:color w:val="303030"/>
          <w:highlight w:val="white"/>
        </w:rPr>
        <w:t xml:space="preserve"> potential benefits of adopting learning analytics technologies:</w:t>
      </w:r>
    </w:p>
    <w:p w:rsidR="00E12D41" w:rsidRPr="00EE2045">
      <w:pPr>
        <w:numPr>
          <w:ilvl w:val="0"/>
          <w:numId w:val="2"/>
        </w:numPr>
        <w:shd w:val="clear" w:color="auto" w:fill="FFFFFF"/>
        <w:spacing w:line="240" w:lineRule="auto"/>
        <w:rPr>
          <w:rFonts w:ascii="Calibri" w:hAnsi="Calibri" w:cs="Calibri"/>
        </w:rPr>
      </w:pPr>
      <w:r w:rsidRPr="00EE2045">
        <w:rPr>
          <w:rFonts w:ascii="Calibri" w:hAnsi="Calibri" w:cs="Calibri"/>
          <w:b/>
          <w:bCs/>
          <w:color w:val="303030"/>
        </w:rPr>
        <w:t>Enhanced Student Support:</w:t>
      </w:r>
      <w:r w:rsidRPr="00EE2045">
        <w:rPr>
          <w:rFonts w:ascii="Calibri" w:hAnsi="Calibri" w:cs="Calibri"/>
          <w:color w:val="303030"/>
        </w:rPr>
        <w:t xml:space="preserve"> Predictive dashboards can identify "at-risk" students who might otherwise be overlooked, allowing educators to initiate proactive, informed conversations.</w:t>
      </w:r>
    </w:p>
    <w:p w:rsidR="00E12D41" w:rsidRPr="00EE2045">
      <w:pPr>
        <w:numPr>
          <w:ilvl w:val="0"/>
          <w:numId w:val="2"/>
        </w:numPr>
        <w:shd w:val="clear" w:color="auto" w:fill="FFFFFF"/>
        <w:spacing w:line="240" w:lineRule="auto"/>
        <w:rPr>
          <w:rFonts w:ascii="Calibri" w:hAnsi="Calibri" w:cs="Calibri"/>
        </w:rPr>
      </w:pPr>
      <w:r w:rsidRPr="00EE2045">
        <w:rPr>
          <w:rFonts w:ascii="Calibri" w:hAnsi="Calibri" w:cs="Calibri"/>
          <w:b/>
          <w:bCs/>
          <w:color w:val="303030"/>
        </w:rPr>
        <w:t>Curriculum and Course Improvement:</w:t>
      </w:r>
      <w:r w:rsidRPr="00EE2045">
        <w:rPr>
          <w:rFonts w:ascii="Calibri" w:hAnsi="Calibri" w:cs="Calibri"/>
          <w:color w:val="303030"/>
        </w:rPr>
        <w:t xml:space="preserve"> By analysing student engagement patterns, educators can identify "crunch points" in a module, leading to meaningful discussions about improving course design and teaching strategies.</w:t>
      </w:r>
    </w:p>
    <w:p w:rsidR="00E12D41" w:rsidRPr="00EE2045">
      <w:pPr>
        <w:numPr>
          <w:ilvl w:val="0"/>
          <w:numId w:val="2"/>
        </w:numPr>
        <w:shd w:val="clear" w:color="auto" w:fill="FFFFFF"/>
        <w:spacing w:after="180" w:line="240" w:lineRule="auto"/>
        <w:rPr>
          <w:rFonts w:ascii="Calibri" w:hAnsi="Calibri" w:cs="Calibri"/>
        </w:rPr>
      </w:pPr>
      <w:r w:rsidRPr="00EE2045">
        <w:rPr>
          <w:rFonts w:ascii="Calibri" w:hAnsi="Calibri" w:cs="Calibri"/>
          <w:b/>
          <w:bCs/>
          <w:color w:val="303030"/>
        </w:rPr>
        <w:t>Operational Efficiency:</w:t>
      </w:r>
      <w:r w:rsidRPr="00EE2045">
        <w:rPr>
          <w:rFonts w:ascii="Calibri" w:hAnsi="Calibri" w:cs="Calibri"/>
          <w:color w:val="303030"/>
        </w:rPr>
        <w:t xml:space="preserve"> Data insights have been successfully used to inform practical changes, such as adjusting timetabling to better suit student attendance patterns.</w:t>
      </w:r>
    </w:p>
    <w:p w:rsidR="00E12D41" w:rsidRPr="00EE2045">
      <w:pPr>
        <w:shd w:val="clear" w:color="auto" w:fill="FFFFFF"/>
        <w:spacing w:after="180" w:line="240" w:lineRule="auto"/>
        <w:rPr>
          <w:rFonts w:ascii="Calibri" w:hAnsi="Calibri" w:cs="Calibri"/>
          <w:color w:val="303030"/>
        </w:rPr>
      </w:pPr>
      <w:r w:rsidRPr="00EE2045">
        <w:rPr>
          <w:rFonts w:ascii="Calibri" w:hAnsi="Calibri" w:cs="Calibri"/>
          <w:color w:val="303030"/>
        </w:rPr>
        <w:t xml:space="preserve">However, these possibilities were constrained by current implementation practices within HE institutions. </w:t>
      </w:r>
    </w:p>
    <w:p w:rsidR="00E12D41" w:rsidRPr="00EE2045">
      <w:pPr>
        <w:shd w:val="clear" w:color="auto" w:fill="FFFFFF"/>
        <w:spacing w:after="180" w:line="240" w:lineRule="auto"/>
        <w:rPr>
          <w:rFonts w:ascii="Calibri" w:hAnsi="Calibri" w:cs="Calibri"/>
          <w:b/>
          <w:bCs/>
          <w:color w:val="303030"/>
          <w:highlight w:val="white"/>
        </w:rPr>
      </w:pPr>
      <w:r w:rsidRPr="00EE2045">
        <w:rPr>
          <w:rFonts w:ascii="Calibri" w:hAnsi="Calibri" w:cs="Calibri"/>
          <w:b/>
          <w:bCs/>
          <w:color w:val="303030"/>
          <w:highlight w:val="white"/>
        </w:rPr>
        <w:t>Challenges and Risks of AI and EdTech Implementation</w:t>
      </w:r>
    </w:p>
    <w:p w:rsidR="00E12D41" w:rsidRPr="00EE2045">
      <w:pPr>
        <w:shd w:val="clear" w:color="auto" w:fill="FFFFFF"/>
        <w:spacing w:after="180" w:line="240" w:lineRule="auto"/>
        <w:rPr>
          <w:rFonts w:ascii="Calibri" w:hAnsi="Calibri" w:cs="Calibri"/>
          <w:color w:val="303030"/>
          <w:highlight w:val="white"/>
        </w:rPr>
      </w:pPr>
      <w:r w:rsidRPr="00EE2045">
        <w:rPr>
          <w:rFonts w:ascii="Calibri" w:hAnsi="Calibri" w:cs="Calibri"/>
          <w:color w:val="303030"/>
          <w:highlight w:val="white"/>
        </w:rPr>
        <w:t>The research highlights significant concerns regarding how these technologies are currently deployed:</w:t>
      </w:r>
    </w:p>
    <w:p w:rsidR="00E12D41" w:rsidRPr="00EE2045">
      <w:pPr>
        <w:numPr>
          <w:ilvl w:val="0"/>
          <w:numId w:val="3"/>
        </w:numPr>
        <w:shd w:val="clear" w:color="auto" w:fill="FFFFFF"/>
        <w:spacing w:line="240" w:lineRule="auto"/>
        <w:rPr>
          <w:rFonts w:ascii="Calibri" w:hAnsi="Calibri" w:cs="Calibri"/>
        </w:rPr>
      </w:pPr>
      <w:r w:rsidRPr="00EE2045">
        <w:rPr>
          <w:rFonts w:ascii="Calibri" w:hAnsi="Calibri" w:cs="Calibri"/>
          <w:b/>
          <w:bCs/>
          <w:color w:val="303030"/>
        </w:rPr>
        <w:t>The "Magic Bullet" Fallacy:</w:t>
      </w:r>
      <w:r w:rsidRPr="00EE2045">
        <w:rPr>
          <w:rFonts w:ascii="Calibri" w:hAnsi="Calibri" w:cs="Calibri"/>
          <w:color w:val="303030"/>
        </w:rPr>
        <w:t xml:space="preserve"> Senior management often views learning </w:t>
      </w:r>
      <w:r w:rsidRPr="00EE2045">
        <w:rPr>
          <w:rFonts w:ascii="Calibri" w:hAnsi="Calibri" w:cs="Calibri"/>
          <w:color w:val="303030"/>
        </w:rPr>
        <w:t>analytics  solutions</w:t>
      </w:r>
      <w:r w:rsidRPr="00EE2045">
        <w:rPr>
          <w:rFonts w:ascii="Calibri" w:hAnsi="Calibri" w:cs="Calibri"/>
          <w:color w:val="303030"/>
        </w:rPr>
        <w:t xml:space="preserve"> as a "magic bullet" for complex issues like student retention, which practitioners believe leads to exaggerated claims and a failure to account for the human effort required for effective intervention.</w:t>
      </w:r>
    </w:p>
    <w:p w:rsidR="00E12D41" w:rsidRPr="00EE2045">
      <w:pPr>
        <w:numPr>
          <w:ilvl w:val="0"/>
          <w:numId w:val="3"/>
        </w:numPr>
        <w:shd w:val="clear" w:color="auto" w:fill="FFFFFF"/>
        <w:spacing w:line="240" w:lineRule="auto"/>
        <w:rPr>
          <w:rFonts w:ascii="Calibri" w:hAnsi="Calibri" w:cs="Calibri"/>
        </w:rPr>
      </w:pPr>
      <w:r w:rsidRPr="00EE2045">
        <w:rPr>
          <w:rFonts w:ascii="Calibri" w:hAnsi="Calibri" w:cs="Calibri"/>
          <w:b/>
          <w:bCs/>
          <w:color w:val="303030"/>
        </w:rPr>
        <w:t>Over-reliance on Metrics:</w:t>
      </w:r>
      <w:r w:rsidRPr="00EE2045">
        <w:rPr>
          <w:rFonts w:ascii="Calibri" w:hAnsi="Calibri" w:cs="Calibri"/>
          <w:color w:val="303030"/>
        </w:rPr>
        <w:t xml:space="preserve"> There is deep concern that education is being simplified to what is measurable, creating an institutional "obsession with metrics" that may serve funding interests (retention) over individual student needs.</w:t>
      </w:r>
    </w:p>
    <w:p w:rsidR="00E12D41" w:rsidRPr="00EE2045">
      <w:pPr>
        <w:numPr>
          <w:ilvl w:val="0"/>
          <w:numId w:val="3"/>
        </w:numPr>
        <w:shd w:val="clear" w:color="auto" w:fill="FFFFFF"/>
        <w:spacing w:line="240" w:lineRule="auto"/>
        <w:rPr>
          <w:rFonts w:ascii="Calibri" w:hAnsi="Calibri" w:cs="Calibri"/>
        </w:rPr>
      </w:pPr>
      <w:r w:rsidRPr="00EE2045">
        <w:rPr>
          <w:rFonts w:ascii="Calibri" w:hAnsi="Calibri" w:cs="Calibri"/>
          <w:b/>
          <w:bCs/>
          <w:color w:val="303030"/>
        </w:rPr>
        <w:t>Ethical and Privacy Risks:</w:t>
      </w:r>
      <w:r w:rsidRPr="00EE2045">
        <w:rPr>
          <w:rFonts w:ascii="Calibri" w:hAnsi="Calibri" w:cs="Calibri"/>
          <w:color w:val="303030"/>
        </w:rPr>
        <w:t xml:space="preserve"> Significant challenges include unresolved issues regarding student privacy, informed consent, the potential dehumanisation of the educational process, and the risk of surveillance over teaching practice.</w:t>
      </w:r>
    </w:p>
    <w:p w:rsidR="00E12D41" w:rsidRPr="00EE2045">
      <w:pPr>
        <w:numPr>
          <w:ilvl w:val="0"/>
          <w:numId w:val="3"/>
        </w:numPr>
        <w:shd w:val="clear" w:color="auto" w:fill="FFFFFF"/>
        <w:spacing w:after="180" w:line="240" w:lineRule="auto"/>
        <w:rPr>
          <w:rFonts w:ascii="Calibri" w:hAnsi="Calibri" w:cs="Calibri"/>
        </w:rPr>
      </w:pPr>
      <w:r w:rsidRPr="00EE2045">
        <w:rPr>
          <w:rFonts w:ascii="Calibri" w:hAnsi="Calibri" w:cs="Calibri"/>
          <w:b/>
          <w:bCs/>
          <w:color w:val="303030"/>
        </w:rPr>
        <w:t>Solutionism:</w:t>
      </w:r>
      <w:r w:rsidRPr="00EE2045">
        <w:rPr>
          <w:rFonts w:ascii="Calibri" w:hAnsi="Calibri" w:cs="Calibri"/>
          <w:color w:val="303030"/>
        </w:rPr>
        <w:t xml:space="preserve"> Technologies are at times implemented as "solutions looking for a problem," driven by a desire to experiment with technology rather than addressing specific staff or student needs.</w:t>
      </w:r>
    </w:p>
    <w:p w:rsidR="00E12D41" w:rsidRPr="00EE2045">
      <w:pPr>
        <w:shd w:val="clear" w:color="auto" w:fill="FFFFFF"/>
        <w:spacing w:after="180" w:line="240" w:lineRule="auto"/>
        <w:rPr>
          <w:rFonts w:ascii="Calibri" w:hAnsi="Calibri" w:cs="Calibri"/>
          <w:b/>
          <w:bCs/>
          <w:color w:val="303030"/>
          <w:highlight w:val="white"/>
        </w:rPr>
      </w:pPr>
      <w:r w:rsidRPr="00EE2045">
        <w:rPr>
          <w:rFonts w:ascii="Calibri" w:hAnsi="Calibri" w:cs="Calibri"/>
          <w:b/>
          <w:bCs/>
          <w:color w:val="303030"/>
          <w:highlight w:val="white"/>
        </w:rPr>
        <w:t>Impact on Teaching Practice, Workload, and Professional Development</w:t>
      </w:r>
    </w:p>
    <w:p w:rsidR="00E12D41" w:rsidRPr="00EE2045">
      <w:pPr>
        <w:shd w:val="clear" w:color="auto" w:fill="FFFFFF"/>
        <w:spacing w:after="180" w:line="240" w:lineRule="auto"/>
        <w:rPr>
          <w:rFonts w:ascii="Calibri" w:hAnsi="Calibri" w:cs="Calibri"/>
          <w:color w:val="303030"/>
          <w:highlight w:val="white"/>
        </w:rPr>
      </w:pPr>
      <w:r w:rsidRPr="00EE2045">
        <w:rPr>
          <w:rFonts w:ascii="Calibri" w:hAnsi="Calibri" w:cs="Calibri"/>
          <w:color w:val="303030"/>
          <w:highlight w:val="white"/>
        </w:rPr>
        <w:t>The integration of learning analytics has a profound impact on the professional lives of educators:</w:t>
      </w:r>
    </w:p>
    <w:p w:rsidR="00E12D41" w:rsidRPr="00EE2045">
      <w:pPr>
        <w:numPr>
          <w:ilvl w:val="0"/>
          <w:numId w:val="1"/>
        </w:numPr>
        <w:shd w:val="clear" w:color="auto" w:fill="FFFFFF"/>
        <w:spacing w:line="240" w:lineRule="auto"/>
        <w:rPr>
          <w:rFonts w:ascii="Calibri" w:hAnsi="Calibri" w:cs="Calibri"/>
        </w:rPr>
      </w:pPr>
      <w:r w:rsidRPr="00EE2045">
        <w:rPr>
          <w:rFonts w:ascii="Calibri" w:hAnsi="Calibri" w:cs="Calibri"/>
          <w:b/>
          <w:bCs/>
          <w:color w:val="303030"/>
        </w:rPr>
        <w:t>Tension with Core Values:</w:t>
      </w:r>
      <w:r w:rsidRPr="00EE2045">
        <w:rPr>
          <w:rFonts w:ascii="Calibri" w:hAnsi="Calibri" w:cs="Calibri"/>
          <w:color w:val="303030"/>
        </w:rPr>
        <w:t xml:space="preserve"> Educators experience a conflict between their deeply held values—such as meaningful student interaction—and institutional demands to input data about interactions with students into computer systems </w:t>
      </w:r>
      <w:r w:rsidRPr="00EE2045">
        <w:rPr>
          <w:rFonts w:ascii="Calibri" w:hAnsi="Calibri" w:cs="Calibri"/>
          <w:color w:val="303030"/>
        </w:rPr>
        <w:t>in an effort to</w:t>
      </w:r>
      <w:r w:rsidRPr="00EE2045">
        <w:rPr>
          <w:rFonts w:ascii="Calibri" w:hAnsi="Calibri" w:cs="Calibri"/>
          <w:color w:val="303030"/>
        </w:rPr>
        <w:t xml:space="preserve"> produce the required data to train future </w:t>
      </w:r>
      <w:r w:rsidRPr="00EE2045">
        <w:rPr>
          <w:rFonts w:ascii="Calibri" w:hAnsi="Calibri" w:cs="Calibri"/>
          <w:color w:val="303030"/>
        </w:rPr>
        <w:t>EdTEch</w:t>
      </w:r>
      <w:r w:rsidRPr="00EE2045">
        <w:rPr>
          <w:rFonts w:ascii="Calibri" w:hAnsi="Calibri" w:cs="Calibri"/>
          <w:color w:val="303030"/>
        </w:rPr>
        <w:t xml:space="preserve"> models</w:t>
      </w:r>
    </w:p>
    <w:p w:rsidR="00E12D41" w:rsidRPr="00EE2045">
      <w:pPr>
        <w:numPr>
          <w:ilvl w:val="0"/>
          <w:numId w:val="1"/>
        </w:numPr>
        <w:shd w:val="clear" w:color="auto" w:fill="FFFFFF"/>
        <w:spacing w:line="240" w:lineRule="auto"/>
        <w:rPr>
          <w:rFonts w:ascii="Calibri" w:hAnsi="Calibri" w:cs="Calibri"/>
        </w:rPr>
      </w:pPr>
      <w:r w:rsidRPr="00EE2045">
        <w:rPr>
          <w:rFonts w:ascii="Calibri" w:hAnsi="Calibri" w:cs="Calibri"/>
          <w:b/>
          <w:bCs/>
          <w:color w:val="303030"/>
        </w:rPr>
        <w:t>Increased Workload:</w:t>
      </w:r>
      <w:r w:rsidRPr="00EE2045">
        <w:rPr>
          <w:rFonts w:ascii="Calibri" w:hAnsi="Calibri" w:cs="Calibri"/>
          <w:color w:val="303030"/>
        </w:rPr>
        <w:t xml:space="preserve"> Managing and entering data into LA dashboards is perceived as time-consuming, less fulfilling than and a distraction from direct teaching or pastoral care.</w:t>
      </w:r>
    </w:p>
    <w:p w:rsidR="00E12D41" w:rsidRPr="00EE2045">
      <w:pPr>
        <w:numPr>
          <w:ilvl w:val="0"/>
          <w:numId w:val="1"/>
        </w:numPr>
        <w:shd w:val="clear" w:color="auto" w:fill="FFFFFF"/>
        <w:spacing w:line="240" w:lineRule="auto"/>
        <w:rPr>
          <w:rFonts w:ascii="Calibri" w:hAnsi="Calibri" w:cs="Calibri"/>
        </w:rPr>
      </w:pPr>
      <w:r w:rsidRPr="00EE2045">
        <w:rPr>
          <w:rFonts w:ascii="Calibri" w:hAnsi="Calibri" w:cs="Calibri"/>
          <w:b/>
          <w:bCs/>
          <w:color w:val="303030"/>
        </w:rPr>
        <w:t>The "Deficit Narrative":</w:t>
      </w:r>
      <w:r w:rsidRPr="00EE2045">
        <w:rPr>
          <w:rFonts w:ascii="Calibri" w:hAnsi="Calibri" w:cs="Calibri"/>
          <w:color w:val="303030"/>
        </w:rPr>
        <w:t xml:space="preserve"> Current professional development often assumes that resistance to EdTech stems from a lack of skills (i.e. </w:t>
      </w:r>
      <w:r w:rsidRPr="00EE2045">
        <w:rPr>
          <w:rFonts w:ascii="Calibri" w:hAnsi="Calibri" w:cs="Calibri"/>
          <w:color w:val="303030"/>
        </w:rPr>
        <w:t>a"deficit</w:t>
      </w:r>
      <w:r w:rsidRPr="00EE2045">
        <w:rPr>
          <w:rFonts w:ascii="Calibri" w:hAnsi="Calibri" w:cs="Calibri"/>
          <w:color w:val="303030"/>
        </w:rPr>
        <w:t xml:space="preserve"> narrative"). Consequently, training focuses narrowly on how to use dashboards rather than addressing educators' ethical concerns or pedagogical needs.</w:t>
      </w:r>
    </w:p>
    <w:p w:rsidR="00E12D41" w:rsidRPr="00EE2045">
      <w:pPr>
        <w:numPr>
          <w:ilvl w:val="0"/>
          <w:numId w:val="1"/>
        </w:numPr>
        <w:shd w:val="clear" w:color="auto" w:fill="FFFFFF"/>
        <w:spacing w:after="180" w:line="240" w:lineRule="auto"/>
        <w:rPr>
          <w:rFonts w:ascii="Calibri" w:hAnsi="Calibri" w:cs="Calibri"/>
        </w:rPr>
      </w:pPr>
      <w:r w:rsidRPr="00EE2045">
        <w:rPr>
          <w:rFonts w:ascii="Calibri" w:hAnsi="Calibri" w:cs="Calibri"/>
          <w:b/>
          <w:bCs/>
          <w:color w:val="303030"/>
        </w:rPr>
        <w:t>Suppressing Critique:</w:t>
      </w:r>
      <w:r w:rsidRPr="00EE2045">
        <w:rPr>
          <w:rFonts w:ascii="Calibri" w:hAnsi="Calibri" w:cs="Calibri"/>
          <w:color w:val="303030"/>
        </w:rPr>
        <w:t xml:space="preserve"> Strong endorsements from senior leadership can create an environment where dissenting voices or critical questions are labelled as "anti-progress" or "luddite," making it difficult for staff to raise legitimate concerns about EdTech integration.</w:t>
      </w:r>
    </w:p>
    <w:p w:rsidR="00E12D41" w:rsidRPr="00EE2045">
      <w:pPr>
        <w:shd w:val="clear" w:color="auto" w:fill="FFFFFF"/>
        <w:spacing w:after="180" w:line="240" w:lineRule="auto"/>
        <w:rPr>
          <w:rFonts w:ascii="Calibri" w:hAnsi="Calibri" w:cs="Calibri"/>
          <w:color w:val="303030"/>
          <w:highlight w:val="white"/>
        </w:rPr>
      </w:pPr>
    </w:p>
    <w:p w:rsidR="00E12D41" w:rsidRPr="00EE2045">
      <w:pPr>
        <w:rPr>
          <w:rFonts w:ascii="Calibri" w:hAnsi="Calibri" w:cs="Calibri"/>
          <w:i/>
          <w:iCs/>
          <w:color w:val="303030"/>
          <w:highlight w:val="white"/>
        </w:rPr>
      </w:pPr>
      <w:r w:rsidRPr="00EE2045">
        <w:rPr>
          <w:rFonts w:ascii="Calibri" w:hAnsi="Calibri" w:cs="Calibri"/>
          <w:i/>
          <w:iCs/>
          <w:color w:val="303030"/>
          <w:highlight w:val="white"/>
        </w:rPr>
        <w:t>May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C15151-379B-4632-9E62-9355BB29ADF1}"/>
    <w:embedBold r:id="rId2" w:fontKey="{3B2299BB-2E1A-49CC-9C0D-CD653971704D}"/>
    <w:embedItalic r:id="rId3" w:fontKey="{72F05EE3-6384-442A-8F2C-F02E192EAA84}"/>
  </w:font>
  <w:font w:name="Aptos">
    <w:charset w:val="00"/>
    <w:family w:val="swiss"/>
    <w:pitch w:val="variable"/>
    <w:sig w:usb0="20000287" w:usb1="00000003" w:usb2="00000000" w:usb3="00000000" w:csb0="0000019F" w:csb1="00000000"/>
    <w:embedRegular r:id="rId4" w:fontKey="{9AB2B2E3-C8D8-4843-9721-3D264CC1FBF8}"/>
    <w:embedBold r:id="rId5" w:fontKey="{04CD4A6B-8FA5-467C-8972-D9EF4763ECB6}"/>
  </w:font>
  <w:font w:name="Cambria">
    <w:panose1 w:val="02040503050406030204"/>
    <w:charset w:val="00"/>
    <w:family w:val="roman"/>
    <w:pitch w:val="variable"/>
    <w:sig w:usb0="E00006FF" w:usb1="420024FF" w:usb2="02000000" w:usb3="00000000" w:csb0="0000019F" w:csb1="00000000"/>
    <w:embedRegular r:id="rId6" w:fontKey="{BEA86850-5AC1-4F4E-A28B-D24F2640979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AIE0126</dc:title>
  <cp:revision>0</cp:revision>
</cp:coreProperties>
</file>