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4098" w:rsidRPr="00857694" w:rsidP="00857694">
      <w:pPr>
        <w:rPr>
          <w:b/>
          <w:bCs/>
          <w:u w:val="single"/>
        </w:rPr>
      </w:pPr>
      <w:r w:rsidRPr="00857694">
        <w:rPr>
          <w:b/>
          <w:bCs/>
          <w:u w:val="single"/>
        </w:rPr>
        <w:t>Written Evidence Submitted by Dr Gavin D. J. Harper</w:t>
      </w:r>
    </w:p>
    <w:p w:rsidR="00544098" w:rsidRPr="00857694" w:rsidP="00857694"/>
    <w:p w:rsidR="00544098" w:rsidRPr="00857694" w:rsidP="00857694">
      <w:pPr>
        <w:rPr>
          <w:b/>
          <w:bCs/>
        </w:rPr>
      </w:pPr>
      <w:r w:rsidRPr="00857694">
        <w:rPr>
          <w:b/>
          <w:bCs/>
        </w:rPr>
        <w:t xml:space="preserve">Affiliations: </w:t>
      </w:r>
    </w:p>
    <w:p w:rsidR="00544098" w:rsidRPr="00857694" w:rsidP="00857694">
      <w:r>
        <w:t>Critical Materials Research Fellow</w:t>
      </w:r>
      <w:r>
        <w:br/>
      </w:r>
      <w:r w:rsidRPr="00857694">
        <w:rPr>
          <w:i/>
          <w:iCs/>
        </w:rPr>
        <w:t>Birmingham Business School, University of Birmingham</w:t>
      </w:r>
    </w:p>
    <w:p w:rsidR="00544098" w:rsidRPr="00857694" w:rsidP="00857694">
      <w:r>
        <w:t>Academic Collaborator &amp; Affiliated Researcher</w:t>
      </w:r>
      <w:r>
        <w:br/>
      </w:r>
      <w:r w:rsidRPr="00857694">
        <w:rPr>
          <w:i/>
          <w:iCs/>
        </w:rPr>
        <w:t>Institute for Manufacturing (IfM), Industrial Resilience Research Group, University of Cambridge</w:t>
      </w:r>
    </w:p>
    <w:p w:rsidR="00544098" w:rsidRPr="00857694" w:rsidP="00857694"/>
    <w:p w:rsidR="00544098" w:rsidRPr="00857694" w:rsidP="00857694">
      <w:pPr>
        <w:rPr>
          <w:b/>
          <w:bCs/>
        </w:rPr>
      </w:pPr>
      <w:r w:rsidRPr="00857694">
        <w:rPr>
          <w:b/>
          <w:bCs/>
        </w:rPr>
        <w:t>Executive Summary</w:t>
      </w:r>
    </w:p>
    <w:p w:rsidR="00544098" w:rsidRPr="00857694" w:rsidP="00857694">
      <w:r w:rsidRPr="00857694">
        <w:t xml:space="preserve">This submission responds to the Business and Trade Sub-Committee on Economic Security, Arms and Export Controls’ inquiry into critical minerals. Drawing on research across the University of Birmingham and the University of Cambridge, this evidence highlights the urgent need to reframe the UK’s strategy away from primary extraction towards secondary supply, mid-stream processing, and high-value recycling. It also emphasises the need for dynamic, real-time criticality assessments, the protection of sovereign </w:t>
      </w:r>
      <w:r w:rsidRPr="00857694">
        <w:t>strategic capabilities against international "hype" and competition, and a nuanced diplomatic approach to "friendshoring" in an increasingly volatile geopolitical landscape.</w:t>
      </w:r>
    </w:p>
    <w:p w:rsidR="00544098" w:rsidRPr="00857694" w:rsidP="00857694"/>
    <w:p w:rsidR="00544098" w:rsidRPr="00857694" w:rsidP="00857694">
      <w:pPr>
        <w:rPr>
          <w:b/>
          <w:bCs/>
        </w:rPr>
      </w:pPr>
      <w:r w:rsidRPr="00857694">
        <w:rPr>
          <w:b/>
          <w:bCs/>
        </w:rPr>
        <w:t>Context: Dynamic Criticality and Real-Time Assessment</w:t>
      </w:r>
    </w:p>
    <w:p w:rsidR="00544098" w:rsidRPr="00857694" w:rsidP="00857694">
      <w:r w:rsidRPr="00857694">
        <w:t>All critical materials become acutely "critical" at the exact point at which industry cannot procure them, immediately impacting supply chains and people's lives. The Critical Minerals Intelligence Centre (CMIC) has done a truly amazing job in bringing forward robust assessment methodologies and tailoring them to the UK's unique industrial requirements.</w:t>
      </w:r>
      <w:r>
        <w:t xml:space="preserve"> In a landscape of international criticality assessment its represents a methodology that is well suited to UK needs; but in common with other methodologies, it provides a static picture.</w:t>
      </w:r>
    </w:p>
    <w:p w:rsidR="00544098" w:rsidRPr="00857694" w:rsidP="00857694"/>
    <w:p w:rsidR="00544098" w:rsidRPr="00857694" w:rsidP="00857694">
      <w:r>
        <w:t>T</w:t>
      </w:r>
      <w:r w:rsidRPr="00857694">
        <w:t>he fundamental challenge is that global circumstances change so rapidly that annual snapshots of material criticality become outdated the moment a major geopolitical change or shock occurs. We urgently require dynamic assessment methodologies that can rapidly update our understanding of the UK's position in relation to materials criticality as real-world circumstances evolve.</w:t>
      </w:r>
    </w:p>
    <w:p w:rsidR="00544098" w:rsidRPr="00857694" w:rsidP="00857694"/>
    <w:p w:rsidR="00544098" w:rsidRPr="00857694" w:rsidP="00857694">
      <w:r w:rsidRPr="00857694">
        <w:t>At the University of Cambridge's Institute for Manufacturing (IfM) Industrial Resilience Research group, where I am an Academic Collaborator &amp; Affiliated Researcher, we have developed a Global Critical Minerals Observatory. This tool updates in real-time, utilising artificial intelligence to assess the impact of an enormous array of different factors and variables on critical minerals supply. If there is a sudden geopolitical shock, an outbreak of conflict in a key transit region, or an extreme weather even</w:t>
      </w:r>
      <w:r w:rsidRPr="00857694">
        <w:t>t impacting mining infrastructure, the Observatory helps to dynamically update the risk picture, demonstrating exactly how material flows will be impacted. The UK Government should integrate such real-time, AI-driven assessment tools into its wider industrial policy to ensure public-private collaboration is based on the most current data.</w:t>
      </w:r>
    </w:p>
    <w:p w:rsidR="00544098" w:rsidRPr="00857694" w:rsidP="00857694"/>
    <w:p w:rsidR="00544098" w:rsidRPr="00857694" w:rsidP="00857694">
      <w:pPr>
        <w:rPr>
          <w:b/>
          <w:bCs/>
        </w:rPr>
      </w:pPr>
      <w:r w:rsidRPr="00857694">
        <w:rPr>
          <w:b/>
          <w:bCs/>
        </w:rPr>
        <w:t>Ambitions and Delivery: Competing in a Global Market</w:t>
      </w:r>
    </w:p>
    <w:p w:rsidR="00544098" w:rsidRPr="00857694" w:rsidP="00857694">
      <w:r w:rsidRPr="00857694">
        <w:t>The UK faces the profound challenge of being caught between major economic blocs (notably the US, the EU, and China) that are investing enormously to secure access to critical materials. By comparison, the UK's investment in this arena is severely underpowered. Consequently, the UK risks haemorrhaging world-class talent, intellectual property, and strategic expertise to other nations that are prepared to subsidise and pay more for these capabilities.</w:t>
      </w:r>
    </w:p>
    <w:p w:rsidR="00544098" w:rsidRPr="00857694" w:rsidP="00857694"/>
    <w:p w:rsidR="00544098" w:rsidRPr="00857694" w:rsidP="00857694">
      <w:r w:rsidRPr="00857694">
        <w:t>A core conceptual issue is the framing of the UK strategy as a "Critical Minerals" strategy. This phrasing inadvertently places the focus heavily on primary supply chains and mining. However, aside from a small handful of geological deposits, the UK is not going to be a globally cost-competitive mining nation. The UK’s true strategic strengths and policy focus should be pivoted toward recycling, secondary supply, and mid-stream processing of materials (Čavoški et al., 2023).</w:t>
      </w:r>
      <w:r>
        <w:t xml:space="preserve"> The UK has to “pick winners”, it does not have the resource to do everything and risks doing a “little bit of everything, badly”; we should focus on areas of real strength where the UK possesses unique capabilities.</w:t>
      </w:r>
    </w:p>
    <w:p w:rsidR="00544098" w:rsidRPr="00857694" w:rsidP="00857694"/>
    <w:p w:rsidR="00544098" w:rsidRPr="00857694" w:rsidP="00857694">
      <w:r w:rsidRPr="00857694">
        <w:t>In pursuing this agenda, we must be careful not to get caught in technological "hype" cycles. As explored in recent research, we need targeted investment in the right technologies at the right place and at the right time, navigating the hype cycles that often characterise critical metal systems to ensure sustainable, long-term innovation (Mahanty, Boons and Harper, 2025).</w:t>
      </w:r>
    </w:p>
    <w:p w:rsidR="00544098" w:rsidRPr="00857694" w:rsidP="00857694"/>
    <w:p w:rsidR="00544098" w:rsidRPr="00857694" w:rsidP="00857694">
      <w:r w:rsidRPr="00857694">
        <w:t xml:space="preserve">We can learn significantly from the implementation of similar strategies abroad. As noted in the Birmingham Policy Commission on Securing Technology-Critical Metals for Britain, the UK should look closely at models like Japan's JOGMEC (Japan Organization </w:t>
      </w:r>
      <w:r w:rsidRPr="00857694">
        <w:t>for Metals and Energy Security) to coordinate state-backed investment and strategic stockpiling. Furthermore, the Government must "pick winners" and focus decisively on areas where the UK possesses world-leading, unique capabilities. For example, the UK's potential around rare earth magnet recycling is significant, representing a specialised skill base that does not exist at scale elsewhere. We must protect these strategic capabilities from leaving the country.</w:t>
      </w:r>
    </w:p>
    <w:p w:rsidR="00544098" w:rsidRPr="00857694" w:rsidP="00857694"/>
    <w:p w:rsidR="00544098" w:rsidRPr="00857694" w:rsidP="00857694">
      <w:pPr>
        <w:rPr>
          <w:b/>
          <w:bCs/>
        </w:rPr>
      </w:pPr>
      <w:r w:rsidRPr="00857694">
        <w:rPr>
          <w:b/>
          <w:bCs/>
        </w:rPr>
        <w:t>The Domestic Supply Chain: Translation, Recycling, and Circularity</w:t>
      </w:r>
    </w:p>
    <w:p w:rsidR="00544098" w:rsidRPr="00857694" w:rsidP="00857694">
      <w:r w:rsidRPr="00857694">
        <w:t>The UK possesses unique institutional strengths. The Faraday Institution has been highly catalytic in building and sustaining a vibrant, post-Brexit battery research community in the UK that consistently punches above its weight on the global stage. However, a broader systemic challenge remains in the UK: the successful translation of innovation from the laboratory into commercial industry.</w:t>
      </w:r>
    </w:p>
    <w:p w:rsidR="00544098" w:rsidRPr="00857694" w:rsidP="00857694"/>
    <w:p w:rsidR="00544098" w:rsidRPr="00857694" w:rsidP="00857694">
      <w:r w:rsidRPr="00857694">
        <w:t>To build a resilient domestic supply chain, the UK must incentivise "design for recycle" across all technology manufacturing. Ensuring the efficient recovery of technology-critical metals requires that end-of-life considerations are built into the initial design phase of devices (Keal et al., 2025; Meng et al., 2025).</w:t>
      </w:r>
    </w:p>
    <w:p w:rsidR="00544098" w:rsidRPr="00857694" w:rsidP="00857694"/>
    <w:p w:rsidR="00544098" w:rsidRPr="00857694" w:rsidP="00857694">
      <w:r w:rsidRPr="00857694">
        <w:t xml:space="preserve">Furthermore, government support must focus explicitly on high-value recycling, rather than basic recycling approaches that generate poor-quality, low-value secondary materials. To establish a true circular economy, we must join up the missing links in the domestic supply chain (Hartley et al., 2025; Harper, 2023a; </w:t>
      </w:r>
      <w:r>
        <w:t>Keal et.al.</w:t>
      </w:r>
      <w:r w:rsidRPr="00857694">
        <w:t xml:space="preserve"> 2025). At present, the UK produces a significant amount of 'black mass' (the crushed remnants of end-of-life batteries), but we lack the domestic mid-stream processing infrastructure required to fully valorise this material. Exporting black mass simply exports our critical material security; we must develop the domestic capability to refine it back into battery-grade precursors.</w:t>
      </w:r>
      <w:r>
        <w:t xml:space="preserve"> As the Faraday Institution’s ReLiB project shows, there are more technically sophisticated ways of recovering critical</w:t>
      </w:r>
      <w:r>
        <w:t xml:space="preserve"> materials from scrap – we need to get these approaches from the lab into the marketplace. The UK has developed a great deal of capacity for “shredding” batteries – a crude approach that limits downstream recycling options. We need industrially scale methods for recovering these materials more efficiently and ensure they are retained within the UK economy. </w:t>
      </w:r>
    </w:p>
    <w:p w:rsidR="00544098" w:rsidRPr="00857694" w:rsidP="00857694"/>
    <w:p w:rsidR="00544098" w:rsidRPr="00857694" w:rsidP="00857694">
      <w:pPr>
        <w:rPr>
          <w:b/>
          <w:bCs/>
        </w:rPr>
      </w:pPr>
      <w:r w:rsidRPr="00857694">
        <w:rPr>
          <w:b/>
          <w:bCs/>
        </w:rPr>
        <w:t>Industrial Resilience: Geopolitics, Defence, and Vigilance</w:t>
      </w:r>
    </w:p>
    <w:p w:rsidR="00544098" w:rsidRPr="00857694" w:rsidP="00857694">
      <w:r w:rsidRPr="00857694">
        <w:t>The need for industrial resilience has never been more pressing. We live in a turbulent world where the settled global order is fundamentally shifting, raising particular concerns around dual-use materials vital for the defence sector. A forthcoming special issue of the Continuity and Resilience Review journal, for which I serve as a guest editor, explores these compounding supply chain shocks in detail.</w:t>
      </w:r>
    </w:p>
    <w:p w:rsidR="00544098" w:rsidRPr="00857694" w:rsidP="00857694"/>
    <w:p w:rsidR="00544098" w:rsidRPr="00857694" w:rsidP="00857694">
      <w:r w:rsidRPr="00857694">
        <w:t>The UK’s approach to supply chain diversification correctly emphasises "friendshoring" and international collaboration. However, the Government must maintain a highly vigilant and nuanced diplomatic posture regarding allied dependencies. We are observing subtle but significant shifts in transatlantic defence dynamics, with several European nations re-evaluating their supply chain dependencies and defence contracting outside of the US sphere.</w:t>
      </w:r>
      <w:r>
        <w:t xml:space="preserve"> The UK cannot be blind to these tectonic shifts, and must ensure that industrial policy reflects current world events.</w:t>
      </w:r>
    </w:p>
    <w:p w:rsidR="00544098" w:rsidRPr="00857694" w:rsidP="00857694"/>
    <w:p w:rsidR="00544098" w:rsidRPr="00857694" w:rsidP="00857694">
      <w:r w:rsidRPr="00857694">
        <w:t>Furthermore, the strategic leverage exercised by allied nations over critical resources—such as US interests concerning rare earth elements in Greenland or supply chains impacted by the war in Ukraine—may not invariably align with distinct British strategic interests, domestic values, or sovereign priorities. The UK must ensure that its strategy for securing defence-critical and dual-use materials maintains genuine strategic autonomy, mitigating vulnerabilities even among traditional geopolitical allies. Th</w:t>
      </w:r>
      <w:r w:rsidRPr="00857694">
        <w:t>e speed at which strategic chokeholds can be applied is evidenced by recent export controls placed on critical materials like gallium and germanium (Harper, 2023b); the UK must be prepared for further sudden geopolitical trade restrictions.</w:t>
      </w:r>
    </w:p>
    <w:p w:rsidR="00544098" w:rsidRPr="00857694" w:rsidP="00857694"/>
    <w:p w:rsidR="00544098" w:rsidRPr="00857694" w:rsidP="00857694">
      <w:pPr>
        <w:rPr>
          <w:b/>
          <w:bCs/>
        </w:rPr>
      </w:pPr>
      <w:r w:rsidRPr="00857694">
        <w:rPr>
          <w:b/>
          <w:bCs/>
        </w:rPr>
        <w:t>Trade and Diversification</w:t>
      </w:r>
    </w:p>
    <w:p w:rsidR="00544098" w:rsidRPr="00857694" w:rsidP="00857694">
      <w:r w:rsidRPr="00857694">
        <w:t>Regarding international partnerships, the UK should look to strategically align with nations that complement our secondary supply ambitions. Australia, for example, is of paramount strategic importance for a wide variety of critical materials.</w:t>
      </w:r>
    </w:p>
    <w:p w:rsidR="00544098" w:rsidRPr="00857694" w:rsidP="00857694"/>
    <w:p w:rsidR="00544098" w:rsidRPr="00857694" w:rsidP="00857694">
      <w:r w:rsidRPr="00857694">
        <w:t>The UK should actively strengthen institutional links with Australian counterparts. We have maintained an ongoing, highly productive dialogue with Australia's national science agency, CSIRO. There is a clear, mutual willingness to collaborate on critical materials processing and sustainability. The Government should strongly incentivise this through dedicated, bilateral UK-Australia research funding mechanisms, creating "lighthouse projects" that leverage Australian primary extraction expertise alongside UK</w:t>
      </w:r>
      <w:r w:rsidRPr="00857694">
        <w:t xml:space="preserve"> innovations in secondary processing and high-value recycling.</w:t>
      </w:r>
    </w:p>
    <w:p w:rsidR="00544098" w:rsidRPr="00857694" w:rsidP="00857694"/>
    <w:p w:rsidR="00544098" w:rsidRPr="00857694" w:rsidP="00857694">
      <w:pPr>
        <w:rPr>
          <w:b/>
          <w:bCs/>
        </w:rPr>
      </w:pPr>
      <w:r w:rsidRPr="00857694">
        <w:rPr>
          <w:b/>
          <w:bCs/>
        </w:rPr>
        <w:t>References</w:t>
      </w:r>
    </w:p>
    <w:p w:rsidR="00544098" w:rsidRPr="00857694" w:rsidP="00857694">
      <w:r w:rsidRPr="00857694">
        <w:t>Hartley, J. M., Scott, S., Yang, J. M., Anderson, P. A., Harper, G. D. J., Ahuja, J., Petavratzi, E., Tulsidas, H., &amp; Abbott, A. P. (2025). Timeline for establishing a circular economy for lithium-ion batteries. </w:t>
      </w:r>
      <w:r w:rsidRPr="00857694">
        <w:rPr>
          <w:i/>
          <w:iCs/>
        </w:rPr>
        <w:t>EES Batteries</w:t>
      </w:r>
      <w:r w:rsidRPr="00857694">
        <w:t>, </w:t>
      </w:r>
      <w:r w:rsidRPr="00857694">
        <w:rPr>
          <w:i/>
          <w:iCs/>
        </w:rPr>
        <w:t>1</w:t>
      </w:r>
      <w:r w:rsidRPr="00857694">
        <w:t>(6), 1502-1514. https://doi.org/10.1039/d5eb00144g</w:t>
      </w:r>
    </w:p>
    <w:p w:rsidR="00544098" w:rsidRPr="00857694" w:rsidP="00857694">
      <w:r w:rsidRPr="00857694">
        <w:t>Čavoški, A., Ahuja, J., Harper, G., &amp; Peck, D. (2023). Securing technology critical materials for Britain – the legal and regulatory conundrum. Environmental Law Review, 25(4), 311-325.</w:t>
      </w:r>
    </w:p>
    <w:p w:rsidR="00544098" w:rsidRPr="00857694" w:rsidP="00857694"/>
    <w:p w:rsidR="00544098" w:rsidRPr="00857694" w:rsidP="00857694">
      <w:r w:rsidRPr="00857694">
        <w:t>Harper, G.D.J. (2023a). Upcycle for enhanced performance. Nature Sustainability, 6, 725–726. https://doi.org/10.1038/s41893-023-01090-z.</w:t>
      </w:r>
    </w:p>
    <w:p w:rsidR="00544098" w:rsidRPr="00857694" w:rsidP="00857694"/>
    <w:p w:rsidR="00544098" w:rsidRPr="00857694" w:rsidP="00857694">
      <w:r w:rsidRPr="00857694">
        <w:t>Harper, G. (2023b). China’s gallium and germanium controls: what they mean and what could happen next. The Conversation. https://doi.org/10.64628/AB.umpqata4r.</w:t>
      </w:r>
    </w:p>
    <w:p w:rsidR="00544098" w:rsidRPr="00857694" w:rsidP="00857694"/>
    <w:p w:rsidR="00544098" w:rsidRPr="00857694" w:rsidP="00857694">
      <w:r w:rsidRPr="00857694">
        <w:t>Hartley, J.M., Scott, S., Yang, J.M., Anderson, P.A., Harper, G.D.J., Ahuja, J., Petavratzi, E., Tulsidas, H. and Abbott, A.P. (2025). Timeline for establishing a circular economy for lithium-ion batteries.</w:t>
      </w:r>
    </w:p>
    <w:p w:rsidR="00544098" w:rsidRPr="00857694" w:rsidP="00857694"/>
    <w:p w:rsidR="00544098" w:rsidRPr="00857694" w:rsidP="00857694">
      <w:r w:rsidRPr="00857694">
        <w:t>Keal, M.E., Scott, S., Alsulami, B.N.N., Kettle, J., Feeney, A., Edge, J.S., Anderson, P.A., Harper, G.D.J., Walton, A., Zante, G. and Abbott, A.P. (2025). Design for recycle of devices to ensure efficient recovery of technology critical metals. RSC Sustainability, 3, 2455-2471. DOI: 10.1039/D5SU00128E.</w:t>
      </w:r>
    </w:p>
    <w:p w:rsidR="00544098" w:rsidRPr="00857694" w:rsidP="00857694"/>
    <w:p w:rsidR="00544098" w:rsidRPr="00857694" w:rsidP="00857694">
      <w:r w:rsidRPr="00857694">
        <w:t>Mahanty, S., Boons, F. and Harper, G. (2025). Evolving Critical Metal Systems: Hype Cycles and Implications for Sustainable Innovation. Sustainability, 17(6), 2778. https://doi.org/10.3390/su17062778.</w:t>
      </w:r>
    </w:p>
    <w:p w:rsidR="00544098" w:rsidRPr="00857694" w:rsidP="00857694"/>
    <w:p w:rsidR="00544098" w:rsidRPr="00C02EB3" w:rsidP="00857694">
      <w:r w:rsidRPr="00857694">
        <w:t>Meng, F., Hawkin, J.L., Gast, L. et al. (2025). End-of-life management for wind turbines. Nature Reviews Clean Technology, 1, 677–698. https://doi.org/10.1038/s44359-025-00097-3.</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1F69" w:rsidP="00F61F69">
    <w:pPr>
      <w:pStyle w:val="Header"/>
      <w:jc w:val="center"/>
    </w:pPr>
    <w:r>
      <w:t>Written submission from Dr Gavin Harper (CRM0016)</w:t>
    </w:r>
  </w:p>
  <w:p w:rsidR="00F61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02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EB3"/>
    <w:rPr>
      <w:rFonts w:eastAsiaTheme="majorEastAsia" w:cstheme="majorBidi"/>
      <w:color w:val="272727" w:themeColor="text1" w:themeTint="D8"/>
    </w:rPr>
  </w:style>
  <w:style w:type="paragraph" w:styleId="Title">
    <w:name w:val="Title"/>
    <w:basedOn w:val="Normal"/>
    <w:next w:val="Normal"/>
    <w:link w:val="TitleChar"/>
    <w:uiPriority w:val="10"/>
    <w:qFormat/>
    <w:rsid w:val="00C02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EB3"/>
    <w:pPr>
      <w:spacing w:before="160"/>
      <w:jc w:val="center"/>
    </w:pPr>
    <w:rPr>
      <w:i/>
      <w:iCs/>
      <w:color w:val="404040" w:themeColor="text1" w:themeTint="BF"/>
    </w:rPr>
  </w:style>
  <w:style w:type="character" w:customStyle="1" w:styleId="QuoteChar">
    <w:name w:val="Quote Char"/>
    <w:basedOn w:val="DefaultParagraphFont"/>
    <w:link w:val="Quote"/>
    <w:uiPriority w:val="29"/>
    <w:rsid w:val="00C02EB3"/>
    <w:rPr>
      <w:i/>
      <w:iCs/>
      <w:color w:val="404040" w:themeColor="text1" w:themeTint="BF"/>
    </w:rPr>
  </w:style>
  <w:style w:type="paragraph" w:styleId="ListParagraph">
    <w:name w:val="List Paragraph"/>
    <w:basedOn w:val="Normal"/>
    <w:uiPriority w:val="34"/>
    <w:qFormat/>
    <w:rsid w:val="00C02EB3"/>
    <w:pPr>
      <w:ind w:left="720"/>
      <w:contextualSpacing/>
    </w:pPr>
  </w:style>
  <w:style w:type="character" w:styleId="IntenseEmphasis">
    <w:name w:val="Intense Emphasis"/>
    <w:basedOn w:val="DefaultParagraphFont"/>
    <w:uiPriority w:val="21"/>
    <w:qFormat/>
    <w:rsid w:val="00C02EB3"/>
    <w:rPr>
      <w:i/>
      <w:iCs/>
      <w:color w:val="0F4761" w:themeColor="accent1" w:themeShade="BF"/>
    </w:rPr>
  </w:style>
  <w:style w:type="paragraph" w:styleId="IntenseQuote">
    <w:name w:val="Intense Quote"/>
    <w:basedOn w:val="Normal"/>
    <w:next w:val="Normal"/>
    <w:link w:val="IntenseQuoteChar"/>
    <w:uiPriority w:val="30"/>
    <w:qFormat/>
    <w:rsid w:val="00C02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EB3"/>
    <w:rPr>
      <w:i/>
      <w:iCs/>
      <w:color w:val="0F4761" w:themeColor="accent1" w:themeShade="BF"/>
    </w:rPr>
  </w:style>
  <w:style w:type="character" w:styleId="IntenseReference">
    <w:name w:val="Intense Reference"/>
    <w:basedOn w:val="DefaultParagraphFont"/>
    <w:uiPriority w:val="32"/>
    <w:qFormat/>
    <w:rsid w:val="00C02EB3"/>
    <w:rPr>
      <w:b/>
      <w:bCs/>
      <w:smallCaps/>
      <w:color w:val="0F4761" w:themeColor="accent1" w:themeShade="BF"/>
      <w:spacing w:val="5"/>
    </w:rPr>
  </w:style>
  <w:style w:type="character" w:styleId="Hyperlink">
    <w:name w:val="Hyperlink"/>
    <w:basedOn w:val="DefaultParagraphFont"/>
    <w:uiPriority w:val="99"/>
    <w:unhideWhenUsed/>
    <w:rsid w:val="00C02EB3"/>
    <w:rPr>
      <w:color w:val="467886" w:themeColor="hyperlink"/>
      <w:u w:val="single"/>
    </w:rPr>
  </w:style>
  <w:style w:type="character" w:customStyle="1" w:styleId="UnresolvedMention1">
    <w:name w:val="Unresolved Mention1"/>
    <w:basedOn w:val="DefaultParagraphFont"/>
    <w:uiPriority w:val="99"/>
    <w:semiHidden/>
    <w:unhideWhenUsed/>
    <w:rsid w:val="00C02EB3"/>
    <w:rPr>
      <w:color w:val="605E5C"/>
      <w:shd w:val="clear" w:color="auto" w:fill="E1DFDD"/>
    </w:rPr>
  </w:style>
  <w:style w:type="paragraph" w:styleId="Header">
    <w:name w:val="header"/>
    <w:basedOn w:val="Normal"/>
    <w:link w:val="HeaderChar"/>
    <w:uiPriority w:val="99"/>
    <w:unhideWhenUsed/>
    <w:rsid w:val="00F61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F69"/>
  </w:style>
  <w:style w:type="paragraph" w:styleId="Footer">
    <w:name w:val="footer"/>
    <w:basedOn w:val="Normal"/>
    <w:link w:val="FooterChar"/>
    <w:uiPriority w:val="99"/>
    <w:unhideWhenUsed/>
    <w:rsid w:val="00F61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CRM0016</dc:title>
  <cp:revision>0</cp:revision>
</cp:coreProperties>
</file>