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51111" w:rsidRPr="00BC2DC4" w:rsidP="00751111">
      <w:pPr>
        <w:pStyle w:val="Body"/>
        <w:ind w:left="142"/>
        <w:jc w:val="both"/>
        <w:rPr>
          <w:rFonts w:ascii="Minion Pro" w:hAnsi="Minion Pro"/>
          <w:b/>
          <w:bCs/>
          <w:color w:val="auto"/>
          <w:sz w:val="24"/>
          <w:szCs w:val="24"/>
        </w:rPr>
      </w:pPr>
      <w:r w:rsidRPr="00BC2DC4">
        <w:rPr>
          <w:rFonts w:ascii="Minion Pro" w:hAnsi="Minion Pro"/>
          <w:b/>
          <w:bCs/>
          <w:color w:val="auto"/>
          <w:sz w:val="24"/>
          <w:szCs w:val="24"/>
        </w:rPr>
        <w:t>Written evidence from The Centre for Governance and Scrutiny</w:t>
      </w:r>
      <w:r>
        <w:rPr>
          <w:rStyle w:val="FootnoteReference"/>
          <w:rFonts w:ascii="Minion Pro" w:hAnsi="Minion Pro"/>
          <w:b/>
          <w:bCs/>
          <w:color w:val="auto"/>
          <w:sz w:val="24"/>
          <w:szCs w:val="24"/>
        </w:rPr>
        <w:footnoteReference w:id="2"/>
      </w:r>
      <w:r w:rsidRPr="00BC2DC4">
        <w:rPr>
          <w:rFonts w:ascii="Minion Pro" w:hAnsi="Minion Pro"/>
          <w:b/>
          <w:bCs/>
          <w:color w:val="auto"/>
          <w:sz w:val="24"/>
          <w:szCs w:val="24"/>
        </w:rPr>
        <w:t xml:space="preserve"> (EDE 44)</w:t>
      </w:r>
      <w:r w:rsidRPr="00BC2DC4">
        <w:rPr>
          <w:rStyle w:val="FootnoteReference"/>
          <w:rFonts w:ascii="Minion Pro" w:hAnsi="Minion Pro"/>
          <w:b/>
          <w:bCs/>
          <w:color w:val="auto"/>
          <w:sz w:val="24"/>
          <w:szCs w:val="24"/>
        </w:rPr>
        <w:t xml:space="preserve"> </w:t>
      </w:r>
      <w:r>
        <w:rPr>
          <w:rStyle w:val="FootnoteReference"/>
          <w:rFonts w:ascii="Minion Pro" w:hAnsi="Minion Pro"/>
          <w:b/>
          <w:bCs/>
          <w:color w:val="auto"/>
          <w:sz w:val="24"/>
          <w:szCs w:val="24"/>
        </w:rPr>
        <w:footnoteReference w:id="3"/>
      </w:r>
    </w:p>
    <w:p w:rsidR="00BC2DC4" w:rsidRPr="00BC2DC4" w:rsidP="00751111">
      <w:pPr>
        <w:spacing w:after="0"/>
        <w:ind w:left="142"/>
        <w:jc w:val="both"/>
        <w:rPr>
          <w:rFonts w:ascii="Minion Pro" w:eastAsia="Times New Roman" w:hAnsi="Minion Pro"/>
          <w:b/>
          <w:bCs/>
          <w:sz w:val="24"/>
          <w:szCs w:val="24"/>
          <w:lang w:eastAsia="en-GB"/>
        </w:rPr>
      </w:pPr>
    </w:p>
    <w:p w:rsidR="00751111" w:rsidRPr="00BC2DC4" w:rsidP="00751111">
      <w:pPr>
        <w:spacing w:after="0"/>
        <w:ind w:left="142"/>
        <w:jc w:val="both"/>
        <w:rPr>
          <w:rFonts w:ascii="Minion Pro" w:eastAsia="Times New Roman" w:hAnsi="Minion Pro"/>
          <w:b/>
          <w:bCs/>
          <w:sz w:val="24"/>
          <w:szCs w:val="24"/>
        </w:rPr>
      </w:pPr>
      <w:r w:rsidRPr="00BC2DC4">
        <w:rPr>
          <w:rFonts w:ascii="Minion Pro" w:eastAsia="Times New Roman" w:hAnsi="Minion Pro"/>
          <w:b/>
          <w:bCs/>
          <w:sz w:val="24"/>
          <w:szCs w:val="24"/>
          <w:lang w:eastAsia="en-GB"/>
        </w:rPr>
        <w:t>Public Administration and Constitutional Affairs Committee</w:t>
      </w:r>
      <w:r w:rsidRPr="00BC2DC4">
        <w:rPr>
          <w:rFonts w:ascii="Minion Pro" w:eastAsia="Times New Roman" w:hAnsi="Minion Pro"/>
          <w:b/>
          <w:bCs/>
          <w:sz w:val="24"/>
          <w:szCs w:val="24"/>
        </w:rPr>
        <w:t xml:space="preserve"> </w:t>
      </w:r>
    </w:p>
    <w:p w:rsidR="00751111" w:rsidRPr="00BC2DC4" w:rsidP="00751111">
      <w:pPr>
        <w:spacing w:after="0"/>
        <w:ind w:left="142"/>
        <w:jc w:val="both"/>
        <w:rPr>
          <w:rFonts w:ascii="Minion Pro" w:eastAsia="Times New Roman" w:hAnsi="Minion Pro"/>
          <w:b/>
          <w:bCs/>
          <w:sz w:val="24"/>
          <w:szCs w:val="24"/>
          <w:lang w:eastAsia="en-GB"/>
        </w:rPr>
      </w:pPr>
      <w:r w:rsidRPr="00BC2DC4">
        <w:rPr>
          <w:rFonts w:ascii="Minion Pro" w:eastAsia="Times New Roman" w:hAnsi="Minion Pro"/>
          <w:b/>
          <w:bCs/>
          <w:sz w:val="24"/>
          <w:szCs w:val="24"/>
          <w:lang w:eastAsia="en-GB"/>
        </w:rPr>
        <w:t>The Evolution of Devolution: English Devolution</w:t>
      </w:r>
    </w:p>
    <w:p w:rsidR="00751111" w:rsidRPr="00BC2DC4" w:rsidP="00751111">
      <w:pPr>
        <w:jc w:val="both"/>
        <w:rPr>
          <w:rFonts w:ascii="Minion Pro" w:hAnsi="Minion Pro"/>
          <w:color w:val="F39200"/>
          <w:sz w:val="24"/>
          <w:szCs w:val="24"/>
        </w:rPr>
      </w:pPr>
    </w:p>
    <w:p w:rsidR="00EE776D" w:rsidRPr="00BC2DC4" w:rsidP="00751111">
      <w:pPr>
        <w:jc w:val="both"/>
        <w:rPr>
          <w:rFonts w:ascii="Minion Pro" w:hAnsi="Minion Pro"/>
          <w:color w:val="F39200"/>
          <w:sz w:val="24"/>
          <w:szCs w:val="24"/>
        </w:rPr>
      </w:pPr>
      <w:r w:rsidRPr="00BC2DC4">
        <w:rPr>
          <w:rFonts w:ascii="Minion Pro" w:hAnsi="Minion Pro"/>
          <w:color w:val="F39200"/>
          <w:sz w:val="24"/>
          <w:szCs w:val="24"/>
        </w:rPr>
        <w:t>Evidence Summary</w:t>
      </w:r>
    </w:p>
    <w:p w:rsidR="00856E5D" w:rsidRPr="00BC2DC4" w:rsidP="00751111">
      <w:pPr>
        <w:jc w:val="both"/>
        <w:rPr>
          <w:rFonts w:ascii="Minion Pro" w:hAnsi="Minion Pro"/>
          <w:sz w:val="24"/>
          <w:szCs w:val="24"/>
        </w:rPr>
      </w:pPr>
      <w:r w:rsidRPr="00BC2DC4">
        <w:rPr>
          <w:rFonts w:ascii="Minion Pro" w:hAnsi="Minion Pro"/>
          <w:sz w:val="24"/>
          <w:szCs w:val="24"/>
        </w:rPr>
        <w:t xml:space="preserve">This submission engages with seven of the eight </w:t>
      </w:r>
      <w:r w:rsidRPr="00BC2DC4">
        <w:rPr>
          <w:rFonts w:ascii="Minion Pro" w:hAnsi="Minion Pro"/>
          <w:sz w:val="24"/>
          <w:szCs w:val="24"/>
        </w:rPr>
        <w:t>questions set out in the call for evidence.</w:t>
      </w:r>
    </w:p>
    <w:p w:rsidR="004E42FB" w:rsidRPr="00BC2DC4" w:rsidP="00751111">
      <w:pPr>
        <w:jc w:val="both"/>
        <w:rPr>
          <w:rFonts w:ascii="Minion Pro" w:hAnsi="Minion Pro"/>
          <w:sz w:val="24"/>
          <w:szCs w:val="24"/>
        </w:rPr>
      </w:pPr>
      <w:r w:rsidRPr="00BC2DC4">
        <w:rPr>
          <w:rFonts w:ascii="Minion Pro" w:hAnsi="Minion Pro"/>
          <w:sz w:val="24"/>
          <w:szCs w:val="24"/>
        </w:rPr>
        <w:t xml:space="preserve">Any attempt at reforming English devolution and local government will need to regard the current political context. In the wake of Brexit and the Covid-19 pandemic there have been </w:t>
      </w:r>
      <w:r w:rsidRPr="00BC2DC4">
        <w:rPr>
          <w:rFonts w:ascii="Minion Pro" w:hAnsi="Minion Pro"/>
          <w:sz w:val="24"/>
          <w:szCs w:val="24"/>
        </w:rPr>
        <w:t>particular implications</w:t>
      </w:r>
      <w:r w:rsidRPr="00BC2DC4">
        <w:rPr>
          <w:rFonts w:ascii="Minion Pro" w:hAnsi="Minion Pro"/>
          <w:sz w:val="24"/>
          <w:szCs w:val="24"/>
        </w:rPr>
        <w:t xml:space="preserve"> on the l</w:t>
      </w:r>
      <w:r w:rsidRPr="00BC2DC4">
        <w:rPr>
          <w:rFonts w:ascii="Minion Pro" w:hAnsi="Minion Pro"/>
          <w:sz w:val="24"/>
          <w:szCs w:val="24"/>
        </w:rPr>
        <w:t>ocation of power and decision-making. This could be the opportunity to attend to a ‘constitutional moment’ in which we reflect on and enact a shared vision for a better longer-term form of devolution within England and rethink our approach to local democra</w:t>
      </w:r>
      <w:r w:rsidRPr="00BC2DC4">
        <w:rPr>
          <w:rFonts w:ascii="Minion Pro" w:hAnsi="Minion Pro"/>
          <w:sz w:val="24"/>
          <w:szCs w:val="24"/>
        </w:rPr>
        <w:t>cy.</w:t>
      </w:r>
    </w:p>
    <w:p w:rsidR="00856E5D" w:rsidRPr="00BC2DC4" w:rsidP="00751111">
      <w:pPr>
        <w:jc w:val="both"/>
        <w:rPr>
          <w:rFonts w:ascii="Minion Pro" w:hAnsi="Minion Pro"/>
          <w:sz w:val="24"/>
          <w:szCs w:val="24"/>
        </w:rPr>
      </w:pPr>
      <w:r w:rsidRPr="00BC2DC4">
        <w:rPr>
          <w:rFonts w:ascii="Minion Pro" w:hAnsi="Minion Pro"/>
          <w:sz w:val="24"/>
          <w:szCs w:val="24"/>
        </w:rPr>
        <w:t xml:space="preserve">Devolved tiers of governance and combined authorities must belong to the </w:t>
      </w:r>
      <w:r w:rsidRPr="00BC2DC4">
        <w:rPr>
          <w:rFonts w:ascii="Minion Pro" w:hAnsi="Minion Pro"/>
          <w:sz w:val="24"/>
          <w:szCs w:val="24"/>
        </w:rPr>
        <w:t>unitaries</w:t>
      </w:r>
      <w:r w:rsidRPr="00BC2DC4">
        <w:rPr>
          <w:rFonts w:ascii="Minion Pro" w:hAnsi="Minion Pro"/>
          <w:sz w:val="24"/>
          <w:szCs w:val="24"/>
        </w:rPr>
        <w:t xml:space="preserve">, shires and districts they sit above. Ultimately, aims should be set by local authorities, partners and communities in ascertaining how they want to draw down power and </w:t>
      </w:r>
      <w:r w:rsidRPr="00BC2DC4">
        <w:rPr>
          <w:rFonts w:ascii="Minion Pro" w:hAnsi="Minion Pro"/>
          <w:sz w:val="24"/>
          <w:szCs w:val="24"/>
        </w:rPr>
        <w:t xml:space="preserve">funding. </w:t>
      </w:r>
    </w:p>
    <w:p w:rsidR="00856E5D" w:rsidRPr="00BC2DC4" w:rsidP="00751111">
      <w:pPr>
        <w:jc w:val="both"/>
        <w:rPr>
          <w:rFonts w:ascii="Minion Pro" w:hAnsi="Minion Pro"/>
          <w:sz w:val="24"/>
          <w:szCs w:val="24"/>
        </w:rPr>
      </w:pPr>
      <w:r w:rsidRPr="00BC2DC4">
        <w:rPr>
          <w:rFonts w:ascii="Minion Pro" w:hAnsi="Minion Pro"/>
          <w:sz w:val="24"/>
          <w:szCs w:val="24"/>
        </w:rPr>
        <w:t xml:space="preserve">Improved outcomes for local people </w:t>
      </w:r>
      <w:r w:rsidRPr="00BC2DC4">
        <w:rPr>
          <w:rFonts w:ascii="Minion Pro" w:hAnsi="Minion Pro"/>
          <w:sz w:val="24"/>
          <w:szCs w:val="24"/>
        </w:rPr>
        <w:t>is</w:t>
      </w:r>
      <w:r w:rsidRPr="00BC2DC4">
        <w:rPr>
          <w:rFonts w:ascii="Minion Pro" w:hAnsi="Minion Pro"/>
          <w:sz w:val="24"/>
          <w:szCs w:val="24"/>
        </w:rPr>
        <w:t xml:space="preserve"> what devolution needs to be driven by, but this will not arise automatically. It will also not arise purely as a result of agreement on structure. Many of the benefits will rely on relational aspects - the sh</w:t>
      </w:r>
      <w:r w:rsidRPr="00BC2DC4">
        <w:rPr>
          <w:rFonts w:ascii="Minion Pro" w:hAnsi="Minion Pro"/>
          <w:sz w:val="24"/>
          <w:szCs w:val="24"/>
        </w:rPr>
        <w:t>ared attitudes, behaviours and values that will define how devolution will work.</w:t>
      </w:r>
    </w:p>
    <w:p w:rsidR="00856E5D" w:rsidRPr="00BC2DC4" w:rsidP="00751111">
      <w:pPr>
        <w:jc w:val="both"/>
        <w:rPr>
          <w:rFonts w:ascii="Minion Pro" w:hAnsi="Minion Pro"/>
          <w:sz w:val="24"/>
          <w:szCs w:val="24"/>
        </w:rPr>
      </w:pPr>
      <w:r w:rsidRPr="00BC2DC4">
        <w:rPr>
          <w:rFonts w:ascii="Minion Pro" w:hAnsi="Minion Pro"/>
          <w:sz w:val="24"/>
          <w:szCs w:val="24"/>
        </w:rPr>
        <w:t>Devolution being a process, not an event, means that although outcomes are imperative, devolved arrangements will continue to evolve. Devolution will have to be flexible enoug</w:t>
      </w:r>
      <w:r w:rsidRPr="00BC2DC4">
        <w:rPr>
          <w:rFonts w:ascii="Minion Pro" w:hAnsi="Minion Pro"/>
          <w:sz w:val="24"/>
          <w:szCs w:val="24"/>
        </w:rPr>
        <w:t xml:space="preserve">h to accommodate for ‘diversity of place’ and being </w:t>
      </w:r>
      <w:r w:rsidRPr="00BC2DC4">
        <w:rPr>
          <w:rFonts w:ascii="Minion Pro" w:hAnsi="Minion Pro"/>
          <w:sz w:val="24"/>
          <w:szCs w:val="24"/>
        </w:rPr>
        <w:t>locally-led</w:t>
      </w:r>
      <w:r w:rsidRPr="00BC2DC4">
        <w:rPr>
          <w:rFonts w:ascii="Minion Pro" w:hAnsi="Minion Pro"/>
          <w:sz w:val="24"/>
          <w:szCs w:val="24"/>
        </w:rPr>
        <w:t xml:space="preserve">, and yet it will have to provide a consistent and coherent roadmap for localities embarking on the process. </w:t>
      </w:r>
      <w:r w:rsidRPr="00BC2DC4">
        <w:rPr>
          <w:rFonts w:ascii="Minion Pro" w:hAnsi="Minion Pro"/>
          <w:sz w:val="24"/>
          <w:szCs w:val="24"/>
        </w:rPr>
        <w:t>This is why</w:t>
      </w:r>
      <w:r w:rsidRPr="00BC2DC4">
        <w:rPr>
          <w:rFonts w:ascii="Minion Pro" w:hAnsi="Minion Pro"/>
          <w:sz w:val="24"/>
          <w:szCs w:val="24"/>
        </w:rPr>
        <w:t xml:space="preserve"> we have suggested the following design principles:</w:t>
      </w:r>
    </w:p>
    <w:p w:rsidR="00856E5D" w:rsidRPr="00BC2DC4" w:rsidP="00751111">
      <w:pPr>
        <w:numPr>
          <w:ilvl w:val="0"/>
          <w:numId w:val="41"/>
        </w:numPr>
        <w:jc w:val="both"/>
        <w:rPr>
          <w:rFonts w:ascii="Minion Pro" w:hAnsi="Minion Pro"/>
          <w:sz w:val="24"/>
          <w:szCs w:val="24"/>
        </w:rPr>
      </w:pPr>
      <w:r w:rsidRPr="00BC2DC4">
        <w:rPr>
          <w:rFonts w:ascii="Minion Pro" w:hAnsi="Minion Pro"/>
          <w:sz w:val="24"/>
          <w:szCs w:val="24"/>
        </w:rPr>
        <w:t>A presumption in favo</w:t>
      </w:r>
      <w:r w:rsidRPr="00BC2DC4">
        <w:rPr>
          <w:rFonts w:ascii="Minion Pro" w:hAnsi="Minion Pro"/>
          <w:sz w:val="24"/>
          <w:szCs w:val="24"/>
        </w:rPr>
        <w:t>ur of greater local self-determination</w:t>
      </w:r>
    </w:p>
    <w:p w:rsidR="00856E5D" w:rsidRPr="00BC2DC4" w:rsidP="00751111">
      <w:pPr>
        <w:numPr>
          <w:ilvl w:val="0"/>
          <w:numId w:val="41"/>
        </w:numPr>
        <w:jc w:val="both"/>
        <w:rPr>
          <w:rFonts w:ascii="Minion Pro" w:hAnsi="Minion Pro"/>
          <w:sz w:val="24"/>
          <w:szCs w:val="24"/>
        </w:rPr>
      </w:pPr>
      <w:r w:rsidRPr="00BC2DC4">
        <w:rPr>
          <w:rFonts w:ascii="Minion Pro" w:hAnsi="Minion Pro"/>
          <w:sz w:val="24"/>
          <w:szCs w:val="24"/>
        </w:rPr>
        <w:t>More equal central-local relations, anchored in transparent and accountable collaboration</w:t>
      </w:r>
    </w:p>
    <w:p w:rsidR="00856E5D" w:rsidRPr="00BC2DC4" w:rsidP="00751111">
      <w:pPr>
        <w:numPr>
          <w:ilvl w:val="0"/>
          <w:numId w:val="41"/>
        </w:numPr>
        <w:jc w:val="both"/>
        <w:rPr>
          <w:rFonts w:ascii="Minion Pro" w:hAnsi="Minion Pro"/>
          <w:sz w:val="24"/>
          <w:szCs w:val="24"/>
        </w:rPr>
      </w:pPr>
      <w:r w:rsidRPr="00BC2DC4">
        <w:rPr>
          <w:rFonts w:ascii="Minion Pro" w:hAnsi="Minion Pro"/>
          <w:sz w:val="24"/>
          <w:szCs w:val="24"/>
        </w:rPr>
        <w:t>Empowering local communities, councils and other partners to collaborate and to develop and deliver priorities based on consens</w:t>
      </w:r>
      <w:r w:rsidRPr="00BC2DC4">
        <w:rPr>
          <w:rFonts w:ascii="Minion Pro" w:hAnsi="Minion Pro"/>
          <w:sz w:val="24"/>
          <w:szCs w:val="24"/>
        </w:rPr>
        <w:t>us</w:t>
      </w:r>
    </w:p>
    <w:p w:rsidR="00856E5D" w:rsidRPr="00BC2DC4" w:rsidP="00751111">
      <w:pPr>
        <w:numPr>
          <w:ilvl w:val="0"/>
          <w:numId w:val="41"/>
        </w:numPr>
        <w:jc w:val="both"/>
        <w:rPr>
          <w:rFonts w:ascii="Minion Pro" w:hAnsi="Minion Pro"/>
          <w:sz w:val="24"/>
          <w:szCs w:val="24"/>
        </w:rPr>
      </w:pPr>
      <w:r w:rsidRPr="00BC2DC4">
        <w:rPr>
          <w:rFonts w:ascii="Minion Pro" w:hAnsi="Minion Pro"/>
          <w:sz w:val="24"/>
          <w:szCs w:val="24"/>
        </w:rPr>
        <w:t>The needs of local democracy at the centre of any system</w:t>
      </w:r>
    </w:p>
    <w:p w:rsidR="00856E5D" w:rsidRPr="00BC2DC4" w:rsidP="00751111">
      <w:pPr>
        <w:numPr>
          <w:ilvl w:val="0"/>
          <w:numId w:val="41"/>
        </w:numPr>
        <w:jc w:val="both"/>
        <w:rPr>
          <w:rFonts w:ascii="Minion Pro" w:hAnsi="Minion Pro"/>
          <w:sz w:val="24"/>
          <w:szCs w:val="24"/>
        </w:rPr>
      </w:pPr>
      <w:r w:rsidRPr="00BC2DC4">
        <w:rPr>
          <w:rFonts w:ascii="Minion Pro" w:hAnsi="Minion Pro"/>
          <w:sz w:val="24"/>
          <w:szCs w:val="24"/>
        </w:rPr>
        <w:t>The need for fiscal freedom and devolution</w:t>
      </w:r>
    </w:p>
    <w:p w:rsidR="00856E5D" w:rsidRPr="00BC2DC4" w:rsidP="00751111">
      <w:pPr>
        <w:jc w:val="both"/>
        <w:rPr>
          <w:rFonts w:ascii="Minion Pro" w:hAnsi="Minion Pro"/>
          <w:sz w:val="24"/>
          <w:szCs w:val="24"/>
        </w:rPr>
      </w:pPr>
      <w:r w:rsidRPr="00BC2DC4">
        <w:rPr>
          <w:rFonts w:ascii="Minion Pro" w:hAnsi="Minion Pro"/>
          <w:sz w:val="24"/>
          <w:szCs w:val="24"/>
        </w:rPr>
        <w:t>We also suggest the creation of a “constitution for the place”</w:t>
      </w:r>
      <w:r>
        <w:rPr>
          <w:rFonts w:ascii="Minion Pro" w:hAnsi="Minion Pro"/>
          <w:sz w:val="24"/>
          <w:szCs w:val="24"/>
          <w:vertAlign w:val="superscript"/>
        </w:rPr>
        <w:footnoteReference w:id="4"/>
      </w:r>
      <w:r w:rsidRPr="00BC2DC4">
        <w:rPr>
          <w:rFonts w:ascii="Minion Pro" w:hAnsi="Minion Pro"/>
          <w:sz w:val="24"/>
          <w:szCs w:val="24"/>
        </w:rPr>
        <w:t>, to serve as way for the public to input into the devolution process, articulating how d</w:t>
      </w:r>
      <w:r w:rsidRPr="00BC2DC4">
        <w:rPr>
          <w:rFonts w:ascii="Minion Pro" w:hAnsi="Minion Pro"/>
          <w:sz w:val="24"/>
          <w:szCs w:val="24"/>
        </w:rPr>
        <w:t xml:space="preserve">evolution has been agreed, and what it will entail. </w:t>
      </w:r>
    </w:p>
    <w:p w:rsidR="00E37768" w:rsidRPr="00BC2DC4" w:rsidP="00751111">
      <w:pPr>
        <w:jc w:val="both"/>
        <w:rPr>
          <w:rFonts w:ascii="Minion Pro" w:hAnsi="Minion Pro"/>
          <w:color w:val="F39200"/>
          <w:sz w:val="24"/>
          <w:szCs w:val="24"/>
        </w:rPr>
      </w:pPr>
      <w:r w:rsidRPr="00BC2DC4">
        <w:rPr>
          <w:rFonts w:ascii="Minion Pro" w:hAnsi="Minion Pro"/>
          <w:color w:val="F39200"/>
          <w:sz w:val="24"/>
          <w:szCs w:val="24"/>
        </w:rPr>
        <w:t>Should there be comprehensive reform of the English devolution and local government system?</w:t>
      </w:r>
    </w:p>
    <w:p w:rsidR="00856E5D" w:rsidRPr="00BC2DC4" w:rsidP="00751111">
      <w:pPr>
        <w:jc w:val="both"/>
        <w:rPr>
          <w:rFonts w:ascii="Minion Pro" w:hAnsi="Minion Pro"/>
          <w:sz w:val="24"/>
          <w:szCs w:val="24"/>
        </w:rPr>
      </w:pPr>
      <w:r w:rsidRPr="00BC2DC4">
        <w:rPr>
          <w:rFonts w:ascii="Minion Pro" w:hAnsi="Minion Pro"/>
          <w:sz w:val="24"/>
          <w:szCs w:val="24"/>
        </w:rPr>
        <w:t>A distinguishing feature of English devolution is its uneven development and scattergun approach to transferrin</w:t>
      </w:r>
      <w:r w:rsidRPr="00BC2DC4">
        <w:rPr>
          <w:rFonts w:ascii="Minion Pro" w:hAnsi="Minion Pro"/>
          <w:sz w:val="24"/>
          <w:szCs w:val="24"/>
        </w:rPr>
        <w:t>g powers (with or without funds attached) at different scales and through different ‘deals’. This has managed to create a very confusing system of local governance and devolution to the point where citizens, as well as elected representatives at both local</w:t>
      </w:r>
      <w:r w:rsidRPr="00BC2DC4">
        <w:rPr>
          <w:rFonts w:ascii="Minion Pro" w:hAnsi="Minion Pro"/>
          <w:sz w:val="24"/>
          <w:szCs w:val="24"/>
        </w:rPr>
        <w:t xml:space="preserve"> and national level, may not be clear on who has responsibility for what. </w:t>
      </w:r>
    </w:p>
    <w:p w:rsidR="00856E5D" w:rsidRPr="00BC2DC4" w:rsidP="00751111">
      <w:pPr>
        <w:jc w:val="both"/>
        <w:rPr>
          <w:rFonts w:ascii="Minion Pro" w:hAnsi="Minion Pro"/>
          <w:sz w:val="24"/>
          <w:szCs w:val="24"/>
        </w:rPr>
      </w:pPr>
      <w:r w:rsidRPr="00BC2DC4">
        <w:rPr>
          <w:rFonts w:ascii="Minion Pro" w:hAnsi="Minion Pro"/>
          <w:sz w:val="24"/>
          <w:szCs w:val="24"/>
        </w:rPr>
        <w:t>The language of localism and calls for comprehensive reform of a hyper-centralised England, and its local government system, are gaining traction in policy areas outside of devoluti</w:t>
      </w:r>
      <w:r w:rsidRPr="00BC2DC4">
        <w:rPr>
          <w:rFonts w:ascii="Minion Pro" w:hAnsi="Minion Pro"/>
          <w:sz w:val="24"/>
          <w:szCs w:val="24"/>
        </w:rPr>
        <w:t>on - especially in the context of the local public health response to the Covid-19 pandemic. The success of the response has largely been based upon having a single mission across all partners in a local area, driving all resources in the same direction an</w:t>
      </w:r>
      <w:r w:rsidRPr="00BC2DC4">
        <w:rPr>
          <w:rFonts w:ascii="Minion Pro" w:hAnsi="Minion Pro"/>
          <w:sz w:val="24"/>
          <w:szCs w:val="24"/>
        </w:rPr>
        <w:t xml:space="preserve">d towards a common goal. Indeed, many thought leaders have outlined the connection between a lower level of territorial governance and the effectiveness of the pandemic response. However, the impact of this is still unclear and it is perhaps the nature of </w:t>
      </w:r>
      <w:r w:rsidRPr="00BC2DC4">
        <w:rPr>
          <w:rFonts w:ascii="Minion Pro" w:hAnsi="Minion Pro"/>
          <w:sz w:val="24"/>
          <w:szCs w:val="24"/>
        </w:rPr>
        <w:t>the central-local relationship that needs to be reassessed.</w:t>
      </w:r>
    </w:p>
    <w:p w:rsidR="00856E5D" w:rsidRPr="00BC2DC4" w:rsidP="00751111">
      <w:pPr>
        <w:jc w:val="both"/>
        <w:rPr>
          <w:rFonts w:ascii="Minion Pro" w:hAnsi="Minion Pro"/>
          <w:sz w:val="24"/>
          <w:szCs w:val="24"/>
        </w:rPr>
      </w:pPr>
      <w:r w:rsidRPr="00BC2DC4">
        <w:rPr>
          <w:rFonts w:ascii="Minion Pro" w:hAnsi="Minion Pro"/>
          <w:sz w:val="24"/>
          <w:szCs w:val="24"/>
        </w:rPr>
        <w:t>There needs to be an examination of the current system of local governance and devolution - to set out bold proposals to rebalance the central-local power structure of England. As it stands, it is</w:t>
      </w:r>
      <w:r w:rsidRPr="00BC2DC4">
        <w:rPr>
          <w:rFonts w:ascii="Minion Pro" w:hAnsi="Minion Pro"/>
          <w:sz w:val="24"/>
          <w:szCs w:val="24"/>
        </w:rPr>
        <w:t xml:space="preserve"> central Government, predominately the Treasury shaping conditions on how particular budgets can be used, that ultimately determines what devolution looks like for localities. </w:t>
      </w:r>
      <w:r w:rsidRPr="00BC2DC4">
        <w:rPr>
          <w:rFonts w:ascii="Minion Pro" w:hAnsi="Minion Pro"/>
          <w:sz w:val="24"/>
          <w:szCs w:val="24"/>
        </w:rPr>
        <w:t>In order for</w:t>
      </w:r>
      <w:r w:rsidRPr="00BC2DC4">
        <w:rPr>
          <w:rFonts w:ascii="Minion Pro" w:hAnsi="Minion Pro"/>
          <w:sz w:val="24"/>
          <w:szCs w:val="24"/>
        </w:rPr>
        <w:t xml:space="preserve"> reform to be meaningful, it should be led by a more practical sense</w:t>
      </w:r>
      <w:r w:rsidRPr="00BC2DC4">
        <w:rPr>
          <w:rFonts w:ascii="Minion Pro" w:hAnsi="Minion Pro"/>
          <w:sz w:val="24"/>
          <w:szCs w:val="24"/>
        </w:rPr>
        <w:t xml:space="preserve"> of what is needed in individual localities. It should recognise that those needs will be different and that a one-size-fits-all approach to reform will be inappropriate – but that a consistent and transparent framework for change is necessary. Ultimately </w:t>
      </w:r>
      <w:r w:rsidRPr="00BC2DC4">
        <w:rPr>
          <w:rFonts w:ascii="Minion Pro" w:hAnsi="Minion Pro"/>
          <w:sz w:val="24"/>
          <w:szCs w:val="24"/>
        </w:rPr>
        <w:t xml:space="preserve">this is a process that needs to be led by local areas, and </w:t>
      </w:r>
      <w:r w:rsidRPr="00BC2DC4">
        <w:rPr>
          <w:rFonts w:ascii="Minion Pro" w:hAnsi="Minion Pro"/>
          <w:sz w:val="24"/>
          <w:szCs w:val="24"/>
        </w:rPr>
        <w:t>in particular by</w:t>
      </w:r>
      <w:r w:rsidRPr="00BC2DC4">
        <w:rPr>
          <w:rFonts w:ascii="Minion Pro" w:hAnsi="Minion Pro"/>
          <w:sz w:val="24"/>
          <w:szCs w:val="24"/>
        </w:rPr>
        <w:t xml:space="preserve"> local government as the institution with the democratic legitimacy to bring together views on what the future should look like. </w:t>
      </w:r>
    </w:p>
    <w:p w:rsidR="004E42FB" w:rsidRPr="00BC2DC4" w:rsidP="00751111">
      <w:pPr>
        <w:jc w:val="both"/>
        <w:rPr>
          <w:rFonts w:ascii="Minion Pro" w:hAnsi="Minion Pro"/>
          <w:sz w:val="24"/>
          <w:szCs w:val="24"/>
        </w:rPr>
      </w:pPr>
      <w:r w:rsidRPr="00BC2DC4">
        <w:rPr>
          <w:rFonts w:ascii="Minion Pro" w:hAnsi="Minion Pro"/>
          <w:sz w:val="24"/>
          <w:szCs w:val="24"/>
        </w:rPr>
        <w:t>Efforts to reconcile an inflexible and often opaque devolution process have highlighted some of the flaws in the current approach. A disproportionate and prescriptive central ‘ideal structure’ has created unnecessary complications and delay. Structure appe</w:t>
      </w:r>
      <w:r w:rsidRPr="00BC2DC4">
        <w:rPr>
          <w:rFonts w:ascii="Minion Pro" w:hAnsi="Minion Pro"/>
          <w:sz w:val="24"/>
          <w:szCs w:val="24"/>
        </w:rPr>
        <w:t>ars to have been prioritised rather than local needs and potential outcomes, it has also re-emphasised that devolution in England is essentially a top-down process.</w:t>
      </w:r>
    </w:p>
    <w:p w:rsidR="00856E5D" w:rsidRPr="00BC2DC4" w:rsidP="00751111">
      <w:pPr>
        <w:jc w:val="both"/>
        <w:rPr>
          <w:rFonts w:ascii="Minion Pro" w:hAnsi="Minion Pro"/>
          <w:color w:val="F39200"/>
          <w:sz w:val="24"/>
          <w:szCs w:val="24"/>
        </w:rPr>
      </w:pPr>
      <w:r w:rsidRPr="00BC2DC4">
        <w:rPr>
          <w:rFonts w:ascii="Minion Pro" w:hAnsi="Minion Pro"/>
          <w:color w:val="F39200"/>
          <w:sz w:val="24"/>
          <w:szCs w:val="24"/>
        </w:rPr>
        <w:t>What aims and principles should underpin devolution in England?</w:t>
      </w:r>
    </w:p>
    <w:p w:rsidR="00856E5D" w:rsidRPr="00BC2DC4" w:rsidP="00751111">
      <w:pPr>
        <w:jc w:val="both"/>
        <w:rPr>
          <w:rFonts w:ascii="Minion Pro" w:hAnsi="Minion Pro"/>
          <w:sz w:val="24"/>
          <w:szCs w:val="24"/>
        </w:rPr>
      </w:pPr>
      <w:r w:rsidRPr="00BC2DC4">
        <w:rPr>
          <w:rFonts w:ascii="Minion Pro" w:hAnsi="Minion Pro"/>
          <w:sz w:val="24"/>
          <w:szCs w:val="24"/>
        </w:rPr>
        <w:t>Thus far, devolution polic</w:t>
      </w:r>
      <w:r w:rsidRPr="00BC2DC4">
        <w:rPr>
          <w:rFonts w:ascii="Minion Pro" w:hAnsi="Minion Pro"/>
          <w:sz w:val="24"/>
          <w:szCs w:val="24"/>
        </w:rPr>
        <w:t xml:space="preserve">y has tended to emanate from the centre without regard for practical local </w:t>
      </w:r>
      <w:r w:rsidRPr="00BC2DC4">
        <w:rPr>
          <w:rFonts w:ascii="Minion Pro" w:hAnsi="Minion Pro"/>
          <w:sz w:val="24"/>
          <w:szCs w:val="24"/>
        </w:rPr>
        <w:t>input, and</w:t>
      </w:r>
      <w:r w:rsidRPr="00BC2DC4">
        <w:rPr>
          <w:rFonts w:ascii="Minion Pro" w:hAnsi="Minion Pro"/>
          <w:sz w:val="24"/>
          <w:szCs w:val="24"/>
        </w:rPr>
        <w:t xml:space="preserve"> has required localities to conform to central prescription. While Government </w:t>
      </w:r>
      <w:r w:rsidRPr="00BC2DC4">
        <w:rPr>
          <w:rFonts w:ascii="Minion Pro" w:hAnsi="Minion Pro"/>
          <w:sz w:val="24"/>
          <w:szCs w:val="24"/>
        </w:rPr>
        <w:t>has repeatedly insisted that it has no central objectives and that devolution is for local ar</w:t>
      </w:r>
      <w:r w:rsidRPr="00BC2DC4">
        <w:rPr>
          <w:rFonts w:ascii="Minion Pro" w:hAnsi="Minion Pro"/>
          <w:sz w:val="24"/>
          <w:szCs w:val="24"/>
        </w:rPr>
        <w:t>eas to define, the approach taken towards devolution negotiations suggests that this is not the case</w:t>
      </w:r>
      <w:r>
        <w:rPr>
          <w:rFonts w:ascii="Minion Pro" w:hAnsi="Minion Pro"/>
          <w:sz w:val="24"/>
          <w:szCs w:val="24"/>
          <w:vertAlign w:val="superscript"/>
        </w:rPr>
        <w:footnoteReference w:id="5"/>
      </w:r>
      <w:r w:rsidRPr="00BC2DC4">
        <w:rPr>
          <w:rFonts w:ascii="Minion Pro" w:hAnsi="Minion Pro"/>
          <w:sz w:val="24"/>
          <w:szCs w:val="24"/>
        </w:rPr>
        <w:t>. There seems to be a significant reticence on co-designing any terms of devolution in England. It’s a paradox that the process of devolution itself is so</w:t>
      </w:r>
      <w:r w:rsidRPr="00BC2DC4">
        <w:rPr>
          <w:rFonts w:ascii="Minion Pro" w:hAnsi="Minion Pro"/>
          <w:sz w:val="24"/>
          <w:szCs w:val="24"/>
        </w:rPr>
        <w:t xml:space="preserve"> heavily centralised – local leaders having to make the case to Whitehall for devolved power and bid for funds with strings attached from Central government.</w:t>
      </w:r>
    </w:p>
    <w:p w:rsidR="00856E5D" w:rsidRPr="00BC2DC4" w:rsidP="00751111">
      <w:pPr>
        <w:jc w:val="both"/>
        <w:rPr>
          <w:rFonts w:ascii="Minion Pro" w:hAnsi="Minion Pro"/>
          <w:sz w:val="24"/>
          <w:szCs w:val="24"/>
        </w:rPr>
      </w:pPr>
      <w:r w:rsidRPr="00BC2DC4">
        <w:rPr>
          <w:rFonts w:ascii="Minion Pro" w:hAnsi="Minion Pro"/>
          <w:sz w:val="24"/>
          <w:szCs w:val="24"/>
        </w:rPr>
        <w:t>The English devolution process starts from the presumption that the default position is the status</w:t>
      </w:r>
      <w:r w:rsidRPr="00BC2DC4">
        <w:rPr>
          <w:rFonts w:ascii="Minion Pro" w:hAnsi="Minion Pro"/>
          <w:sz w:val="24"/>
          <w:szCs w:val="24"/>
        </w:rPr>
        <w:t xml:space="preserve"> quo, and that local areas need to make strong arguments in order to be “granted” devolution. We believe that Government needs to proceed with positive intent on the presumption of devolution and a recognition of the capacity of lower tiers of governance t</w:t>
      </w:r>
      <w:r w:rsidRPr="00BC2DC4">
        <w:rPr>
          <w:rFonts w:ascii="Minion Pro" w:hAnsi="Minion Pro"/>
          <w:sz w:val="24"/>
          <w:szCs w:val="24"/>
        </w:rPr>
        <w:t>o achieve better local outcomes – and based on the understanding that matters with inherently local impacts demand local accountability and local governance.</w:t>
      </w:r>
    </w:p>
    <w:p w:rsidR="00856E5D" w:rsidRPr="00BC2DC4" w:rsidP="00751111">
      <w:pPr>
        <w:jc w:val="both"/>
        <w:rPr>
          <w:rFonts w:ascii="Minion Pro" w:hAnsi="Minion Pro"/>
          <w:sz w:val="24"/>
          <w:szCs w:val="24"/>
        </w:rPr>
      </w:pPr>
      <w:r w:rsidRPr="00BC2DC4">
        <w:rPr>
          <w:rFonts w:ascii="Minion Pro" w:hAnsi="Minion Pro"/>
          <w:sz w:val="24"/>
          <w:szCs w:val="24"/>
        </w:rPr>
        <w:t>The reasons for, and benefits of, devolution are likely to be different for every area – this stan</w:t>
      </w:r>
      <w:r w:rsidRPr="00BC2DC4">
        <w:rPr>
          <w:rFonts w:ascii="Minion Pro" w:hAnsi="Minion Pro"/>
          <w:sz w:val="24"/>
          <w:szCs w:val="24"/>
        </w:rPr>
        <w:t>ds to reason, otherwise there would be little point in pursuing devolution as a policy goal in the first place. But this means that local discussion and determination is vitally important</w:t>
      </w:r>
      <w:r>
        <w:rPr>
          <w:rFonts w:ascii="Minion Pro" w:hAnsi="Minion Pro"/>
          <w:sz w:val="24"/>
          <w:szCs w:val="24"/>
          <w:vertAlign w:val="superscript"/>
        </w:rPr>
        <w:footnoteReference w:id="6"/>
      </w:r>
      <w:r w:rsidRPr="00BC2DC4">
        <w:rPr>
          <w:rFonts w:ascii="Minion Pro" w:hAnsi="Minion Pro"/>
          <w:sz w:val="24"/>
          <w:szCs w:val="24"/>
        </w:rPr>
        <w:t xml:space="preserve">. Determinations about devolution must be built on local </w:t>
      </w:r>
      <w:r w:rsidRPr="00BC2DC4">
        <w:rPr>
          <w:rFonts w:ascii="Minion Pro" w:hAnsi="Minion Pro"/>
          <w:sz w:val="24"/>
          <w:szCs w:val="24"/>
        </w:rPr>
        <w:t xml:space="preserve">circumstances, and through a fundamental understanding of what local people need. This needs to be underpinned by a fair decision-making process that includes local views. </w:t>
      </w:r>
    </w:p>
    <w:p w:rsidR="00856E5D" w:rsidRPr="00BC2DC4" w:rsidP="00751111">
      <w:pPr>
        <w:jc w:val="both"/>
        <w:rPr>
          <w:rFonts w:ascii="Minion Pro" w:hAnsi="Minion Pro"/>
          <w:sz w:val="24"/>
          <w:szCs w:val="24"/>
        </w:rPr>
      </w:pPr>
      <w:r w:rsidRPr="00BC2DC4">
        <w:rPr>
          <w:rFonts w:ascii="Minion Pro" w:hAnsi="Minion Pro"/>
          <w:sz w:val="24"/>
          <w:szCs w:val="24"/>
        </w:rPr>
        <w:t>In our view, the design principles underpinning devolution in England should includ</w:t>
      </w:r>
      <w:r w:rsidRPr="00BC2DC4">
        <w:rPr>
          <w:rFonts w:ascii="Minion Pro" w:hAnsi="Minion Pro"/>
          <w:sz w:val="24"/>
          <w:szCs w:val="24"/>
        </w:rPr>
        <w:t>e but not be bounded by the following:</w:t>
      </w:r>
    </w:p>
    <w:p w:rsidR="00856E5D" w:rsidRPr="00BC2DC4" w:rsidP="00751111">
      <w:pPr>
        <w:jc w:val="both"/>
        <w:rPr>
          <w:rFonts w:ascii="Minion Pro" w:hAnsi="Minion Pro"/>
          <w:sz w:val="24"/>
          <w:szCs w:val="24"/>
        </w:rPr>
      </w:pPr>
      <w:r w:rsidRPr="00BC2DC4">
        <w:rPr>
          <w:rFonts w:ascii="Minion Pro" w:hAnsi="Minion Pro"/>
          <w:b/>
          <w:bCs/>
          <w:sz w:val="24"/>
          <w:szCs w:val="24"/>
        </w:rPr>
        <w:t>A presumption in favour of greater local self-determination</w:t>
      </w:r>
    </w:p>
    <w:p w:rsidR="00856E5D" w:rsidRPr="00BC2DC4" w:rsidP="00751111">
      <w:pPr>
        <w:jc w:val="both"/>
        <w:rPr>
          <w:rFonts w:ascii="Minion Pro" w:hAnsi="Minion Pro"/>
          <w:sz w:val="24"/>
          <w:szCs w:val="24"/>
        </w:rPr>
      </w:pPr>
      <w:r w:rsidRPr="00BC2DC4">
        <w:rPr>
          <w:rFonts w:ascii="Minion Pro" w:hAnsi="Minion Pro"/>
          <w:sz w:val="24"/>
          <w:szCs w:val="24"/>
        </w:rPr>
        <w:t>Devolution should provide the opportunity for local areas to define their own political and socio-economic goals and carry out locally sensitive decision-mak</w:t>
      </w:r>
      <w:r w:rsidRPr="00BC2DC4">
        <w:rPr>
          <w:rFonts w:ascii="Minion Pro" w:hAnsi="Minion Pro"/>
          <w:sz w:val="24"/>
          <w:szCs w:val="24"/>
        </w:rPr>
        <w:t>ing (the lack of which helped fuel the vote to leave the EU in 2016). The articulation of a common purpose for a local area and specific arrangements tailored to each place is paramount, and this should form the rationale underpinning devolution. This requ</w:t>
      </w:r>
      <w:r w:rsidRPr="00BC2DC4">
        <w:rPr>
          <w:rFonts w:ascii="Minion Pro" w:hAnsi="Minion Pro"/>
          <w:sz w:val="24"/>
          <w:szCs w:val="24"/>
        </w:rPr>
        <w:t>ires an acknowledgement of the legitimacy of local leaders in implementing policy that may differ from central Government priorities and is inseparable from the next principle of reforming central-local relations.</w:t>
      </w:r>
    </w:p>
    <w:p w:rsidR="00856E5D" w:rsidRPr="00BC2DC4" w:rsidP="00751111">
      <w:pPr>
        <w:jc w:val="both"/>
        <w:rPr>
          <w:rFonts w:ascii="Minion Pro" w:hAnsi="Minion Pro"/>
          <w:sz w:val="24"/>
          <w:szCs w:val="24"/>
        </w:rPr>
      </w:pPr>
      <w:r w:rsidRPr="00BC2DC4">
        <w:rPr>
          <w:rFonts w:ascii="Minion Pro" w:hAnsi="Minion Pro"/>
          <w:b/>
          <w:bCs/>
          <w:sz w:val="24"/>
          <w:szCs w:val="24"/>
        </w:rPr>
        <w:t>More equal central-local relations, anchor</w:t>
      </w:r>
      <w:r w:rsidRPr="00BC2DC4">
        <w:rPr>
          <w:rFonts w:ascii="Minion Pro" w:hAnsi="Minion Pro"/>
          <w:b/>
          <w:bCs/>
          <w:sz w:val="24"/>
          <w:szCs w:val="24"/>
        </w:rPr>
        <w:t>ed in transparent and accountable collaboration</w:t>
      </w:r>
    </w:p>
    <w:p w:rsidR="00856E5D" w:rsidRPr="00BC2DC4" w:rsidP="00751111">
      <w:pPr>
        <w:jc w:val="both"/>
        <w:rPr>
          <w:rFonts w:ascii="Minion Pro" w:hAnsi="Minion Pro"/>
          <w:sz w:val="24"/>
          <w:szCs w:val="24"/>
        </w:rPr>
      </w:pPr>
      <w:r w:rsidRPr="00BC2DC4">
        <w:rPr>
          <w:rFonts w:ascii="Minion Pro" w:hAnsi="Minion Pro"/>
          <w:sz w:val="24"/>
          <w:szCs w:val="24"/>
        </w:rPr>
        <w:t>Without a fundamental change in central-local government relations, the prospect of effective devolution in England is highly unlikely</w:t>
      </w:r>
      <w:r>
        <w:rPr>
          <w:rFonts w:ascii="Minion Pro" w:hAnsi="Minion Pro"/>
          <w:sz w:val="24"/>
          <w:szCs w:val="24"/>
          <w:vertAlign w:val="superscript"/>
        </w:rPr>
        <w:footnoteReference w:id="7"/>
      </w:r>
      <w:r w:rsidRPr="00BC2DC4">
        <w:rPr>
          <w:rFonts w:ascii="Minion Pro" w:hAnsi="Minion Pro"/>
          <w:sz w:val="24"/>
          <w:szCs w:val="24"/>
        </w:rPr>
        <w:t>. So far, there has been a lack of trust and transparency and an expecta</w:t>
      </w:r>
      <w:r w:rsidRPr="00BC2DC4">
        <w:rPr>
          <w:rFonts w:ascii="Minion Pro" w:hAnsi="Minion Pro"/>
          <w:sz w:val="24"/>
          <w:szCs w:val="24"/>
        </w:rPr>
        <w:t xml:space="preserve">tion of secrecy concerning devolution deals, with Whitehall micromanaging any transfer of powers and funding. There will need to be a genuine effort from central Government </w:t>
      </w:r>
      <w:r w:rsidRPr="00BC2DC4">
        <w:rPr>
          <w:rFonts w:ascii="Minion Pro" w:hAnsi="Minion Pro"/>
          <w:sz w:val="24"/>
          <w:szCs w:val="24"/>
        </w:rPr>
        <w:t xml:space="preserve">to recognise local government on an equal footing and towards the parity of esteem </w:t>
      </w:r>
      <w:r w:rsidRPr="00BC2DC4">
        <w:rPr>
          <w:rFonts w:ascii="Minion Pro" w:hAnsi="Minion Pro"/>
          <w:sz w:val="24"/>
          <w:szCs w:val="24"/>
        </w:rPr>
        <w:t>it deserves. This kind of shift in institutional behaviours will require commitment, embedding and time.</w:t>
      </w:r>
    </w:p>
    <w:p w:rsidR="00856E5D" w:rsidRPr="00BC2DC4" w:rsidP="00751111">
      <w:pPr>
        <w:jc w:val="both"/>
        <w:rPr>
          <w:rFonts w:ascii="Minion Pro" w:hAnsi="Minion Pro"/>
          <w:sz w:val="24"/>
          <w:szCs w:val="24"/>
        </w:rPr>
      </w:pPr>
      <w:r w:rsidRPr="00BC2DC4">
        <w:rPr>
          <w:rFonts w:ascii="Minion Pro" w:hAnsi="Minion Pro"/>
          <w:b/>
          <w:bCs/>
          <w:sz w:val="24"/>
          <w:szCs w:val="24"/>
        </w:rPr>
        <w:t>Empowering local communities, councils and other partners to collaborate and to develop and deliver priorities based on consensus</w:t>
      </w:r>
    </w:p>
    <w:p w:rsidR="00856E5D" w:rsidRPr="00BC2DC4" w:rsidP="00751111">
      <w:pPr>
        <w:jc w:val="both"/>
        <w:rPr>
          <w:rFonts w:ascii="Minion Pro" w:hAnsi="Minion Pro"/>
          <w:b/>
          <w:bCs/>
          <w:sz w:val="24"/>
          <w:szCs w:val="24"/>
        </w:rPr>
      </w:pPr>
      <w:r w:rsidRPr="00BC2DC4">
        <w:rPr>
          <w:rFonts w:ascii="Minion Pro" w:hAnsi="Minion Pro"/>
          <w:sz w:val="24"/>
          <w:szCs w:val="24"/>
        </w:rPr>
        <w:t>Wherever possible, co</w:t>
      </w:r>
      <w:r w:rsidRPr="00BC2DC4">
        <w:rPr>
          <w:rFonts w:ascii="Minion Pro" w:hAnsi="Minion Pro"/>
          <w:sz w:val="24"/>
          <w:szCs w:val="24"/>
        </w:rPr>
        <w:t>llaboration between local partners and joint decision-making based on consensus should be sought. Within broad agreement about the overall outcome and purpose of devolution for an area – it will allow different tactical priorities to be played out and disc</w:t>
      </w:r>
      <w:r w:rsidRPr="00BC2DC4">
        <w:rPr>
          <w:rFonts w:ascii="Minion Pro" w:hAnsi="Minion Pro"/>
          <w:sz w:val="24"/>
          <w:szCs w:val="24"/>
        </w:rPr>
        <w:t>ussed in a constructive way and within an overarching place strategy. For this to occur, there will need to be clarity on the expected behaviours, values and roles of those involved.</w:t>
      </w:r>
    </w:p>
    <w:p w:rsidR="00856E5D" w:rsidRPr="00BC2DC4" w:rsidP="00751111">
      <w:pPr>
        <w:jc w:val="both"/>
        <w:rPr>
          <w:rFonts w:ascii="Minion Pro" w:hAnsi="Minion Pro"/>
          <w:sz w:val="24"/>
          <w:szCs w:val="24"/>
        </w:rPr>
      </w:pPr>
      <w:r w:rsidRPr="00BC2DC4">
        <w:rPr>
          <w:rFonts w:ascii="Minion Pro" w:hAnsi="Minion Pro"/>
          <w:b/>
          <w:bCs/>
          <w:sz w:val="24"/>
          <w:szCs w:val="24"/>
        </w:rPr>
        <w:t>The needs of local democracy at the centre of any system</w:t>
      </w:r>
    </w:p>
    <w:p w:rsidR="00856E5D" w:rsidRPr="00BC2DC4" w:rsidP="00751111">
      <w:pPr>
        <w:jc w:val="both"/>
        <w:rPr>
          <w:rFonts w:ascii="Minion Pro" w:hAnsi="Minion Pro"/>
          <w:sz w:val="24"/>
          <w:szCs w:val="24"/>
        </w:rPr>
      </w:pPr>
      <w:r w:rsidRPr="00BC2DC4">
        <w:rPr>
          <w:rFonts w:ascii="Minion Pro" w:hAnsi="Minion Pro"/>
          <w:sz w:val="24"/>
          <w:szCs w:val="24"/>
        </w:rPr>
        <w:t>Built on the pri</w:t>
      </w:r>
      <w:r w:rsidRPr="00BC2DC4">
        <w:rPr>
          <w:rFonts w:ascii="Minion Pro" w:hAnsi="Minion Pro"/>
          <w:sz w:val="24"/>
          <w:szCs w:val="24"/>
        </w:rPr>
        <w:t xml:space="preserve">nciple of subsidiarity, it is accepted by most that, under devolution, steps must be taken to continue to push power down to the lowest appropriate level, and as close as possible to citizens. There also </w:t>
      </w:r>
      <w:r w:rsidRPr="00BC2DC4">
        <w:rPr>
          <w:rFonts w:ascii="Minion Pro" w:hAnsi="Minion Pro"/>
          <w:sz w:val="24"/>
          <w:szCs w:val="24"/>
        </w:rPr>
        <w:t>has to</w:t>
      </w:r>
      <w:r w:rsidRPr="00BC2DC4">
        <w:rPr>
          <w:rFonts w:ascii="Minion Pro" w:hAnsi="Minion Pro"/>
          <w:sz w:val="24"/>
          <w:szCs w:val="24"/>
        </w:rPr>
        <w:t xml:space="preserve"> be a conversation amongst a range of local pe</w:t>
      </w:r>
      <w:r w:rsidRPr="00BC2DC4">
        <w:rPr>
          <w:rFonts w:ascii="Minion Pro" w:hAnsi="Minion Pro"/>
          <w:sz w:val="24"/>
          <w:szCs w:val="24"/>
        </w:rPr>
        <w:t>ople and community representatives about what good democratic engagement, governance and accountability will look like. Devolved governance systems must be built around the products of these conversations and enable inclusive, participatory and deliberativ</w:t>
      </w:r>
      <w:r w:rsidRPr="00BC2DC4">
        <w:rPr>
          <w:rFonts w:ascii="Minion Pro" w:hAnsi="Minion Pro"/>
          <w:sz w:val="24"/>
          <w:szCs w:val="24"/>
        </w:rPr>
        <w:t>e methods of democratic engagement on a regular and permanent basis</w:t>
      </w:r>
      <w:r>
        <w:rPr>
          <w:rFonts w:ascii="Minion Pro" w:hAnsi="Minion Pro"/>
          <w:sz w:val="24"/>
          <w:szCs w:val="24"/>
          <w:vertAlign w:val="superscript"/>
        </w:rPr>
        <w:footnoteReference w:id="8"/>
      </w:r>
      <w:r w:rsidRPr="00BC2DC4">
        <w:rPr>
          <w:rFonts w:ascii="Minion Pro" w:hAnsi="Minion Pro"/>
          <w:sz w:val="24"/>
          <w:szCs w:val="24"/>
        </w:rPr>
        <w:t>. Real change is achieved through governance designed around people not institutions – form should follow function. This is about bolstering local democracy in the broadest sense – recogn</w:t>
      </w:r>
      <w:r w:rsidRPr="00BC2DC4">
        <w:rPr>
          <w:rFonts w:ascii="Minion Pro" w:hAnsi="Minion Pro"/>
          <w:sz w:val="24"/>
          <w:szCs w:val="24"/>
        </w:rPr>
        <w:t xml:space="preserve">ising that the role of local councils will be central, but that the issue is broader than just this. </w:t>
      </w:r>
    </w:p>
    <w:p w:rsidR="00856E5D" w:rsidRPr="00BC2DC4" w:rsidP="00751111">
      <w:pPr>
        <w:jc w:val="both"/>
        <w:rPr>
          <w:rFonts w:ascii="Minion Pro" w:hAnsi="Minion Pro"/>
          <w:sz w:val="24"/>
          <w:szCs w:val="24"/>
        </w:rPr>
      </w:pPr>
      <w:r w:rsidRPr="00BC2DC4">
        <w:rPr>
          <w:rFonts w:ascii="Minion Pro" w:hAnsi="Minion Pro"/>
          <w:b/>
          <w:bCs/>
          <w:sz w:val="24"/>
          <w:szCs w:val="24"/>
        </w:rPr>
        <w:t>The need for fiscal freedom and devolution</w:t>
      </w:r>
    </w:p>
    <w:p w:rsidR="00751111" w:rsidRPr="00BC2DC4" w:rsidP="00751111">
      <w:pPr>
        <w:spacing w:after="0"/>
        <w:jc w:val="both"/>
        <w:rPr>
          <w:rFonts w:ascii="Minion Pro" w:hAnsi="Minion Pro" w:eastAsiaTheme="majorEastAsia" w:cstheme="majorBidi"/>
          <w:color w:val="F29100"/>
          <w:sz w:val="24"/>
          <w:szCs w:val="24"/>
        </w:rPr>
      </w:pPr>
      <w:r w:rsidRPr="00BC2DC4">
        <w:rPr>
          <w:rFonts w:ascii="Minion Pro" w:hAnsi="Minion Pro"/>
          <w:sz w:val="24"/>
          <w:szCs w:val="24"/>
        </w:rPr>
        <w:t>There is a broader question of what form fiscal devolution and tax devolution should take in England. But meani</w:t>
      </w:r>
      <w:r w:rsidRPr="00BC2DC4">
        <w:rPr>
          <w:rFonts w:ascii="Minion Pro" w:hAnsi="Minion Pro"/>
          <w:sz w:val="24"/>
          <w:szCs w:val="24"/>
        </w:rPr>
        <w:t xml:space="preserve">ngful local accountability for local matters would require that fiscal devolution should be a principle of devolution, and in this </w:t>
      </w:r>
      <w:r w:rsidRPr="00BC2DC4">
        <w:rPr>
          <w:rFonts w:ascii="Minion Pro" w:hAnsi="Minion Pro"/>
          <w:sz w:val="24"/>
          <w:szCs w:val="24"/>
        </w:rPr>
        <w:t>context</w:t>
      </w:r>
      <w:r w:rsidRPr="00BC2DC4">
        <w:rPr>
          <w:rFonts w:ascii="Minion Pro" w:hAnsi="Minion Pro"/>
          <w:sz w:val="24"/>
          <w:szCs w:val="24"/>
        </w:rPr>
        <w:t xml:space="preserve"> there must be an examination of existing local taxes and budgets - how they are set, and how they get spent. Areas be</w:t>
      </w:r>
      <w:r w:rsidRPr="00BC2DC4">
        <w:rPr>
          <w:rFonts w:ascii="Minion Pro" w:hAnsi="Minion Pro"/>
          <w:sz w:val="24"/>
          <w:szCs w:val="24"/>
        </w:rPr>
        <w:t>nefiting from devolution are heavily dependent on Government grants, which are often ring-fenced and based on a central assessment of needs. There should be greater access to local resources at the local level, rather than resources through negotiation wit</w:t>
      </w:r>
      <w:r w:rsidRPr="00BC2DC4">
        <w:rPr>
          <w:rFonts w:ascii="Minion Pro" w:hAnsi="Minion Pro"/>
          <w:sz w:val="24"/>
          <w:szCs w:val="24"/>
        </w:rPr>
        <w:t>h central Government. Money should be allocated to devolved areas or combined authorities based on the projects they have determined to be of most importance, rather than Government being the arbiter of funding decisions. Aligning the powers to collect and</w:t>
      </w:r>
      <w:r w:rsidRPr="00BC2DC4">
        <w:rPr>
          <w:rFonts w:ascii="Minion Pro" w:hAnsi="Minion Pro"/>
          <w:sz w:val="24"/>
          <w:szCs w:val="24"/>
        </w:rPr>
        <w:t xml:space="preserve"> spend funds locally arguably enables more local accountability. The focus needs to be on how to create fiscal devolution that allows local and regional authorities to support their economies and raise the revenue they need, whilst recognising that a centr</w:t>
      </w:r>
      <w:r w:rsidRPr="00BC2DC4">
        <w:rPr>
          <w:rFonts w:ascii="Minion Pro" w:hAnsi="Minion Pro"/>
          <w:sz w:val="24"/>
          <w:szCs w:val="24"/>
        </w:rPr>
        <w:t>ally redistributive element to the system will always be necessary.</w:t>
      </w:r>
      <w:r w:rsidRPr="00BC2DC4">
        <w:rPr>
          <w:rFonts w:ascii="Minion Pro" w:hAnsi="Minion Pro"/>
          <w:sz w:val="24"/>
          <w:szCs w:val="24"/>
        </w:rPr>
        <w:br/>
      </w:r>
    </w:p>
    <w:p w:rsidR="00A804F1" w:rsidRPr="00BC2DC4" w:rsidP="00751111">
      <w:pPr>
        <w:jc w:val="both"/>
        <w:rPr>
          <w:rFonts w:ascii="Minion Pro" w:hAnsi="Minion Pro"/>
          <w:sz w:val="24"/>
          <w:szCs w:val="24"/>
        </w:rPr>
      </w:pPr>
      <w:r w:rsidRPr="00BC2DC4">
        <w:rPr>
          <w:rFonts w:ascii="Minion Pro" w:hAnsi="Minion Pro" w:eastAsiaTheme="majorEastAsia" w:cstheme="majorBidi"/>
          <w:color w:val="F29100"/>
          <w:sz w:val="24"/>
          <w:szCs w:val="24"/>
        </w:rPr>
        <w:t>Should devolution in England use the reserved powers to bring it in line with devolution in the rest of the UK?</w:t>
      </w:r>
    </w:p>
    <w:p w:rsidR="00A804F1" w:rsidRPr="00BC2DC4" w:rsidP="00751111">
      <w:pPr>
        <w:spacing w:before="100" w:beforeAutospacing="1" w:after="100" w:afterAutospacing="1"/>
        <w:jc w:val="both"/>
        <w:rPr>
          <w:rFonts w:ascii="Minion Pro" w:eastAsia="Times New Roman" w:hAnsi="Minion Pro" w:cs="Arial"/>
          <w:sz w:val="24"/>
          <w:szCs w:val="24"/>
          <w:lang w:eastAsia="en-GB"/>
        </w:rPr>
      </w:pPr>
      <w:r w:rsidRPr="00BC2DC4">
        <w:rPr>
          <w:rFonts w:ascii="Minion Pro" w:eastAsia="Times New Roman" w:hAnsi="Minion Pro" w:cs="Arial"/>
          <w:sz w:val="24"/>
          <w:szCs w:val="24"/>
          <w:lang w:eastAsia="en-GB"/>
        </w:rPr>
        <w:t>As a matter of principle, we would agree that the principles behind the use</w:t>
      </w:r>
      <w:r w:rsidRPr="00BC2DC4">
        <w:rPr>
          <w:rFonts w:ascii="Minion Pro" w:eastAsia="Times New Roman" w:hAnsi="Minion Pro" w:cs="Arial"/>
          <w:sz w:val="24"/>
          <w:szCs w:val="24"/>
          <w:lang w:eastAsia="en-GB"/>
        </w:rPr>
        <w:t xml:space="preserve"> of “reserved powers” would provide a solid basis on which to build a consistent devolution framework for England. </w:t>
      </w:r>
    </w:p>
    <w:p w:rsidR="00A804F1" w:rsidRPr="00BC2DC4" w:rsidP="00751111">
      <w:pPr>
        <w:spacing w:before="100" w:beforeAutospacing="1" w:after="100" w:afterAutospacing="1"/>
        <w:jc w:val="both"/>
        <w:rPr>
          <w:rFonts w:ascii="Minion Pro" w:eastAsia="Times New Roman" w:hAnsi="Minion Pro" w:cs="Arial"/>
          <w:sz w:val="24"/>
          <w:szCs w:val="24"/>
          <w:lang w:eastAsia="en-GB"/>
        </w:rPr>
      </w:pPr>
      <w:r w:rsidRPr="00BC2DC4">
        <w:rPr>
          <w:rFonts w:ascii="Minion Pro" w:eastAsia="Times New Roman" w:hAnsi="Minion Pro" w:cs="Arial"/>
          <w:sz w:val="24"/>
          <w:szCs w:val="24"/>
          <w:lang w:eastAsia="en-GB"/>
        </w:rPr>
        <w:t xml:space="preserve">However, this has two challenges – structural and cultural. Structurally, this would require a more symmetrical approach to </w:t>
      </w:r>
      <w:r w:rsidRPr="00BC2DC4">
        <w:rPr>
          <w:rFonts w:ascii="Minion Pro" w:eastAsia="Times New Roman" w:hAnsi="Minion Pro" w:cs="Arial"/>
          <w:sz w:val="24"/>
          <w:szCs w:val="24"/>
          <w:lang w:eastAsia="en-GB"/>
        </w:rPr>
        <w:t xml:space="preserve">devolution than is currently being pursued; the question of how to manage institutions with an England-wide institutional structure within this framework is a challenging. </w:t>
      </w:r>
    </w:p>
    <w:p w:rsidR="00751111" w:rsidRPr="00BC2DC4" w:rsidP="00751111">
      <w:pPr>
        <w:spacing w:before="100" w:beforeAutospacing="1" w:after="100" w:afterAutospacing="1"/>
        <w:jc w:val="both"/>
        <w:rPr>
          <w:rFonts w:ascii="Minion Pro" w:eastAsia="Times New Roman" w:hAnsi="Minion Pro" w:cs="Arial"/>
          <w:sz w:val="24"/>
          <w:szCs w:val="24"/>
          <w:lang w:eastAsia="en-GB"/>
        </w:rPr>
      </w:pPr>
      <w:r w:rsidRPr="00BC2DC4">
        <w:rPr>
          <w:rFonts w:ascii="Minion Pro" w:eastAsia="Times New Roman" w:hAnsi="Minion Pro" w:cs="Arial"/>
          <w:sz w:val="24"/>
          <w:szCs w:val="24"/>
          <w:lang w:eastAsia="en-GB"/>
        </w:rPr>
        <w:t>Culturally, we suspect that little appetite exists for this shift in policy directi</w:t>
      </w:r>
      <w:r w:rsidRPr="00BC2DC4">
        <w:rPr>
          <w:rFonts w:ascii="Minion Pro" w:eastAsia="Times New Roman" w:hAnsi="Minion Pro" w:cs="Arial"/>
          <w:sz w:val="24"/>
          <w:szCs w:val="24"/>
          <w:lang w:eastAsia="en-GB"/>
        </w:rPr>
        <w:t>on at a national level, or the fiscal certainty that would need to go alongside it.</w:t>
      </w:r>
    </w:p>
    <w:p w:rsidR="00856E5D" w:rsidRPr="00BC2DC4" w:rsidP="00751111">
      <w:pPr>
        <w:jc w:val="both"/>
        <w:rPr>
          <w:rFonts w:ascii="Minion Pro" w:hAnsi="Minion Pro"/>
          <w:sz w:val="24"/>
          <w:szCs w:val="24"/>
        </w:rPr>
      </w:pPr>
      <w:r w:rsidRPr="00BC2DC4">
        <w:rPr>
          <w:rFonts w:ascii="Minion Pro" w:hAnsi="Minion Pro" w:eastAsiaTheme="majorEastAsia" w:cstheme="majorBidi"/>
          <w:color w:val="F29100"/>
          <w:sz w:val="24"/>
          <w:szCs w:val="24"/>
        </w:rPr>
        <w:t>To what extent should there be consistency in devolved and local governance within England, and to what extent is asymmetry necessary?</w:t>
      </w:r>
    </w:p>
    <w:p w:rsidR="00856E5D" w:rsidRPr="00BC2DC4" w:rsidP="00751111">
      <w:pPr>
        <w:jc w:val="both"/>
        <w:rPr>
          <w:rFonts w:ascii="Minion Pro" w:hAnsi="Minion Pro" w:eastAsiaTheme="majorEastAsia" w:cstheme="majorBidi"/>
          <w:color w:val="F29100"/>
          <w:sz w:val="24"/>
          <w:szCs w:val="24"/>
        </w:rPr>
      </w:pPr>
      <w:r w:rsidRPr="00BC2DC4">
        <w:rPr>
          <w:rFonts w:ascii="Minion Pro" w:hAnsi="Minion Pro"/>
          <w:sz w:val="24"/>
          <w:szCs w:val="24"/>
        </w:rPr>
        <w:t xml:space="preserve">Firstly, it is important to </w:t>
      </w:r>
      <w:r w:rsidRPr="00BC2DC4">
        <w:rPr>
          <w:rFonts w:ascii="Minion Pro" w:hAnsi="Minion Pro"/>
          <w:sz w:val="24"/>
          <w:szCs w:val="24"/>
        </w:rPr>
        <w:t>highlight that there has been an inconsistent commitment to devolution from Government over the past decade or so, with varying degrees of support and enthusiasm from separate Ministers and Departments.</w:t>
      </w:r>
    </w:p>
    <w:p w:rsidR="00856E5D" w:rsidRPr="00BC2DC4" w:rsidP="00751111">
      <w:pPr>
        <w:jc w:val="both"/>
        <w:rPr>
          <w:rFonts w:ascii="Minion Pro" w:hAnsi="Minion Pro"/>
          <w:sz w:val="24"/>
          <w:szCs w:val="24"/>
        </w:rPr>
      </w:pPr>
      <w:r w:rsidRPr="00BC2DC4">
        <w:rPr>
          <w:rFonts w:ascii="Minion Pro" w:hAnsi="Minion Pro"/>
          <w:sz w:val="24"/>
          <w:szCs w:val="24"/>
        </w:rPr>
        <w:t>The resources and governance mechanisms handed to the</w:t>
      </w:r>
      <w:r w:rsidRPr="00BC2DC4">
        <w:rPr>
          <w:rFonts w:ascii="Minion Pro" w:hAnsi="Minion Pro"/>
          <w:sz w:val="24"/>
          <w:szCs w:val="24"/>
        </w:rPr>
        <w:t xml:space="preserve"> devolved institutions of combined authorities and each metro mayor have been highly divergent, each having a bespoke deal negotiated behind closed doors. In one sense, the need for divergence reflects the needs for localism (as we explain below), but it i</w:t>
      </w:r>
      <w:r w:rsidRPr="00BC2DC4">
        <w:rPr>
          <w:rFonts w:ascii="Minion Pro" w:hAnsi="Minion Pro"/>
          <w:sz w:val="24"/>
          <w:szCs w:val="24"/>
        </w:rPr>
        <w:t>s moot whether a commitment to localism provides the underpinning for Government’s current approach. This is an approach that has neglected almost entirely the questions of how policy and power will be put into practice across combined authorities, how int</w:t>
      </w:r>
      <w:r w:rsidRPr="00BC2DC4">
        <w:rPr>
          <w:rFonts w:ascii="Minion Pro" w:hAnsi="Minion Pro"/>
          <w:sz w:val="24"/>
          <w:szCs w:val="24"/>
        </w:rPr>
        <w:t>ra-local relations between combined authorities (and between combined authorities and adjacent non-combined authority areas) will be altered, and how co-dependency between places is impacted.</w:t>
      </w:r>
    </w:p>
    <w:p w:rsidR="00856E5D" w:rsidRPr="00BC2DC4" w:rsidP="00751111">
      <w:pPr>
        <w:jc w:val="both"/>
        <w:rPr>
          <w:rFonts w:ascii="Minion Pro" w:hAnsi="Minion Pro"/>
          <w:sz w:val="24"/>
          <w:szCs w:val="24"/>
        </w:rPr>
      </w:pPr>
      <w:r w:rsidRPr="00BC2DC4">
        <w:rPr>
          <w:rFonts w:ascii="Minion Pro" w:hAnsi="Minion Pro"/>
          <w:sz w:val="24"/>
          <w:szCs w:val="24"/>
        </w:rPr>
        <w:t>At the moment</w:t>
      </w:r>
      <w:r w:rsidRPr="00BC2DC4">
        <w:rPr>
          <w:rFonts w:ascii="Minion Pro" w:hAnsi="Minion Pro"/>
          <w:sz w:val="24"/>
          <w:szCs w:val="24"/>
        </w:rPr>
        <w:t xml:space="preserve">, there is a large degree of variation between the </w:t>
      </w:r>
      <w:r w:rsidRPr="00BC2DC4">
        <w:rPr>
          <w:rFonts w:ascii="Minion Pro" w:hAnsi="Minion Pro"/>
          <w:sz w:val="24"/>
          <w:szCs w:val="24"/>
        </w:rPr>
        <w:t>responsibilities and funding that different devolved institutions have. Yet</w:t>
      </w:r>
      <w:r w:rsidRPr="00BC2DC4">
        <w:rPr>
          <w:rFonts w:ascii="Minion Pro" w:hAnsi="Minion Pro" w:eastAsiaTheme="minorEastAsia"/>
          <w:sz w:val="24"/>
          <w:szCs w:val="24"/>
        </w:rPr>
        <w:t xml:space="preserve"> devolution’s </w:t>
      </w:r>
      <w:r w:rsidRPr="00BC2DC4">
        <w:rPr>
          <w:rFonts w:ascii="Minion Pro" w:hAnsi="Minion Pro"/>
          <w:sz w:val="24"/>
          <w:szCs w:val="24"/>
        </w:rPr>
        <w:t>patchwork of heterogeneity is no bad thing in itself, there will of course be some asymmetry in application because it depends so much on the needs of ‘place’. Althoug</w:t>
      </w:r>
      <w:r w:rsidRPr="00BC2DC4">
        <w:rPr>
          <w:rFonts w:ascii="Minion Pro" w:hAnsi="Minion Pro"/>
          <w:sz w:val="24"/>
          <w:szCs w:val="24"/>
        </w:rPr>
        <w:t>h asymmetry is necessary, it will have to occur within a consistent framework to assure a degree of transparency.</w:t>
      </w:r>
    </w:p>
    <w:p w:rsidR="00856E5D" w:rsidRPr="00BC2DC4" w:rsidP="00751111">
      <w:pPr>
        <w:jc w:val="both"/>
        <w:rPr>
          <w:rFonts w:ascii="Minion Pro" w:hAnsi="Minion Pro"/>
          <w:sz w:val="24"/>
          <w:szCs w:val="24"/>
        </w:rPr>
      </w:pPr>
      <w:r w:rsidRPr="00BC2DC4">
        <w:rPr>
          <w:rFonts w:ascii="Minion Pro" w:hAnsi="Minion Pro"/>
          <w:sz w:val="24"/>
          <w:szCs w:val="24"/>
        </w:rPr>
        <w:t>What matters is that we have a process of devolution that can deal with the specific problems and aspirations of an area. Areas have responded</w:t>
      </w:r>
      <w:r w:rsidRPr="00BC2DC4">
        <w:rPr>
          <w:rFonts w:ascii="Minion Pro" w:hAnsi="Minion Pro"/>
          <w:sz w:val="24"/>
          <w:szCs w:val="24"/>
        </w:rPr>
        <w:t xml:space="preserve"> differently to the economic, social and demographic changes that have happened in recent decades, and the imbalances that exist between areas in England is often invoked as the Government’s drive for the ‘levelling up’ agenda. The way in which inequalitie</w:t>
      </w:r>
      <w:r w:rsidRPr="00BC2DC4">
        <w:rPr>
          <w:rFonts w:ascii="Minion Pro" w:hAnsi="Minion Pro"/>
          <w:sz w:val="24"/>
          <w:szCs w:val="24"/>
        </w:rPr>
        <w:t>s are addressed in parts of the North West will be very different to the way that they would be addressed in parts of the South East. The principles will be the same, but the people on the ground making these decisions will be channelling different local n</w:t>
      </w:r>
      <w:r w:rsidRPr="00BC2DC4">
        <w:rPr>
          <w:rFonts w:ascii="Minion Pro" w:hAnsi="Minion Pro"/>
          <w:sz w:val="24"/>
          <w:szCs w:val="24"/>
        </w:rPr>
        <w:t>eeds.</w:t>
      </w:r>
    </w:p>
    <w:p w:rsidR="00A804F1" w:rsidRPr="00BC2DC4" w:rsidP="00751111">
      <w:pPr>
        <w:jc w:val="both"/>
        <w:rPr>
          <w:rFonts w:ascii="Minion Pro" w:hAnsi="Minion Pro"/>
          <w:sz w:val="24"/>
          <w:szCs w:val="24"/>
        </w:rPr>
      </w:pPr>
      <w:r w:rsidRPr="00BC2DC4">
        <w:rPr>
          <w:rFonts w:ascii="Minion Pro" w:hAnsi="Minion Pro"/>
          <w:sz w:val="24"/>
          <w:szCs w:val="24"/>
        </w:rPr>
        <w:t>The devolution agenda thus far has been carried out with an economic imperative, focusing on big cities and their functional economic areas as drivers. But the piecemeal approach adopted means large areas of England are not yet covered by a deal, par</w:t>
      </w:r>
      <w:r w:rsidRPr="00BC2DC4">
        <w:rPr>
          <w:rFonts w:ascii="Minion Pro" w:hAnsi="Minion Pro"/>
          <w:sz w:val="24"/>
          <w:szCs w:val="24"/>
        </w:rPr>
        <w:t xml:space="preserve">ticularly where they lack a large conurbation to act as an obvious anchor for economic activity. It is increasingly important to establish how towns and localities outside metropolitan areas are going to fit into the devolution strategy and participate in </w:t>
      </w:r>
      <w:r w:rsidRPr="00BC2DC4">
        <w:rPr>
          <w:rFonts w:ascii="Minion Pro" w:hAnsi="Minion Pro"/>
          <w:sz w:val="24"/>
          <w:szCs w:val="24"/>
        </w:rPr>
        <w:t>its benefits. Devolution will have to be distinctly different in urban areas and in more rural areas, and the governance and accountability arrangements established for combined authorities will have to reflect this distinctiveness. Managed poorly, this co</w:t>
      </w:r>
      <w:r w:rsidRPr="00BC2DC4">
        <w:rPr>
          <w:rFonts w:ascii="Minion Pro" w:hAnsi="Minion Pro"/>
          <w:sz w:val="24"/>
          <w:szCs w:val="24"/>
        </w:rPr>
        <w:t>uld serve to further fragment the overall English devolution settlement. But the fact remains that in many respects, non-metropolitan areas face similar kinds of issues to their metropolitan counterparts, in creating local growth and skills, coordinating b</w:t>
      </w:r>
      <w:r w:rsidRPr="00BC2DC4">
        <w:rPr>
          <w:rFonts w:ascii="Minion Pro" w:hAnsi="Minion Pro"/>
          <w:sz w:val="24"/>
          <w:szCs w:val="24"/>
        </w:rPr>
        <w:t>etter local transport and integrating health and social care, but the solutions to these will be different. Essentially there cannot be a one-size-fits-all in the way that devolution is achieved.</w:t>
      </w:r>
      <w:r w:rsidRPr="00BC2DC4">
        <w:rPr>
          <w:rFonts w:ascii="Minion Pro" w:hAnsi="Minion Pro"/>
          <w:sz w:val="24"/>
          <w:szCs w:val="24"/>
        </w:rPr>
        <w:br/>
      </w:r>
    </w:p>
    <w:p w:rsidR="00856E5D" w:rsidRPr="00BC2DC4" w:rsidP="00751111">
      <w:pPr>
        <w:jc w:val="both"/>
        <w:rPr>
          <w:rFonts w:ascii="Minion Pro" w:hAnsi="Minion Pro"/>
          <w:sz w:val="24"/>
          <w:szCs w:val="24"/>
        </w:rPr>
      </w:pPr>
      <w:r w:rsidRPr="00BC2DC4">
        <w:rPr>
          <w:rFonts w:ascii="Minion Pro" w:hAnsi="Minion Pro" w:eastAsiaTheme="majorEastAsia" w:cstheme="majorBidi"/>
          <w:color w:val="F29100"/>
          <w:sz w:val="24"/>
          <w:szCs w:val="24"/>
        </w:rPr>
        <w:t>What is the purpose of the current “devolution” deals and m</w:t>
      </w:r>
      <w:r w:rsidRPr="00BC2DC4">
        <w:rPr>
          <w:rFonts w:ascii="Minion Pro" w:hAnsi="Minion Pro" w:eastAsiaTheme="majorEastAsia" w:cstheme="majorBidi"/>
          <w:color w:val="F29100"/>
          <w:sz w:val="24"/>
          <w:szCs w:val="24"/>
        </w:rPr>
        <w:t>echanisms? Are these purposes being achieved?</w:t>
      </w:r>
    </w:p>
    <w:p w:rsidR="00856E5D" w:rsidRPr="00BC2DC4" w:rsidP="00751111">
      <w:pPr>
        <w:jc w:val="both"/>
        <w:rPr>
          <w:rFonts w:ascii="Minion Pro" w:hAnsi="Minion Pro" w:cs="Arial"/>
          <w:sz w:val="24"/>
          <w:szCs w:val="24"/>
        </w:rPr>
      </w:pPr>
      <w:r w:rsidRPr="00BC2DC4">
        <w:rPr>
          <w:rFonts w:ascii="Minion Pro" w:hAnsi="Minion Pro" w:cs="Arial"/>
          <w:sz w:val="24"/>
          <w:szCs w:val="24"/>
        </w:rPr>
        <w:t>Current devolution in the English context has been transacted with the Cities and Local Government Devolution Act (2016). The Act facilitated groupings of local authorities to sign up to a ‘Devolution Deal’ und</w:t>
      </w:r>
      <w:r w:rsidRPr="00BC2DC4">
        <w:rPr>
          <w:rFonts w:ascii="Minion Pro" w:hAnsi="Minion Pro" w:cs="Arial"/>
          <w:sz w:val="24"/>
          <w:szCs w:val="24"/>
        </w:rPr>
        <w:t>er the requirement that they enact a Mayoral model within a new ‘Combined Authority’. Hence, English devolution has emerged out of a series of separate, bilateral negotiations between Whitehall and different groupings of local authorities resulting in comb</w:t>
      </w:r>
      <w:r w:rsidRPr="00BC2DC4">
        <w:rPr>
          <w:rFonts w:ascii="Minion Pro" w:hAnsi="Minion Pro" w:cs="Arial"/>
          <w:sz w:val="24"/>
          <w:szCs w:val="24"/>
        </w:rPr>
        <w:t xml:space="preserve">ined authorities as a new tier of government. </w:t>
      </w:r>
    </w:p>
    <w:p w:rsidR="00856E5D" w:rsidRPr="00BC2DC4" w:rsidP="00751111">
      <w:pPr>
        <w:jc w:val="both"/>
        <w:rPr>
          <w:rFonts w:ascii="Minion Pro" w:hAnsi="Minion Pro" w:cs="Arial"/>
          <w:b/>
          <w:sz w:val="24"/>
          <w:szCs w:val="24"/>
        </w:rPr>
      </w:pPr>
      <w:r w:rsidRPr="00BC2DC4">
        <w:rPr>
          <w:rFonts w:ascii="Minion Pro" w:hAnsi="Minion Pro" w:cs="Arial"/>
          <w:sz w:val="24"/>
          <w:szCs w:val="24"/>
        </w:rPr>
        <w:t>The rationale underpinning these deals was that governance across larg</w:t>
      </w:r>
      <w:r w:rsidRPr="00BC2DC4">
        <w:rPr>
          <w:rFonts w:ascii="Minion Pro" w:hAnsi="Minion Pro" w:cs="Arial"/>
          <w:sz w:val="24"/>
          <w:szCs w:val="24"/>
        </w:rPr>
        <w:t xml:space="preserve">er geographical areas can unlock the opportunity for more strategic thinking across a place, and for better partnership working. Combined authorities have, by and large, been instigated around driving economic growth and large-scale development, including </w:t>
      </w:r>
      <w:r w:rsidRPr="00BC2DC4">
        <w:rPr>
          <w:rFonts w:ascii="Minion Pro" w:hAnsi="Minion Pro" w:cs="Arial"/>
          <w:sz w:val="24"/>
          <w:szCs w:val="24"/>
        </w:rPr>
        <w:t xml:space="preserve">transport. The </w:t>
      </w:r>
      <w:r w:rsidRPr="00BC2DC4">
        <w:rPr>
          <w:rFonts w:ascii="Minion Pro" w:hAnsi="Minion Pro" w:cs="Arial"/>
          <w:bCs/>
          <w:sz w:val="24"/>
          <w:szCs w:val="24"/>
        </w:rPr>
        <w:t>Local Democracy, Economic Development and Construction Act 2009 established</w:t>
      </w:r>
      <w:r w:rsidRPr="00BC2DC4">
        <w:rPr>
          <w:rFonts w:ascii="Minion Pro" w:hAnsi="Minion Pro" w:cs="Arial"/>
          <w:b/>
          <w:sz w:val="24"/>
          <w:szCs w:val="24"/>
        </w:rPr>
        <w:t xml:space="preserve"> </w:t>
      </w:r>
      <w:r w:rsidRPr="00BC2DC4">
        <w:rPr>
          <w:rFonts w:ascii="Minion Pro" w:hAnsi="Minion Pro" w:cs="Arial"/>
          <w:sz w:val="24"/>
          <w:szCs w:val="24"/>
        </w:rPr>
        <w:t>the combined authority entity and was effectively an amalgamation of the Economic Prosperity Board and Integrated Transport Authority in the now defunct metropolitan</w:t>
      </w:r>
      <w:r w:rsidRPr="00BC2DC4">
        <w:rPr>
          <w:rFonts w:ascii="Minion Pro" w:hAnsi="Minion Pro" w:cs="Arial"/>
          <w:sz w:val="24"/>
          <w:szCs w:val="24"/>
        </w:rPr>
        <w:t xml:space="preserve"> counties. Hence, present governance arrangements in most combined authorities have formed out of the legacy arrangements of the prior passenger transport authorities</w:t>
      </w:r>
      <w:r>
        <w:rPr>
          <w:rFonts w:ascii="Minion Pro" w:hAnsi="Minion Pro" w:cs="Arial"/>
          <w:sz w:val="24"/>
          <w:szCs w:val="24"/>
        </w:rPr>
        <w:footnoteReference w:id="9"/>
      </w:r>
      <w:r w:rsidRPr="00BC2DC4">
        <w:rPr>
          <w:rFonts w:ascii="Minion Pro" w:hAnsi="Minion Pro" w:cs="Arial"/>
          <w:sz w:val="24"/>
          <w:szCs w:val="24"/>
        </w:rPr>
        <w:t xml:space="preserve">. </w:t>
      </w:r>
    </w:p>
    <w:p w:rsidR="00856E5D" w:rsidRPr="00BC2DC4" w:rsidP="00751111">
      <w:pPr>
        <w:jc w:val="both"/>
        <w:rPr>
          <w:rFonts w:ascii="Minion Pro" w:hAnsi="Minion Pro" w:cs="Arial"/>
          <w:sz w:val="24"/>
          <w:szCs w:val="24"/>
        </w:rPr>
      </w:pPr>
      <w:r w:rsidRPr="00BC2DC4">
        <w:rPr>
          <w:rFonts w:ascii="Minion Pro" w:hAnsi="Minion Pro" w:cs="Arial"/>
          <w:sz w:val="24"/>
          <w:szCs w:val="24"/>
        </w:rPr>
        <w:t>Initially there was an understandable focus on the economic and infrastructural benef</w:t>
      </w:r>
      <w:r w:rsidRPr="00BC2DC4">
        <w:rPr>
          <w:rFonts w:ascii="Minion Pro" w:hAnsi="Minion Pro" w:cs="Arial"/>
          <w:sz w:val="24"/>
          <w:szCs w:val="24"/>
        </w:rPr>
        <w:t>its of devolution to a combined authority. But there is increasingly a broader conception being deployed, encompassing fire, police and the integration of health and social care, as illustrated in Greater Manchester.</w:t>
      </w:r>
    </w:p>
    <w:p w:rsidR="00856E5D" w:rsidRPr="00BC2DC4" w:rsidP="00751111">
      <w:pPr>
        <w:jc w:val="both"/>
        <w:rPr>
          <w:rFonts w:ascii="Minion Pro" w:hAnsi="Minion Pro" w:cs="Arial"/>
          <w:sz w:val="24"/>
          <w:szCs w:val="24"/>
        </w:rPr>
      </w:pPr>
      <w:r w:rsidRPr="00BC2DC4">
        <w:rPr>
          <w:rFonts w:ascii="Minion Pro" w:hAnsi="Minion Pro" w:cs="Arial"/>
          <w:sz w:val="24"/>
          <w:szCs w:val="24"/>
        </w:rPr>
        <w:t>The governance arrangements of the comb</w:t>
      </w:r>
      <w:r w:rsidRPr="00BC2DC4">
        <w:rPr>
          <w:rFonts w:ascii="Minion Pro" w:hAnsi="Minion Pro" w:cs="Arial"/>
          <w:sz w:val="24"/>
          <w:szCs w:val="24"/>
        </w:rPr>
        <w:t xml:space="preserve">ined authorities do vary but, to gain full advantage of the Government’s deal on allocation of resources mostly in terms of grants, each must agree, politically speaking, to a </w:t>
      </w:r>
      <w:r w:rsidRPr="00BC2DC4">
        <w:rPr>
          <w:rFonts w:ascii="Minion Pro" w:hAnsi="Minion Pro" w:cs="Arial"/>
          <w:sz w:val="24"/>
          <w:szCs w:val="24"/>
        </w:rPr>
        <w:t>directly-elected</w:t>
      </w:r>
      <w:r w:rsidRPr="00BC2DC4">
        <w:rPr>
          <w:rFonts w:ascii="Minion Pro" w:hAnsi="Minion Pro" w:cs="Arial"/>
          <w:sz w:val="24"/>
          <w:szCs w:val="24"/>
        </w:rPr>
        <w:t xml:space="preserve"> Mayor (without local referendum)</w:t>
      </w:r>
      <w:r>
        <w:rPr>
          <w:rFonts w:ascii="Minion Pro" w:hAnsi="Minion Pro" w:cs="Arial"/>
          <w:sz w:val="24"/>
          <w:szCs w:val="24"/>
        </w:rPr>
        <w:footnoteReference w:id="10"/>
      </w:r>
      <w:r w:rsidRPr="00BC2DC4">
        <w:rPr>
          <w:rFonts w:ascii="Minion Pro" w:hAnsi="Minion Pro" w:cs="Arial"/>
          <w:sz w:val="24"/>
          <w:szCs w:val="24"/>
        </w:rPr>
        <w:t>.</w:t>
      </w:r>
    </w:p>
    <w:p w:rsidR="00856E5D" w:rsidRPr="00BC2DC4" w:rsidP="00751111">
      <w:pPr>
        <w:jc w:val="both"/>
        <w:rPr>
          <w:rFonts w:ascii="Minion Pro" w:hAnsi="Minion Pro" w:cs="Arial"/>
          <w:sz w:val="24"/>
          <w:szCs w:val="24"/>
        </w:rPr>
      </w:pPr>
      <w:r w:rsidRPr="00BC2DC4">
        <w:rPr>
          <w:rFonts w:ascii="Minion Pro" w:hAnsi="Minion Pro" w:cs="Arial"/>
          <w:sz w:val="24"/>
          <w:szCs w:val="24"/>
        </w:rPr>
        <w:t>The devolution deals have b</w:t>
      </w:r>
      <w:r w:rsidRPr="00BC2DC4">
        <w:rPr>
          <w:rFonts w:ascii="Minion Pro" w:hAnsi="Minion Pro" w:cs="Arial"/>
          <w:sz w:val="24"/>
          <w:szCs w:val="24"/>
        </w:rPr>
        <w:t xml:space="preserve">een portrayed as a transfer of powers, but they are more accurately described as delivery agreements – combined authorities will deliver </w:t>
      </w:r>
      <w:r w:rsidRPr="00BC2DC4">
        <w:rPr>
          <w:rFonts w:ascii="Minion Pro" w:hAnsi="Minion Pro" w:cs="Arial"/>
          <w:i/>
          <w:iCs/>
          <w:sz w:val="24"/>
          <w:szCs w:val="24"/>
        </w:rPr>
        <w:t>x</w:t>
      </w:r>
      <w:r w:rsidRPr="00BC2DC4">
        <w:rPr>
          <w:rFonts w:ascii="Minion Pro" w:hAnsi="Minion Pro" w:cs="Arial"/>
          <w:sz w:val="24"/>
          <w:szCs w:val="24"/>
        </w:rPr>
        <w:t xml:space="preserve"> on behalf of Government for which they will receive £</w:t>
      </w:r>
      <w:r w:rsidRPr="00BC2DC4">
        <w:rPr>
          <w:rFonts w:ascii="Minion Pro" w:hAnsi="Minion Pro" w:cs="Arial"/>
          <w:i/>
          <w:iCs/>
          <w:sz w:val="24"/>
          <w:szCs w:val="24"/>
        </w:rPr>
        <w:t>x</w:t>
      </w:r>
      <w:r w:rsidRPr="00BC2DC4">
        <w:rPr>
          <w:rFonts w:ascii="Minion Pro" w:hAnsi="Minion Pro" w:cs="Arial"/>
          <w:sz w:val="24"/>
          <w:szCs w:val="24"/>
        </w:rPr>
        <w:t xml:space="preserve"> million – there is some overall freedom to act within the fund</w:t>
      </w:r>
      <w:r w:rsidRPr="00BC2DC4">
        <w:rPr>
          <w:rFonts w:ascii="Minion Pro" w:hAnsi="Minion Pro" w:cs="Arial"/>
          <w:sz w:val="24"/>
          <w:szCs w:val="24"/>
        </w:rPr>
        <w:t>ing framework, but arguably not as much as the use of the word “devolution” would suggest.</w:t>
      </w:r>
    </w:p>
    <w:p w:rsidR="00856E5D" w:rsidRPr="00BC2DC4" w:rsidP="00751111">
      <w:pPr>
        <w:jc w:val="both"/>
        <w:rPr>
          <w:rFonts w:ascii="Minion Pro" w:hAnsi="Minion Pro" w:cs="Arial"/>
          <w:sz w:val="24"/>
          <w:szCs w:val="24"/>
        </w:rPr>
      </w:pPr>
      <w:r w:rsidRPr="00BC2DC4">
        <w:rPr>
          <w:rFonts w:ascii="Minion Pro" w:hAnsi="Minion Pro" w:cs="Arial"/>
          <w:sz w:val="24"/>
          <w:szCs w:val="24"/>
        </w:rPr>
        <w:t>Consequently, these new bodies have acquired a limited set of administrative responsibilities and powers, lacking meaningful control over their own revenue streams a</w:t>
      </w:r>
      <w:r w:rsidRPr="00BC2DC4">
        <w:rPr>
          <w:rFonts w:ascii="Minion Pro" w:hAnsi="Minion Pro" w:cs="Arial"/>
          <w:sz w:val="24"/>
          <w:szCs w:val="24"/>
        </w:rPr>
        <w:t>nd unable to determine their own priorities, particularly if these diverge from the preferences of central Government.</w:t>
      </w:r>
    </w:p>
    <w:p w:rsidR="00856E5D" w:rsidRPr="00BC2DC4" w:rsidP="00751111">
      <w:pPr>
        <w:jc w:val="both"/>
        <w:rPr>
          <w:rFonts w:ascii="Minion Pro" w:hAnsi="Minion Pro" w:cs="Arial"/>
          <w:sz w:val="24"/>
          <w:szCs w:val="24"/>
        </w:rPr>
      </w:pPr>
      <w:r w:rsidRPr="00BC2DC4">
        <w:rPr>
          <w:rFonts w:ascii="Minion Pro" w:hAnsi="Minion Pro" w:cs="Arial"/>
          <w:sz w:val="24"/>
          <w:szCs w:val="24"/>
        </w:rPr>
        <w:t>On the question of whether the purposes of devolution are being achieved – this may be too soon to speculate on at this stage as asking w</w:t>
      </w:r>
      <w:r w:rsidRPr="00BC2DC4">
        <w:rPr>
          <w:rFonts w:ascii="Minion Pro" w:hAnsi="Minion Pro" w:cs="Arial"/>
          <w:sz w:val="24"/>
          <w:szCs w:val="24"/>
        </w:rPr>
        <w:t>hether the “purposes” of devolution are being met invites selection of specific policy objectives, where actually the underlying objective of devolution is to push power down. If devolved areas are having to answer whether Government’s objectives are being</w:t>
      </w:r>
      <w:r w:rsidRPr="00BC2DC4">
        <w:rPr>
          <w:rFonts w:ascii="Minion Pro" w:hAnsi="Minion Pro" w:cs="Arial"/>
          <w:sz w:val="24"/>
          <w:szCs w:val="24"/>
        </w:rPr>
        <w:t xml:space="preserve"> met by their </w:t>
      </w:r>
      <w:r w:rsidRPr="00BC2DC4">
        <w:rPr>
          <w:rFonts w:ascii="Minion Pro" w:hAnsi="Minion Pro" w:cs="Arial"/>
          <w:sz w:val="24"/>
          <w:szCs w:val="24"/>
        </w:rPr>
        <w:t>activities</w:t>
      </w:r>
      <w:r w:rsidRPr="00BC2DC4">
        <w:rPr>
          <w:rFonts w:ascii="Minion Pro" w:hAnsi="Minion Pro" w:cs="Arial"/>
          <w:sz w:val="24"/>
          <w:szCs w:val="24"/>
        </w:rPr>
        <w:t xml:space="preserve"> then surely this isn’t meaningful devolution.</w:t>
      </w:r>
    </w:p>
    <w:p w:rsidR="00856E5D" w:rsidRPr="00BC2DC4" w:rsidP="00751111">
      <w:pPr>
        <w:jc w:val="both"/>
        <w:rPr>
          <w:rFonts w:ascii="Minion Pro" w:hAnsi="Minion Pro" w:cs="Arial"/>
          <w:sz w:val="24"/>
          <w:szCs w:val="24"/>
        </w:rPr>
      </w:pPr>
      <w:r w:rsidRPr="00BC2DC4">
        <w:rPr>
          <w:rFonts w:ascii="Minion Pro" w:hAnsi="Minion Pro" w:cs="Arial"/>
          <w:sz w:val="24"/>
          <w:szCs w:val="24"/>
        </w:rPr>
        <w:t xml:space="preserve">Objectives have varied across combined authorities, and all combined authorities face </w:t>
      </w:r>
      <w:r w:rsidRPr="00BC2DC4">
        <w:rPr>
          <w:rFonts w:ascii="Minion Pro" w:hAnsi="Minion Pro" w:cs="Arial"/>
          <w:sz w:val="24"/>
          <w:szCs w:val="24"/>
        </w:rPr>
        <w:t>particular challenges</w:t>
      </w:r>
      <w:r w:rsidRPr="00BC2DC4">
        <w:rPr>
          <w:rFonts w:ascii="Minion Pro" w:hAnsi="Minion Pro" w:cs="Arial"/>
          <w:sz w:val="24"/>
          <w:szCs w:val="24"/>
        </w:rPr>
        <w:t>. A lot of this is down to the unique nature of place-based challenges present</w:t>
      </w:r>
      <w:r w:rsidRPr="00BC2DC4">
        <w:rPr>
          <w:rFonts w:ascii="Minion Pro" w:hAnsi="Minion Pro" w:cs="Arial"/>
          <w:sz w:val="24"/>
          <w:szCs w:val="24"/>
        </w:rPr>
        <w:t>ing in different areas. No overarching purposes have been consistently articulated within the devolution context, and where they have been indicated they tend to emphasise long-term economic growth.</w:t>
      </w:r>
    </w:p>
    <w:p w:rsidR="00856E5D" w:rsidRPr="00BC2DC4" w:rsidP="00751111">
      <w:pPr>
        <w:jc w:val="both"/>
        <w:rPr>
          <w:rFonts w:ascii="Minion Pro" w:hAnsi="Minion Pro" w:cs="Arial"/>
          <w:sz w:val="24"/>
          <w:szCs w:val="24"/>
        </w:rPr>
      </w:pPr>
      <w:r w:rsidRPr="00BC2DC4">
        <w:rPr>
          <w:rFonts w:ascii="Minion Pro" w:hAnsi="Minion Pro" w:cs="Arial"/>
          <w:sz w:val="24"/>
          <w:szCs w:val="24"/>
        </w:rPr>
        <w:t>The directly elected Mayor has been a practical requireme</w:t>
      </w:r>
      <w:r w:rsidRPr="00BC2DC4">
        <w:rPr>
          <w:rFonts w:ascii="Minion Pro" w:hAnsi="Minion Pro" w:cs="Arial"/>
          <w:sz w:val="24"/>
          <w:szCs w:val="24"/>
        </w:rPr>
        <w:t>nt of most devolution deals, and has at least in part, achieved purposes related to more local accountability and better area governance. Intended as providing a visible high-profile individual tasked with being accountable for the actions of combined auth</w:t>
      </w:r>
      <w:r w:rsidRPr="00BC2DC4">
        <w:rPr>
          <w:rFonts w:ascii="Minion Pro" w:hAnsi="Minion Pro" w:cs="Arial"/>
          <w:sz w:val="24"/>
          <w:szCs w:val="24"/>
        </w:rPr>
        <w:t>orities,</w:t>
      </w:r>
      <w:r w:rsidRPr="00BC2DC4">
        <w:rPr>
          <w:rFonts w:ascii="Minion Pro" w:hAnsi="Minion Pro" w:eastAsiaTheme="minorEastAsia" w:cs="Arial"/>
          <w:sz w:val="24"/>
          <w:szCs w:val="24"/>
        </w:rPr>
        <w:t xml:space="preserve"> </w:t>
      </w:r>
      <w:r w:rsidRPr="00BC2DC4">
        <w:rPr>
          <w:rFonts w:ascii="Minion Pro" w:hAnsi="Minion Pro" w:cs="Arial"/>
          <w:sz w:val="24"/>
          <w:szCs w:val="24"/>
        </w:rPr>
        <w:t>and with a political mandate derived from direct election. There have been benefits to Mayors, particularly through the political leadership that has been critical in facilitating wider conversations and commitments across an area.</w:t>
      </w:r>
    </w:p>
    <w:p w:rsidR="00856E5D" w:rsidRPr="00BC2DC4" w:rsidP="00751111">
      <w:pPr>
        <w:jc w:val="both"/>
        <w:rPr>
          <w:rFonts w:ascii="Minion Pro" w:hAnsi="Minion Pro" w:cs="Arial"/>
          <w:sz w:val="24"/>
          <w:szCs w:val="24"/>
        </w:rPr>
      </w:pPr>
      <w:r w:rsidRPr="00BC2DC4">
        <w:rPr>
          <w:rFonts w:ascii="Minion Pro" w:hAnsi="Minion Pro" w:cs="Arial"/>
          <w:sz w:val="24"/>
          <w:szCs w:val="24"/>
        </w:rPr>
        <w:t>Although Mayors</w:t>
      </w:r>
      <w:r w:rsidRPr="00BC2DC4">
        <w:rPr>
          <w:rFonts w:ascii="Minion Pro" w:hAnsi="Minion Pro" w:cs="Arial"/>
          <w:sz w:val="24"/>
          <w:szCs w:val="24"/>
        </w:rPr>
        <w:t xml:space="preserve"> have provided an individual anchor for local accountability and leadership, it is also worth pointing out that Mayors are in practice also held accountable by the press and public for things they are not actually accountable for - due to their visibility </w:t>
      </w:r>
      <w:r w:rsidRPr="00BC2DC4">
        <w:rPr>
          <w:rFonts w:ascii="Minion Pro" w:hAnsi="Minion Pro" w:cs="Arial"/>
          <w:sz w:val="24"/>
          <w:szCs w:val="24"/>
        </w:rPr>
        <w:t xml:space="preserve">as the local figurehead and confusion around where responsibility lies. Whilst there is a strong political mandate gained from their electoral legitimacy (which plays into their role in building and </w:t>
      </w:r>
      <w:r w:rsidRPr="00BC2DC4">
        <w:rPr>
          <w:rFonts w:ascii="Minion Pro" w:hAnsi="Minion Pro" w:cs="Arial"/>
          <w:sz w:val="24"/>
          <w:szCs w:val="24"/>
        </w:rPr>
        <w:t>developing partnerships at the sub-regional level), there</w:t>
      </w:r>
      <w:r w:rsidRPr="00BC2DC4">
        <w:rPr>
          <w:rFonts w:ascii="Minion Pro" w:hAnsi="Minion Pro" w:cs="Arial"/>
          <w:sz w:val="24"/>
          <w:szCs w:val="24"/>
        </w:rPr>
        <w:t xml:space="preserve"> are other governance models that could effectively deliver local outcomes alongside providing accountability. The onus also needs to be on accountability of a Mayor, of a combined authority, of leaders, to local people in that area, rather than central Go</w:t>
      </w:r>
      <w:r w:rsidRPr="00BC2DC4">
        <w:rPr>
          <w:rFonts w:ascii="Minion Pro" w:hAnsi="Minion Pro" w:cs="Arial"/>
          <w:sz w:val="24"/>
          <w:szCs w:val="24"/>
        </w:rPr>
        <w:t>vernment holding devolved areas to account.</w:t>
      </w:r>
    </w:p>
    <w:p w:rsidR="00856E5D" w:rsidRPr="00BC2DC4" w:rsidP="00751111">
      <w:pPr>
        <w:jc w:val="both"/>
        <w:rPr>
          <w:rFonts w:ascii="Minion Pro" w:hAnsi="Minion Pro" w:cs="Arial"/>
          <w:sz w:val="24"/>
          <w:szCs w:val="24"/>
        </w:rPr>
      </w:pPr>
      <w:r w:rsidRPr="00BC2DC4">
        <w:rPr>
          <w:rFonts w:ascii="Minion Pro" w:hAnsi="Minion Pro" w:cs="Arial"/>
          <w:sz w:val="24"/>
          <w:szCs w:val="24"/>
        </w:rPr>
        <w:t xml:space="preserve">In practice, the role that combined authorities have undertaken has revolved around convening power across areas and bringing together a multiplicity of partners to work on strategic issues of common importance. </w:t>
      </w:r>
      <w:r w:rsidRPr="00BC2DC4">
        <w:rPr>
          <w:rFonts w:ascii="Minion Pro" w:hAnsi="Minion Pro" w:cs="Arial"/>
          <w:sz w:val="24"/>
          <w:szCs w:val="24"/>
        </w:rPr>
        <w:t>Thinking about the agglomeration benefits and relational benefits from larger-scale working, there is a collective leadership responsibility from a range of partners across a combined authority area, and Mayors have successfully enacted their role as conve</w:t>
      </w:r>
      <w:r w:rsidRPr="00BC2DC4">
        <w:rPr>
          <w:rFonts w:ascii="Minion Pro" w:hAnsi="Minion Pro" w:cs="Arial"/>
          <w:sz w:val="24"/>
          <w:szCs w:val="24"/>
        </w:rPr>
        <w:t>nors. Many local partners operate within separate funding streams and accountability frameworks pursuing separate objectives. Mayors have played a vital role in settling potentially conflicting individual objectives under a wider shared strategy and develo</w:t>
      </w:r>
      <w:r w:rsidRPr="00BC2DC4">
        <w:rPr>
          <w:rFonts w:ascii="Minion Pro" w:hAnsi="Minion Pro" w:cs="Arial"/>
          <w:sz w:val="24"/>
          <w:szCs w:val="24"/>
        </w:rPr>
        <w:t>ping strong local relationships.</w:t>
      </w:r>
    </w:p>
    <w:p w:rsidR="00856E5D" w:rsidRPr="00BC2DC4" w:rsidP="00751111">
      <w:pPr>
        <w:jc w:val="both"/>
        <w:rPr>
          <w:rFonts w:ascii="Minion Pro" w:hAnsi="Minion Pro" w:cs="Arial"/>
          <w:sz w:val="24"/>
          <w:szCs w:val="24"/>
        </w:rPr>
      </w:pPr>
      <w:r w:rsidRPr="00BC2DC4">
        <w:rPr>
          <w:rFonts w:ascii="Minion Pro" w:hAnsi="Minion Pro" w:cs="Arial"/>
          <w:sz w:val="24"/>
          <w:szCs w:val="24"/>
        </w:rPr>
        <w:t>Whilst Greater Manchester is the longest serving combined authority, and so arguably the easiest case to cite as an exemplar of partnership working, it also had the advantage prior to establishment of being coterminous with</w:t>
      </w:r>
      <w:r w:rsidRPr="00BC2DC4">
        <w:rPr>
          <w:rFonts w:ascii="Minion Pro" w:hAnsi="Minion Pro" w:cs="Arial"/>
          <w:sz w:val="24"/>
          <w:szCs w:val="24"/>
        </w:rPr>
        <w:t xml:space="preserve"> the historic metropolitan county and a legacy of collaborative working between political leaders from constituent authorities and the business community.</w:t>
      </w:r>
    </w:p>
    <w:p w:rsidR="00856E5D" w:rsidRPr="00BC2DC4" w:rsidP="00751111">
      <w:pPr>
        <w:jc w:val="both"/>
        <w:rPr>
          <w:rFonts w:ascii="Minion Pro" w:hAnsi="Minion Pro" w:cs="Arial"/>
          <w:sz w:val="24"/>
          <w:szCs w:val="24"/>
        </w:rPr>
      </w:pPr>
      <w:r w:rsidRPr="00BC2DC4">
        <w:rPr>
          <w:rFonts w:ascii="Minion Pro" w:hAnsi="Minion Pro" w:cs="Arial"/>
          <w:sz w:val="24"/>
          <w:szCs w:val="24"/>
        </w:rPr>
        <w:t xml:space="preserve">However, much of the ‘soft power’ of convening and leadership rests on the personal character of the </w:t>
      </w:r>
      <w:r w:rsidRPr="00BC2DC4">
        <w:rPr>
          <w:rFonts w:ascii="Minion Pro" w:hAnsi="Minion Pro" w:cs="Arial"/>
          <w:sz w:val="24"/>
          <w:szCs w:val="24"/>
        </w:rPr>
        <w:t>Mayor. Considering the unique personalities of the individuals charged with leading in combined authority area, there has been a considerable task in making relationships work and ensuring everybody around the table understands what their roles and respons</w:t>
      </w:r>
      <w:r w:rsidRPr="00BC2DC4">
        <w:rPr>
          <w:rFonts w:ascii="Minion Pro" w:hAnsi="Minion Pro" w:cs="Arial"/>
          <w:sz w:val="24"/>
          <w:szCs w:val="24"/>
        </w:rPr>
        <w:t xml:space="preserve">ibilities are. </w:t>
      </w:r>
    </w:p>
    <w:p w:rsidR="00856E5D" w:rsidRPr="00BC2DC4" w:rsidP="00751111">
      <w:pPr>
        <w:jc w:val="both"/>
        <w:rPr>
          <w:rFonts w:ascii="Minion Pro" w:hAnsi="Minion Pro" w:cs="Arial"/>
          <w:sz w:val="24"/>
          <w:szCs w:val="24"/>
        </w:rPr>
      </w:pPr>
      <w:r w:rsidRPr="00BC2DC4">
        <w:rPr>
          <w:rFonts w:ascii="Minion Pro" w:hAnsi="Minion Pro" w:cs="Arial"/>
          <w:sz w:val="24"/>
          <w:szCs w:val="24"/>
        </w:rPr>
        <w:t>Without focusing on structures too much, governance models are important. The current Mayoral model in combined authorities is based on co-operation and bringing people together to work in a collaborative way. But, at the same time, it shou</w:t>
      </w:r>
      <w:r w:rsidRPr="00BC2DC4">
        <w:rPr>
          <w:rFonts w:ascii="Minion Pro" w:hAnsi="Minion Pro" w:cs="Arial"/>
          <w:sz w:val="24"/>
          <w:szCs w:val="24"/>
        </w:rPr>
        <w:t>ld be stated that any devolution model must allow for differences between localities.</w:t>
      </w:r>
    </w:p>
    <w:p w:rsidR="00751111" w:rsidRPr="00BC2DC4" w:rsidP="00751111">
      <w:pPr>
        <w:jc w:val="both"/>
        <w:rPr>
          <w:rFonts w:ascii="Minion Pro" w:hAnsi="Minion Pro" w:cs="Arial"/>
          <w:sz w:val="24"/>
          <w:szCs w:val="24"/>
        </w:rPr>
      </w:pPr>
      <w:r w:rsidRPr="00BC2DC4">
        <w:rPr>
          <w:rFonts w:ascii="Minion Pro" w:hAnsi="Minion Pro" w:cs="Arial"/>
          <w:sz w:val="24"/>
          <w:szCs w:val="24"/>
        </w:rPr>
        <w:t xml:space="preserve">Another principal issue to highlight is the extent to which a ‘deal’ is the </w:t>
      </w:r>
      <w:r w:rsidRPr="00BC2DC4">
        <w:rPr>
          <w:rFonts w:ascii="Minion Pro" w:hAnsi="Minion Pro" w:cs="Arial"/>
          <w:sz w:val="24"/>
          <w:szCs w:val="24"/>
        </w:rPr>
        <w:t>focus, and</w:t>
      </w:r>
      <w:r w:rsidRPr="00BC2DC4">
        <w:rPr>
          <w:rFonts w:ascii="Minion Pro" w:hAnsi="Minion Pro" w:cs="Arial"/>
          <w:sz w:val="24"/>
          <w:szCs w:val="24"/>
        </w:rPr>
        <w:t xml:space="preserve"> thinking about governance strictly in terms of the relationship between Government </w:t>
      </w:r>
      <w:r w:rsidRPr="00BC2DC4">
        <w:rPr>
          <w:rFonts w:ascii="Minion Pro" w:hAnsi="Minion Pro" w:cs="Arial"/>
          <w:sz w:val="24"/>
          <w:szCs w:val="24"/>
        </w:rPr>
        <w:t>and the devolved area. The deal-making process itself is one characterised by a central-local arrangement, rather than as a local matter for the combined authority and its constituent authorities to work through to their satisfaction. When there is this ce</w:t>
      </w:r>
      <w:r w:rsidRPr="00BC2DC4">
        <w:rPr>
          <w:rFonts w:ascii="Minion Pro" w:hAnsi="Minion Pro" w:cs="Arial"/>
          <w:sz w:val="24"/>
          <w:szCs w:val="24"/>
        </w:rPr>
        <w:t>ntral-local deal, involving an agreement of the delivery of certain outcomes in a certain way, the extent to which the purposes of devolution are being achieved is questionable.</w:t>
      </w:r>
    </w:p>
    <w:p w:rsidR="00856E5D" w:rsidRPr="00BC2DC4" w:rsidP="00751111">
      <w:pPr>
        <w:jc w:val="both"/>
        <w:rPr>
          <w:rFonts w:ascii="Minion Pro" w:hAnsi="Minion Pro" w:cs="Arial"/>
          <w:sz w:val="24"/>
          <w:szCs w:val="24"/>
        </w:rPr>
      </w:pPr>
      <w:r w:rsidRPr="00BC2DC4">
        <w:rPr>
          <w:rFonts w:ascii="Minion Pro" w:hAnsi="Minion Pro" w:eastAsiaTheme="majorEastAsia" w:cstheme="majorBidi"/>
          <w:color w:val="F29100"/>
          <w:sz w:val="24"/>
          <w:szCs w:val="24"/>
        </w:rPr>
        <w:t xml:space="preserve">How should decisions on English devolution be agreed? </w:t>
      </w:r>
    </w:p>
    <w:p w:rsidR="00856E5D" w:rsidRPr="00BC2DC4" w:rsidP="00751111">
      <w:pPr>
        <w:jc w:val="both"/>
        <w:rPr>
          <w:rFonts w:ascii="Minion Pro" w:hAnsi="Minion Pro" w:cs="Arial"/>
          <w:sz w:val="24"/>
          <w:szCs w:val="24"/>
        </w:rPr>
      </w:pPr>
      <w:r w:rsidRPr="00BC2DC4">
        <w:rPr>
          <w:rFonts w:ascii="Minion Pro" w:hAnsi="Minion Pro" w:cs="Arial"/>
          <w:sz w:val="24"/>
          <w:szCs w:val="24"/>
        </w:rPr>
        <w:t xml:space="preserve">There needs to be a </w:t>
      </w:r>
      <w:r w:rsidRPr="00BC2DC4">
        <w:rPr>
          <w:rFonts w:ascii="Minion Pro" w:hAnsi="Minion Pro" w:cs="Arial"/>
          <w:sz w:val="24"/>
          <w:szCs w:val="24"/>
        </w:rPr>
        <w:t xml:space="preserve">comprehensive devolution framework, but this framework must be </w:t>
      </w:r>
      <w:r w:rsidRPr="00BC2DC4">
        <w:rPr>
          <w:rFonts w:ascii="Minion Pro" w:hAnsi="Minion Pro" w:cs="Arial"/>
          <w:sz w:val="24"/>
          <w:szCs w:val="24"/>
        </w:rPr>
        <w:t>locally-led</w:t>
      </w:r>
      <w:r w:rsidRPr="00BC2DC4">
        <w:rPr>
          <w:rFonts w:ascii="Minion Pro" w:hAnsi="Minion Pro" w:cs="Arial"/>
          <w:sz w:val="24"/>
          <w:szCs w:val="24"/>
        </w:rPr>
        <w:t xml:space="preserve"> and principles based. Admittedly the term ‘framework’ does have top-down connotations, so there may be a better way to label it. But the way in which decisions on English devolution</w:t>
      </w:r>
      <w:r w:rsidRPr="00BC2DC4">
        <w:rPr>
          <w:rFonts w:ascii="Minion Pro" w:hAnsi="Minion Pro" w:cs="Arial"/>
          <w:sz w:val="24"/>
          <w:szCs w:val="24"/>
        </w:rPr>
        <w:t xml:space="preserve"> should be agreed must be the product of conversation and collaboration between local leaders, local communities and central Government.</w:t>
      </w:r>
    </w:p>
    <w:p w:rsidR="00856E5D" w:rsidRPr="00BC2DC4" w:rsidP="00751111">
      <w:pPr>
        <w:jc w:val="both"/>
        <w:rPr>
          <w:rFonts w:ascii="Minion Pro" w:hAnsi="Minion Pro" w:cs="Arial"/>
          <w:sz w:val="24"/>
          <w:szCs w:val="24"/>
        </w:rPr>
      </w:pPr>
      <w:r w:rsidRPr="00BC2DC4">
        <w:rPr>
          <w:rFonts w:ascii="Minion Pro" w:hAnsi="Minion Pro" w:cs="Arial"/>
          <w:sz w:val="24"/>
          <w:szCs w:val="24"/>
        </w:rPr>
        <w:t>It should be a framework of principles with a clear statement of the aims and purpose of devolution as well as the role</w:t>
      </w:r>
      <w:r w:rsidRPr="00BC2DC4">
        <w:rPr>
          <w:rFonts w:ascii="Minion Pro" w:hAnsi="Minion Pro" w:cs="Arial"/>
          <w:sz w:val="24"/>
          <w:szCs w:val="24"/>
        </w:rPr>
        <w:t>s and responsibilities of those tasked with delivering the outcomes. It should be open to both metropolitan and non-metropolitan areas based on the needs and ambitions of each place, as well as promoting flexibility in what kind of arrangements will take s</w:t>
      </w:r>
      <w:r w:rsidRPr="00BC2DC4">
        <w:rPr>
          <w:rFonts w:ascii="Minion Pro" w:hAnsi="Minion Pro" w:cs="Arial"/>
          <w:sz w:val="24"/>
          <w:szCs w:val="24"/>
        </w:rPr>
        <w:t>hape locally - arrangements being agreed with an understanding of the capabilities and capacities of local areas. If a framework is too detailed and rigid it runs the risk of imposing uniformity and disregarding local divergence.</w:t>
      </w:r>
    </w:p>
    <w:p w:rsidR="00856E5D" w:rsidRPr="00BC2DC4" w:rsidP="00751111">
      <w:pPr>
        <w:jc w:val="both"/>
        <w:rPr>
          <w:rFonts w:ascii="Minion Pro" w:hAnsi="Minion Pro" w:cs="Arial"/>
          <w:sz w:val="24"/>
          <w:szCs w:val="24"/>
        </w:rPr>
      </w:pPr>
      <w:r w:rsidRPr="00BC2DC4">
        <w:rPr>
          <w:rFonts w:ascii="Minion Pro" w:hAnsi="Minion Pro" w:cs="Arial"/>
          <w:sz w:val="24"/>
          <w:szCs w:val="24"/>
        </w:rPr>
        <w:t xml:space="preserve">Without </w:t>
      </w:r>
      <w:r w:rsidRPr="00BC2DC4">
        <w:rPr>
          <w:rFonts w:ascii="Minion Pro" w:hAnsi="Minion Pro" w:cs="Arial"/>
          <w:sz w:val="24"/>
          <w:szCs w:val="24"/>
        </w:rPr>
        <w:t>some kind of frame</w:t>
      </w:r>
      <w:r w:rsidRPr="00BC2DC4">
        <w:rPr>
          <w:rFonts w:ascii="Minion Pro" w:hAnsi="Minion Pro" w:cs="Arial"/>
          <w:sz w:val="24"/>
          <w:szCs w:val="24"/>
        </w:rPr>
        <w:t>work</w:t>
      </w:r>
      <w:r w:rsidRPr="00BC2DC4">
        <w:rPr>
          <w:rFonts w:ascii="Minion Pro" w:hAnsi="Minion Pro" w:cs="Arial"/>
          <w:sz w:val="24"/>
          <w:szCs w:val="24"/>
        </w:rPr>
        <w:t>, there is a worry that mechanisms will be established which might duplicate and overlap with existing governance arrangements. The process attached to formulating and designing a framework for those mechanisms will mean that all those involved will be</w:t>
      </w:r>
      <w:r w:rsidRPr="00BC2DC4">
        <w:rPr>
          <w:rFonts w:ascii="Minion Pro" w:hAnsi="Minion Pro" w:cs="Arial"/>
          <w:sz w:val="24"/>
          <w:szCs w:val="24"/>
        </w:rPr>
        <w:t xml:space="preserve"> participating in design with a clear outcome in mind, to make provision for how constituent parts will work together</w:t>
      </w:r>
      <w:r>
        <w:rPr>
          <w:rFonts w:ascii="Minion Pro" w:hAnsi="Minion Pro" w:cs="Arial"/>
          <w:sz w:val="24"/>
          <w:szCs w:val="24"/>
        </w:rPr>
        <w:footnoteReference w:id="11"/>
      </w:r>
      <w:r w:rsidRPr="00BC2DC4">
        <w:rPr>
          <w:rFonts w:ascii="Minion Pro" w:hAnsi="Minion Pro" w:cs="Arial"/>
          <w:sz w:val="24"/>
          <w:szCs w:val="24"/>
        </w:rPr>
        <w:t>.</w:t>
      </w:r>
    </w:p>
    <w:p w:rsidR="00856E5D" w:rsidRPr="00BC2DC4" w:rsidP="00751111">
      <w:pPr>
        <w:jc w:val="both"/>
        <w:rPr>
          <w:rFonts w:ascii="Minion Pro" w:hAnsi="Minion Pro" w:cs="Arial"/>
          <w:sz w:val="24"/>
          <w:szCs w:val="24"/>
        </w:rPr>
      </w:pPr>
      <w:r w:rsidRPr="00BC2DC4">
        <w:rPr>
          <w:rFonts w:ascii="Minion Pro" w:hAnsi="Minion Pro" w:cs="Arial"/>
          <w:sz w:val="24"/>
          <w:szCs w:val="24"/>
        </w:rPr>
        <w:t>There also needs to be a transparent decision process with all the powers and funding on offer. The devolution deal</w:t>
      </w:r>
      <w:r w:rsidRPr="00BC2DC4">
        <w:rPr>
          <w:rFonts w:ascii="Minion Pro" w:hAnsi="Minion Pro" w:cs="Arial"/>
          <w:sz w:val="24"/>
          <w:szCs w:val="24"/>
        </w:rPr>
        <w:t xml:space="preserve"> making process so far has been opaque, and the formal process has been negotiated for the most part in private.</w:t>
      </w:r>
    </w:p>
    <w:p w:rsidR="00856E5D" w:rsidRPr="00BC2DC4" w:rsidP="00751111">
      <w:pPr>
        <w:jc w:val="both"/>
        <w:rPr>
          <w:rFonts w:ascii="Minion Pro" w:hAnsi="Minion Pro" w:cs="Arial"/>
          <w:sz w:val="24"/>
          <w:szCs w:val="24"/>
        </w:rPr>
      </w:pPr>
      <w:r w:rsidRPr="00BC2DC4">
        <w:rPr>
          <w:rFonts w:ascii="Minion Pro" w:hAnsi="Minion Pro" w:cs="Arial"/>
          <w:sz w:val="24"/>
          <w:szCs w:val="24"/>
        </w:rPr>
        <w:t>The process should go wider than local government forging a sense of a common endeavour, bringing in other partners as part of the combined aut</w:t>
      </w:r>
      <w:r w:rsidRPr="00BC2DC4">
        <w:rPr>
          <w:rFonts w:ascii="Minion Pro" w:hAnsi="Minion Pro" w:cs="Arial"/>
          <w:sz w:val="24"/>
          <w:szCs w:val="24"/>
        </w:rPr>
        <w:t xml:space="preserve">hority footprint. It should be underpinned by a shared narrative for the future of an area. In order to deliver long-term </w:t>
      </w:r>
      <w:r w:rsidRPr="00BC2DC4">
        <w:rPr>
          <w:rFonts w:ascii="Minion Pro" w:hAnsi="Minion Pro" w:cs="Arial"/>
          <w:sz w:val="24"/>
          <w:szCs w:val="24"/>
        </w:rPr>
        <w:t>objectives</w:t>
      </w:r>
      <w:r w:rsidRPr="00BC2DC4">
        <w:rPr>
          <w:rFonts w:ascii="Minion Pro" w:hAnsi="Minion Pro" w:cs="Arial"/>
          <w:sz w:val="24"/>
          <w:szCs w:val="24"/>
        </w:rPr>
        <w:t xml:space="preserve"> there will have to be the inclusion of a wider range of stakeholders, beyond the current central-local focus. </w:t>
      </w:r>
    </w:p>
    <w:p w:rsidR="00856E5D" w:rsidRPr="00BC2DC4" w:rsidP="00751111">
      <w:pPr>
        <w:jc w:val="both"/>
        <w:rPr>
          <w:rFonts w:ascii="Minion Pro" w:hAnsi="Minion Pro" w:cs="Arial"/>
          <w:sz w:val="24"/>
          <w:szCs w:val="24"/>
        </w:rPr>
      </w:pPr>
      <w:r w:rsidRPr="00BC2DC4">
        <w:rPr>
          <w:rFonts w:ascii="Minion Pro" w:hAnsi="Minion Pro" w:cs="Arial"/>
          <w:sz w:val="24"/>
          <w:szCs w:val="24"/>
        </w:rPr>
        <w:t xml:space="preserve">Considering </w:t>
      </w:r>
      <w:r w:rsidRPr="00BC2DC4">
        <w:rPr>
          <w:rFonts w:ascii="Minion Pro" w:hAnsi="Minion Pro" w:cs="Arial"/>
          <w:sz w:val="24"/>
          <w:szCs w:val="24"/>
        </w:rPr>
        <w:t>the different partners involved - combined authorities, local authorities, Local Enterprise Partnerships and others - there is a tendency to focus on the logistical arrangements and structural / process relationships between those institutions, rather than</w:t>
      </w:r>
      <w:r w:rsidRPr="00BC2DC4">
        <w:rPr>
          <w:rFonts w:ascii="Minion Pro" w:hAnsi="Minion Pro" w:cs="Arial"/>
          <w:sz w:val="24"/>
          <w:szCs w:val="24"/>
        </w:rPr>
        <w:t xml:space="preserve"> thinking about the behaviours and relationships that will enable the outcomes they have to deliver overall. This will require collective leadership and a shared understanding of the purpose of what these governance structures are trying to achieve. Cultur</w:t>
      </w:r>
      <w:r w:rsidRPr="00BC2DC4">
        <w:rPr>
          <w:rFonts w:ascii="Minion Pro" w:hAnsi="Minion Pro" w:cs="Arial"/>
          <w:sz w:val="24"/>
          <w:szCs w:val="24"/>
        </w:rPr>
        <w:t xml:space="preserve">e – behaviours, attitudes and values – are crucial components for success, but have often been overlooked. </w:t>
      </w:r>
    </w:p>
    <w:p w:rsidR="00856E5D" w:rsidRPr="00BC2DC4" w:rsidP="00751111">
      <w:pPr>
        <w:jc w:val="both"/>
        <w:rPr>
          <w:rFonts w:ascii="Minion Pro" w:hAnsi="Minion Pro" w:cs="Arial"/>
          <w:sz w:val="24"/>
          <w:szCs w:val="24"/>
        </w:rPr>
      </w:pPr>
      <w:r w:rsidRPr="00BC2DC4">
        <w:rPr>
          <w:rFonts w:ascii="Minion Pro" w:hAnsi="Minion Pro" w:cs="Arial"/>
          <w:sz w:val="24"/>
          <w:szCs w:val="24"/>
        </w:rPr>
        <w:t xml:space="preserve">An electoral cycle is comparatively short, when devolution objectives will most likely have a lifespan of 20-30 years, and so there will have to be </w:t>
      </w:r>
      <w:r w:rsidRPr="00BC2DC4">
        <w:rPr>
          <w:rFonts w:ascii="Minion Pro" w:hAnsi="Minion Pro" w:cs="Arial"/>
          <w:sz w:val="24"/>
          <w:szCs w:val="24"/>
        </w:rPr>
        <w:t>a public conversation with multiple partners if meaningful long-term success is going to happen. Clarity of purpose means that Mayors will have to consider how they work within the framework provided by their predecessors, and the way they mould that previ</w:t>
      </w:r>
      <w:r w:rsidRPr="00BC2DC4">
        <w:rPr>
          <w:rFonts w:ascii="Minion Pro" w:hAnsi="Minion Pro" w:cs="Arial"/>
          <w:sz w:val="24"/>
          <w:szCs w:val="24"/>
        </w:rPr>
        <w:t>ous work to meet their own political priorities. But the level of public engagement and consultation in respect of devolution needs to recognise that the public are not interested in governance structures at sub-regional level but are interested in outcome</w:t>
      </w:r>
      <w:r w:rsidRPr="00BC2DC4">
        <w:rPr>
          <w:rFonts w:ascii="Minion Pro" w:hAnsi="Minion Pro" w:cs="Arial"/>
          <w:sz w:val="24"/>
          <w:szCs w:val="24"/>
        </w:rPr>
        <w:t>s.</w:t>
      </w:r>
    </w:p>
    <w:p w:rsidR="00856E5D" w:rsidRPr="00BC2DC4" w:rsidP="00751111">
      <w:pPr>
        <w:jc w:val="both"/>
        <w:rPr>
          <w:rFonts w:ascii="Minion Pro" w:hAnsi="Minion Pro" w:cs="Arial"/>
          <w:sz w:val="24"/>
          <w:szCs w:val="24"/>
        </w:rPr>
      </w:pPr>
      <w:r w:rsidRPr="00BC2DC4">
        <w:rPr>
          <w:rFonts w:ascii="Minion Pro" w:hAnsi="Minion Pro" w:cs="Arial"/>
          <w:sz w:val="24"/>
          <w:szCs w:val="24"/>
        </w:rPr>
        <w:t xml:space="preserve">When considering the outcomes of devolution in England, there is the reality of a distinct and significant imbalance between different areas. The agreed outcomes arrived at through the process of devolution to a </w:t>
      </w:r>
      <w:r w:rsidRPr="00BC2DC4">
        <w:rPr>
          <w:rFonts w:ascii="Minion Pro" w:hAnsi="Minion Pro" w:cs="Arial"/>
          <w:sz w:val="24"/>
          <w:szCs w:val="24"/>
        </w:rPr>
        <w:t>particular area</w:t>
      </w:r>
      <w:r w:rsidRPr="00BC2DC4">
        <w:rPr>
          <w:rFonts w:ascii="Minion Pro" w:hAnsi="Minion Pro" w:cs="Arial"/>
          <w:sz w:val="24"/>
          <w:szCs w:val="24"/>
        </w:rPr>
        <w:t xml:space="preserve"> should be assessed on the</w:t>
      </w:r>
      <w:r w:rsidRPr="00BC2DC4">
        <w:rPr>
          <w:rFonts w:ascii="Minion Pro" w:hAnsi="Minion Pro" w:cs="Arial"/>
          <w:sz w:val="24"/>
          <w:szCs w:val="24"/>
        </w:rPr>
        <w:t xml:space="preserve">ir own terms with ongoing </w:t>
      </w:r>
      <w:r w:rsidRPr="00BC2DC4">
        <w:rPr>
          <w:rFonts w:ascii="Minion Pro" w:hAnsi="Minion Pro" w:cs="Arial"/>
          <w:sz w:val="24"/>
          <w:szCs w:val="24"/>
        </w:rPr>
        <w:t>local measures. Especially involving transparency and public dialogue around whether expectations are on course to be met, and how funds are being allocated to produce maximum social value.</w:t>
      </w:r>
    </w:p>
    <w:p w:rsidR="00856E5D" w:rsidRPr="00BC2DC4" w:rsidP="00751111">
      <w:pPr>
        <w:jc w:val="both"/>
        <w:rPr>
          <w:rFonts w:ascii="Minion Pro" w:hAnsi="Minion Pro" w:cs="Arial"/>
          <w:sz w:val="24"/>
          <w:szCs w:val="24"/>
        </w:rPr>
      </w:pPr>
      <w:r w:rsidRPr="00BC2DC4">
        <w:rPr>
          <w:rFonts w:ascii="Minion Pro" w:hAnsi="Minion Pro" w:cs="Arial"/>
          <w:sz w:val="24"/>
          <w:szCs w:val="24"/>
        </w:rPr>
        <w:t>We have previously suggested the creatio</w:t>
      </w:r>
      <w:r w:rsidRPr="00BC2DC4">
        <w:rPr>
          <w:rFonts w:ascii="Minion Pro" w:hAnsi="Minion Pro" w:cs="Arial"/>
          <w:sz w:val="24"/>
          <w:szCs w:val="24"/>
        </w:rPr>
        <w:t>n of a “constitution for the place”</w:t>
      </w:r>
      <w:r>
        <w:rPr>
          <w:rFonts w:ascii="Minion Pro" w:hAnsi="Minion Pro" w:cs="Arial"/>
          <w:sz w:val="24"/>
          <w:szCs w:val="24"/>
        </w:rPr>
        <w:footnoteReference w:id="12"/>
      </w:r>
      <w:r w:rsidRPr="00BC2DC4">
        <w:rPr>
          <w:rFonts w:ascii="Minion Pro" w:hAnsi="Minion Pro" w:cs="Arial"/>
          <w:sz w:val="24"/>
          <w:szCs w:val="24"/>
        </w:rPr>
        <w:t xml:space="preserve">, an evolution of agreements piloted by Wigan and Preston amongst other areas. This would serve as way for the public to input into a document to articulate how devolution has been agreed, and what it will entail. </w:t>
      </w:r>
    </w:p>
    <w:p w:rsidR="00856E5D" w:rsidRPr="00BC2DC4" w:rsidP="00751111">
      <w:pPr>
        <w:jc w:val="both"/>
        <w:rPr>
          <w:rFonts w:ascii="Minion Pro" w:hAnsi="Minion Pro" w:cs="Arial"/>
          <w:sz w:val="24"/>
          <w:szCs w:val="24"/>
        </w:rPr>
      </w:pPr>
      <w:r w:rsidRPr="00BC2DC4">
        <w:rPr>
          <w:rFonts w:ascii="Minion Pro" w:hAnsi="Minion Pro" w:cs="Arial"/>
          <w:sz w:val="24"/>
          <w:szCs w:val="24"/>
        </w:rPr>
        <w:t xml:space="preserve">The </w:t>
      </w:r>
      <w:r w:rsidRPr="00BC2DC4">
        <w:rPr>
          <w:rFonts w:ascii="Minion Pro" w:hAnsi="Minion Pro" w:cs="Arial"/>
          <w:sz w:val="24"/>
          <w:szCs w:val="24"/>
        </w:rPr>
        <w:t>constitution for the place would:</w:t>
      </w:r>
    </w:p>
    <w:p w:rsidR="00856E5D" w:rsidRPr="00BC2DC4" w:rsidP="00751111">
      <w:pPr>
        <w:numPr>
          <w:ilvl w:val="0"/>
          <w:numId w:val="43"/>
        </w:numPr>
        <w:spacing w:before="100" w:beforeAutospacing="1" w:after="100" w:afterAutospacing="1"/>
        <w:jc w:val="both"/>
        <w:rPr>
          <w:rFonts w:ascii="Minion Pro" w:hAnsi="Minion Pro" w:cs="Arial"/>
          <w:sz w:val="24"/>
          <w:szCs w:val="24"/>
        </w:rPr>
      </w:pPr>
      <w:r w:rsidRPr="00BC2DC4">
        <w:rPr>
          <w:rFonts w:ascii="Minion Pro" w:hAnsi="Minion Pro" w:cs="Arial"/>
          <w:sz w:val="24"/>
          <w:szCs w:val="24"/>
        </w:rPr>
        <w:t>Create a framework which allows agreement of mutually endorsed outcomes and priorities;</w:t>
      </w:r>
    </w:p>
    <w:p w:rsidR="00856E5D" w:rsidRPr="00BC2DC4" w:rsidP="00751111">
      <w:pPr>
        <w:numPr>
          <w:ilvl w:val="0"/>
          <w:numId w:val="43"/>
        </w:numPr>
        <w:spacing w:before="100" w:beforeAutospacing="1" w:after="100" w:afterAutospacing="1"/>
        <w:jc w:val="both"/>
        <w:rPr>
          <w:rFonts w:ascii="Minion Pro" w:hAnsi="Minion Pro" w:cs="Arial"/>
          <w:sz w:val="24"/>
          <w:szCs w:val="24"/>
        </w:rPr>
      </w:pPr>
      <w:r w:rsidRPr="00BC2DC4">
        <w:rPr>
          <w:rFonts w:ascii="Minion Pro" w:hAnsi="Minion Pro" w:cs="Arial"/>
          <w:sz w:val="24"/>
          <w:szCs w:val="24"/>
        </w:rPr>
        <w:t>Be owned by all local partners and leaders in an area (bearing in mind our broad definition of “leaders” and leadership);</w:t>
      </w:r>
    </w:p>
    <w:p w:rsidR="00856E5D" w:rsidRPr="00BC2DC4" w:rsidP="00751111">
      <w:pPr>
        <w:numPr>
          <w:ilvl w:val="0"/>
          <w:numId w:val="43"/>
        </w:numPr>
        <w:spacing w:before="100" w:beforeAutospacing="1" w:after="100" w:afterAutospacing="1"/>
        <w:jc w:val="both"/>
        <w:rPr>
          <w:rFonts w:ascii="Minion Pro" w:hAnsi="Minion Pro" w:cs="Arial"/>
          <w:sz w:val="24"/>
          <w:szCs w:val="24"/>
        </w:rPr>
      </w:pPr>
      <w:r w:rsidRPr="00BC2DC4">
        <w:rPr>
          <w:rFonts w:ascii="Minion Pro" w:hAnsi="Minion Pro" w:cs="Arial"/>
          <w:sz w:val="24"/>
          <w:szCs w:val="24"/>
        </w:rPr>
        <w:t>Provide a me</w:t>
      </w:r>
      <w:r w:rsidRPr="00BC2DC4">
        <w:rPr>
          <w:rFonts w:ascii="Minion Pro" w:hAnsi="Minion Pro" w:cs="Arial"/>
          <w:sz w:val="24"/>
          <w:szCs w:val="24"/>
        </w:rPr>
        <w:t>chanism for leaders, across the place, to hold each other to account;</w:t>
      </w:r>
    </w:p>
    <w:p w:rsidR="00856E5D" w:rsidRPr="00BC2DC4" w:rsidP="00751111">
      <w:pPr>
        <w:numPr>
          <w:ilvl w:val="0"/>
          <w:numId w:val="43"/>
        </w:numPr>
        <w:spacing w:before="100" w:beforeAutospacing="1" w:after="100" w:afterAutospacing="1"/>
        <w:jc w:val="both"/>
        <w:rPr>
          <w:rFonts w:ascii="Minion Pro" w:hAnsi="Minion Pro" w:cs="Arial"/>
          <w:sz w:val="24"/>
          <w:szCs w:val="24"/>
        </w:rPr>
      </w:pPr>
      <w:r w:rsidRPr="00BC2DC4">
        <w:rPr>
          <w:rFonts w:ascii="Minion Pro" w:hAnsi="Minion Pro" w:cs="Arial"/>
          <w:sz w:val="24"/>
          <w:szCs w:val="24"/>
        </w:rPr>
        <w:t>Clearly articulate roles and responsibilities, and set out the framework for collaboration and deliberative decision-making;</w:t>
      </w:r>
    </w:p>
    <w:p w:rsidR="00856E5D" w:rsidRPr="00BC2DC4" w:rsidP="00751111">
      <w:pPr>
        <w:numPr>
          <w:ilvl w:val="0"/>
          <w:numId w:val="43"/>
        </w:numPr>
        <w:spacing w:before="100" w:beforeAutospacing="1" w:after="100" w:afterAutospacing="1"/>
        <w:jc w:val="both"/>
        <w:rPr>
          <w:rFonts w:ascii="Minion Pro" w:hAnsi="Minion Pro" w:cs="Arial"/>
          <w:sz w:val="24"/>
          <w:szCs w:val="24"/>
        </w:rPr>
      </w:pPr>
      <w:r w:rsidRPr="00BC2DC4">
        <w:rPr>
          <w:rFonts w:ascii="Minion Pro" w:hAnsi="Minion Pro" w:cs="Arial"/>
          <w:sz w:val="24"/>
          <w:szCs w:val="24"/>
        </w:rPr>
        <w:t>Express the new behaviours – including the new political cult</w:t>
      </w:r>
      <w:r w:rsidRPr="00BC2DC4">
        <w:rPr>
          <w:rFonts w:ascii="Minion Pro" w:hAnsi="Minion Pro" w:cs="Arial"/>
          <w:sz w:val="24"/>
          <w:szCs w:val="24"/>
        </w:rPr>
        <w:t>ure – necessary for these things to be successful;</w:t>
      </w:r>
    </w:p>
    <w:p w:rsidR="00856E5D" w:rsidRPr="00BC2DC4" w:rsidP="00751111">
      <w:pPr>
        <w:numPr>
          <w:ilvl w:val="0"/>
          <w:numId w:val="43"/>
        </w:numPr>
        <w:spacing w:before="100" w:beforeAutospacing="1" w:after="100" w:afterAutospacing="1"/>
        <w:jc w:val="both"/>
        <w:rPr>
          <w:rFonts w:ascii="Minion Pro" w:hAnsi="Minion Pro" w:cs="Arial"/>
          <w:sz w:val="24"/>
          <w:szCs w:val="24"/>
        </w:rPr>
      </w:pPr>
      <w:r w:rsidRPr="00BC2DC4">
        <w:rPr>
          <w:rFonts w:ascii="Minion Pro" w:hAnsi="Minion Pro" w:cs="Arial"/>
          <w:sz w:val="24"/>
          <w:szCs w:val="24"/>
        </w:rPr>
        <w:t>Establish the changes that councils and other bodies might need to make to their governance and communications systems for this to work;</w:t>
      </w:r>
    </w:p>
    <w:p w:rsidR="00751111" w:rsidRPr="00BC2DC4" w:rsidP="00751111">
      <w:pPr>
        <w:numPr>
          <w:ilvl w:val="0"/>
          <w:numId w:val="43"/>
        </w:numPr>
        <w:spacing w:before="100" w:beforeAutospacing="1" w:after="100" w:afterAutospacing="1"/>
        <w:jc w:val="both"/>
        <w:rPr>
          <w:rFonts w:ascii="Minion Pro" w:hAnsi="Minion Pro"/>
          <w:sz w:val="24"/>
          <w:szCs w:val="24"/>
        </w:rPr>
      </w:pPr>
      <w:r w:rsidRPr="00BC2DC4">
        <w:rPr>
          <w:rFonts w:ascii="Minion Pro" w:hAnsi="Minion Pro" w:cs="Arial"/>
          <w:sz w:val="24"/>
          <w:szCs w:val="24"/>
        </w:rPr>
        <w:t>Establish how information sharing, transparency, insight/evidence-le</w:t>
      </w:r>
      <w:r w:rsidRPr="00BC2DC4">
        <w:rPr>
          <w:rFonts w:ascii="Minion Pro" w:hAnsi="Minion Pro" w:cs="Arial"/>
          <w:sz w:val="24"/>
          <w:szCs w:val="24"/>
        </w:rPr>
        <w:t xml:space="preserve">d decision- making will operate. </w:t>
      </w:r>
    </w:p>
    <w:p w:rsidR="00856E5D" w:rsidRPr="00BC2DC4" w:rsidP="00751111">
      <w:pPr>
        <w:spacing w:before="100" w:beforeAutospacing="1" w:after="100" w:afterAutospacing="1"/>
        <w:jc w:val="both"/>
        <w:rPr>
          <w:rFonts w:ascii="Minion Pro" w:hAnsi="Minion Pro"/>
          <w:sz w:val="24"/>
          <w:szCs w:val="24"/>
        </w:rPr>
      </w:pPr>
      <w:r w:rsidRPr="00BC2DC4">
        <w:rPr>
          <w:rFonts w:ascii="Minion Pro" w:hAnsi="Minion Pro" w:eastAsiaTheme="majorEastAsia" w:cstheme="majorBidi"/>
          <w:color w:val="F29100"/>
          <w:sz w:val="24"/>
          <w:szCs w:val="24"/>
        </w:rPr>
        <w:t>How should the interests of different parts or regions of England be better represented to central government and in intergovernmental arrangements as well as in Parliament?</w:t>
      </w:r>
    </w:p>
    <w:p w:rsidR="00856E5D" w:rsidRPr="00BC2DC4" w:rsidP="00751111">
      <w:pPr>
        <w:jc w:val="both"/>
        <w:rPr>
          <w:rFonts w:ascii="Minion Pro" w:hAnsi="Minion Pro" w:cs="Arial"/>
          <w:sz w:val="24"/>
          <w:szCs w:val="24"/>
        </w:rPr>
      </w:pPr>
      <w:r w:rsidRPr="00BC2DC4">
        <w:rPr>
          <w:rFonts w:ascii="Minion Pro" w:hAnsi="Minion Pro" w:cs="Arial"/>
          <w:sz w:val="24"/>
          <w:szCs w:val="24"/>
        </w:rPr>
        <w:t>English regions should be better represented, an</w:t>
      </w:r>
      <w:r w:rsidRPr="00BC2DC4">
        <w:rPr>
          <w:rFonts w:ascii="Minion Pro" w:hAnsi="Minion Pro" w:cs="Arial"/>
          <w:sz w:val="24"/>
          <w:szCs w:val="24"/>
        </w:rPr>
        <w:t>d the Government could develop mechanisms for including Mayors and other local leaders in Parliamentary committees. Cabinet committees and certain Departmental Boards may be a place to have Mayoral involvement. Yet the representation needs to work both way</w:t>
      </w:r>
      <w:r w:rsidRPr="00BC2DC4">
        <w:rPr>
          <w:rFonts w:ascii="Minion Pro" w:hAnsi="Minion Pro" w:cs="Arial"/>
          <w:sz w:val="24"/>
          <w:szCs w:val="24"/>
        </w:rPr>
        <w:t xml:space="preserve">s, there should be dedicated representatives from central Government within devolved areas or English regions. </w:t>
      </w:r>
    </w:p>
    <w:p w:rsidR="00856E5D" w:rsidRPr="00BC2DC4" w:rsidP="00751111">
      <w:pPr>
        <w:jc w:val="both"/>
        <w:rPr>
          <w:rFonts w:ascii="Minion Pro" w:hAnsi="Minion Pro" w:cs="Arial"/>
          <w:sz w:val="24"/>
          <w:szCs w:val="24"/>
        </w:rPr>
      </w:pPr>
      <w:r w:rsidRPr="00BC2DC4">
        <w:rPr>
          <w:rFonts w:ascii="Minion Pro" w:hAnsi="Minion Pro" w:cs="Arial"/>
          <w:sz w:val="24"/>
          <w:szCs w:val="24"/>
        </w:rPr>
        <w:t>We do not argue for the re-establishment of the regional Government Offices, but the developing agenda for parts of the central Civil Service to</w:t>
      </w:r>
      <w:r w:rsidRPr="00BC2DC4">
        <w:rPr>
          <w:rFonts w:ascii="Minion Pro" w:hAnsi="Minion Pro" w:cs="Arial"/>
          <w:sz w:val="24"/>
          <w:szCs w:val="24"/>
        </w:rPr>
        <w:t xml:space="preserve"> move to more regions of the country could be seen an element of this. </w:t>
      </w:r>
    </w:p>
    <w:p w:rsidR="00A804F1" w:rsidRPr="00BC2DC4" w:rsidP="00751111">
      <w:pPr>
        <w:jc w:val="both"/>
        <w:rPr>
          <w:rFonts w:ascii="Minion Pro" w:hAnsi="Minion Pro" w:cs="Arial"/>
          <w:sz w:val="24"/>
          <w:szCs w:val="24"/>
        </w:rPr>
      </w:pPr>
      <w:r w:rsidRPr="00BC2DC4">
        <w:rPr>
          <w:rFonts w:ascii="Minion Pro" w:hAnsi="Minion Pro" w:cs="Arial"/>
          <w:sz w:val="24"/>
          <w:szCs w:val="24"/>
        </w:rPr>
        <w:t xml:space="preserve">Until clear arrangements for devolution in England are made and applied, understanding how – structurally – such arrangements should be organised at a national level feel speculative. </w:t>
      </w:r>
      <w:r w:rsidRPr="00BC2DC4">
        <w:rPr>
          <w:rFonts w:ascii="Minion Pro" w:hAnsi="Minion Pro" w:cs="Arial"/>
          <w:sz w:val="24"/>
          <w:szCs w:val="24"/>
        </w:rPr>
        <w:br/>
      </w:r>
    </w:p>
    <w:p w:rsidR="00856E5D" w:rsidRPr="00BC2DC4" w:rsidP="00751111">
      <w:pPr>
        <w:jc w:val="both"/>
        <w:rPr>
          <w:rFonts w:ascii="Minion Pro" w:hAnsi="Minion Pro" w:cs="Arial"/>
          <w:sz w:val="24"/>
          <w:szCs w:val="24"/>
        </w:rPr>
      </w:pPr>
      <w:r w:rsidRPr="00BC2DC4">
        <w:rPr>
          <w:rFonts w:ascii="Minion Pro" w:hAnsi="Minion Pro" w:eastAsiaTheme="majorEastAsia" w:cstheme="majorBidi"/>
          <w:color w:val="F29100"/>
          <w:sz w:val="24"/>
          <w:szCs w:val="24"/>
        </w:rPr>
        <w:t>Is there a public demand for such structures/measures? On what basis should the form, geography and extent of devolved regions or areas be determined, and what should be the role of culture and identity?</w:t>
      </w:r>
    </w:p>
    <w:p w:rsidR="00856E5D" w:rsidRPr="00BC2DC4" w:rsidP="00751111">
      <w:pPr>
        <w:jc w:val="both"/>
        <w:rPr>
          <w:rFonts w:ascii="Minion Pro" w:hAnsi="Minion Pro" w:cs="Arial"/>
          <w:sz w:val="24"/>
          <w:szCs w:val="24"/>
        </w:rPr>
      </w:pPr>
      <w:r w:rsidRPr="00BC2DC4">
        <w:rPr>
          <w:rFonts w:ascii="Minion Pro" w:hAnsi="Minion Pro" w:cs="Arial"/>
          <w:sz w:val="24"/>
          <w:szCs w:val="24"/>
        </w:rPr>
        <w:t>Public opinion and its support for devolution in E</w:t>
      </w:r>
      <w:r w:rsidRPr="00BC2DC4">
        <w:rPr>
          <w:rFonts w:ascii="Minion Pro" w:hAnsi="Minion Pro" w:cs="Arial"/>
          <w:sz w:val="24"/>
          <w:szCs w:val="24"/>
        </w:rPr>
        <w:t>ngland is at best occluded. Whilst there may not be strong public demand for devolution or new tiers of governance (and little interest in “structures” specifically), there is certainly interest in the outcomes of devolution and in wanting decisions that a</w:t>
      </w:r>
      <w:r w:rsidRPr="00BC2DC4">
        <w:rPr>
          <w:rFonts w:ascii="Minion Pro" w:hAnsi="Minion Pro" w:cs="Arial"/>
          <w:sz w:val="24"/>
          <w:szCs w:val="24"/>
        </w:rPr>
        <w:t xml:space="preserve">ffect people happening closer to where they are. There is public recognition of the credibility and legitimacy of local institutions and in ensuring that decision-makers can be held robustly to account. </w:t>
      </w:r>
    </w:p>
    <w:p w:rsidR="00856E5D" w:rsidRPr="00BC2DC4" w:rsidP="00751111">
      <w:pPr>
        <w:spacing w:after="0"/>
        <w:jc w:val="both"/>
        <w:rPr>
          <w:rFonts w:ascii="Minion Pro" w:hAnsi="Minion Pro" w:cs="Arial"/>
          <w:sz w:val="24"/>
          <w:szCs w:val="24"/>
        </w:rPr>
      </w:pPr>
      <w:r w:rsidRPr="00BC2DC4">
        <w:rPr>
          <w:rFonts w:ascii="Minion Pro" w:hAnsi="Minion Pro" w:cs="Arial"/>
          <w:sz w:val="24"/>
          <w:szCs w:val="24"/>
        </w:rPr>
        <w:t xml:space="preserve">There are examples of very public accountability of </w:t>
      </w:r>
      <w:r w:rsidRPr="00BC2DC4">
        <w:rPr>
          <w:rFonts w:ascii="Minion Pro" w:hAnsi="Minion Pro" w:cs="Arial"/>
          <w:sz w:val="24"/>
          <w:szCs w:val="24"/>
        </w:rPr>
        <w:t>Mayors, like the Greater London Assembly conducting the public Mayor’s Question Time meetings ten times a year. The Mayor of Greater Manchester travels around each of the ten authorities to hold open public question times. The Mayor of the West Midlands al</w:t>
      </w:r>
      <w:r w:rsidRPr="00BC2DC4">
        <w:rPr>
          <w:rFonts w:ascii="Minion Pro" w:hAnsi="Minion Pro" w:cs="Arial"/>
          <w:sz w:val="24"/>
          <w:szCs w:val="24"/>
        </w:rPr>
        <w:t xml:space="preserve">so attends formal public question sessions with the combined authority Overview and Scrutiny committee a minimum of two times a year. </w:t>
      </w:r>
    </w:p>
    <w:p w:rsidR="00856E5D" w:rsidRPr="00BC2DC4" w:rsidP="00751111">
      <w:pPr>
        <w:spacing w:after="0"/>
        <w:jc w:val="both"/>
        <w:rPr>
          <w:rFonts w:ascii="Minion Pro" w:hAnsi="Minion Pro" w:cs="Arial"/>
          <w:sz w:val="24"/>
          <w:szCs w:val="24"/>
        </w:rPr>
      </w:pPr>
    </w:p>
    <w:p w:rsidR="00856E5D" w:rsidRPr="00BC2DC4" w:rsidP="00751111">
      <w:pPr>
        <w:jc w:val="both"/>
        <w:rPr>
          <w:rFonts w:ascii="Minion Pro" w:hAnsi="Minion Pro" w:cs="Arial"/>
          <w:sz w:val="24"/>
          <w:szCs w:val="24"/>
        </w:rPr>
      </w:pPr>
      <w:r w:rsidRPr="00BC2DC4">
        <w:rPr>
          <w:rFonts w:ascii="Minion Pro" w:hAnsi="Minion Pro" w:cs="Arial"/>
          <w:sz w:val="24"/>
          <w:szCs w:val="24"/>
        </w:rPr>
        <w:t xml:space="preserve">Whilst many Mayors have garnered an increasingly high public profile, there is not always a great </w:t>
      </w:r>
      <w:r w:rsidRPr="00BC2DC4">
        <w:rPr>
          <w:rFonts w:ascii="Minion Pro" w:hAnsi="Minion Pro" w:cs="Arial"/>
          <w:sz w:val="24"/>
          <w:szCs w:val="24"/>
        </w:rPr>
        <w:t>understanding of the services that different tiers of local government provide and their concurrent responsibilities, and there is progress to be made in raising the public awareness of the Mayoral role - beyond the recognition achieved by the Mayor of Lon</w:t>
      </w:r>
      <w:r w:rsidRPr="00BC2DC4">
        <w:rPr>
          <w:rFonts w:ascii="Minion Pro" w:hAnsi="Minion Pro" w:cs="Arial"/>
          <w:sz w:val="24"/>
          <w:szCs w:val="24"/>
        </w:rPr>
        <w:t xml:space="preserve">don and Mayor of Greater Manchester. Unsurprisingly, confusion exists in places where metro Mayoral positions overlap with local authority Mayors, as in Liverpool and Bristol – but local media and civic education have a role to play here. </w:t>
      </w:r>
    </w:p>
    <w:p w:rsidR="00856E5D" w:rsidRPr="00BC2DC4" w:rsidP="00751111">
      <w:pPr>
        <w:jc w:val="both"/>
        <w:rPr>
          <w:rFonts w:ascii="Minion Pro" w:hAnsi="Minion Pro" w:cs="Arial"/>
          <w:sz w:val="24"/>
          <w:szCs w:val="24"/>
        </w:rPr>
      </w:pPr>
      <w:r w:rsidRPr="00BC2DC4">
        <w:rPr>
          <w:rFonts w:ascii="Minion Pro" w:hAnsi="Minion Pro" w:cs="Arial"/>
          <w:sz w:val="24"/>
          <w:szCs w:val="24"/>
        </w:rPr>
        <w:t xml:space="preserve">Tensions </w:t>
      </w:r>
      <w:r w:rsidRPr="00BC2DC4">
        <w:rPr>
          <w:rFonts w:ascii="Minion Pro" w:hAnsi="Minion Pro" w:cs="Arial"/>
          <w:sz w:val="24"/>
          <w:szCs w:val="24"/>
        </w:rPr>
        <w:t xml:space="preserve">between local, regional and national tiers of government have been brought to the fore over the course of the pandemic, highlighting the effects of devolution on </w:t>
      </w:r>
      <w:r w:rsidRPr="00BC2DC4">
        <w:rPr>
          <w:rFonts w:ascii="Minion Pro" w:hAnsi="Minion Pro" w:cs="Arial"/>
          <w:sz w:val="24"/>
          <w:szCs w:val="24"/>
        </w:rPr>
        <w:t>policy-making</w:t>
      </w:r>
      <w:r w:rsidRPr="00BC2DC4">
        <w:rPr>
          <w:rFonts w:ascii="Minion Pro" w:hAnsi="Minion Pro" w:cs="Arial"/>
          <w:sz w:val="24"/>
          <w:szCs w:val="24"/>
        </w:rPr>
        <w:t>, civic identity, and party politics. Devolution in England can provide an area w</w:t>
      </w:r>
      <w:r w:rsidRPr="00BC2DC4">
        <w:rPr>
          <w:rFonts w:ascii="Minion Pro" w:hAnsi="Minion Pro" w:cs="Arial"/>
          <w:sz w:val="24"/>
          <w:szCs w:val="24"/>
        </w:rPr>
        <w:t>ith distinct policies and voice, although London and Greater Manchester are the most prominent cases in point so far. The recent public dispute between Government and Andy Burnham has drawn greater attention to the regional tier of government in Greater Ma</w:t>
      </w:r>
      <w:r w:rsidRPr="00BC2DC4">
        <w:rPr>
          <w:rFonts w:ascii="Minion Pro" w:hAnsi="Minion Pro" w:cs="Arial"/>
          <w:sz w:val="24"/>
          <w:szCs w:val="24"/>
        </w:rPr>
        <w:t xml:space="preserve">nchester, and provided an extra boost in public awareness of the political importance in the role of Mayors, as both a local champion and a spokesperson escalating issues to the national scale. </w:t>
      </w:r>
    </w:p>
    <w:p w:rsidR="00856E5D" w:rsidRPr="00BC2DC4" w:rsidP="00751111">
      <w:pPr>
        <w:jc w:val="both"/>
        <w:rPr>
          <w:rFonts w:ascii="Minion Pro" w:hAnsi="Minion Pro" w:cs="Arial"/>
          <w:sz w:val="24"/>
          <w:szCs w:val="24"/>
        </w:rPr>
      </w:pPr>
      <w:r w:rsidRPr="00BC2DC4">
        <w:rPr>
          <w:rFonts w:ascii="Minion Pro" w:hAnsi="Minion Pro" w:cs="Arial"/>
          <w:sz w:val="24"/>
          <w:szCs w:val="24"/>
        </w:rPr>
        <w:t>The geography of devolution should take place at the scale mo</w:t>
      </w:r>
      <w:r w:rsidRPr="00BC2DC4">
        <w:rPr>
          <w:rFonts w:ascii="Minion Pro" w:hAnsi="Minion Pro" w:cs="Arial"/>
          <w:sz w:val="24"/>
          <w:szCs w:val="24"/>
        </w:rPr>
        <w:t>st appropriate for outcomes to be delivered.</w:t>
      </w:r>
      <w:r w:rsidRPr="00BC2DC4">
        <w:rPr>
          <w:rFonts w:ascii="Minion Pro" w:hAnsi="Minion Pro"/>
          <w:sz w:val="24"/>
          <w:szCs w:val="24"/>
        </w:rPr>
        <w:t xml:space="preserve"> </w:t>
      </w:r>
      <w:r w:rsidRPr="00BC2DC4">
        <w:rPr>
          <w:rFonts w:ascii="Minion Pro" w:hAnsi="Minion Pro" w:cs="Arial"/>
          <w:sz w:val="24"/>
          <w:szCs w:val="24"/>
        </w:rPr>
        <w:t>Whether it is economic development, skills, infrastructure, health and social care - these are policy areas that cross local authority borders, so devolution will have to capture the geography of those who are i</w:t>
      </w:r>
      <w:r w:rsidRPr="00BC2DC4">
        <w:rPr>
          <w:rFonts w:ascii="Minion Pro" w:hAnsi="Minion Pro" w:cs="Arial"/>
          <w:sz w:val="24"/>
          <w:szCs w:val="24"/>
        </w:rPr>
        <w:t xml:space="preserve">ntended to benefit most from these policies. This will of course be at a strategic level rather than a service delivery </w:t>
      </w:r>
      <w:r w:rsidRPr="00BC2DC4">
        <w:rPr>
          <w:rFonts w:ascii="Minion Pro" w:hAnsi="Minion Pro" w:cs="Arial"/>
          <w:sz w:val="24"/>
          <w:szCs w:val="24"/>
        </w:rPr>
        <w:t>level, and</w:t>
      </w:r>
      <w:r w:rsidRPr="00BC2DC4">
        <w:rPr>
          <w:rFonts w:ascii="Minion Pro" w:hAnsi="Minion Pro" w:cs="Arial"/>
          <w:sz w:val="24"/>
          <w:szCs w:val="24"/>
        </w:rPr>
        <w:t xml:space="preserve"> will need to take into consideration the functional economic area, where people live and work. </w:t>
      </w:r>
      <w:r w:rsidRPr="00BC2DC4">
        <w:rPr>
          <w:rFonts w:ascii="Minion Pro" w:hAnsi="Minion Pro" w:cs="Arial"/>
          <w:sz w:val="24"/>
          <w:szCs w:val="24"/>
        </w:rPr>
        <w:t>This being said, fixating</w:t>
      </w:r>
      <w:r w:rsidRPr="00BC2DC4">
        <w:rPr>
          <w:rFonts w:ascii="Minion Pro" w:hAnsi="Minion Pro" w:cs="Arial"/>
          <w:sz w:val="24"/>
          <w:szCs w:val="24"/>
        </w:rPr>
        <w:t xml:space="preserve"> on t</w:t>
      </w:r>
      <w:r w:rsidRPr="00BC2DC4">
        <w:rPr>
          <w:rFonts w:ascii="Minion Pro" w:hAnsi="Minion Pro" w:cs="Arial"/>
          <w:sz w:val="24"/>
          <w:szCs w:val="24"/>
        </w:rPr>
        <w:t xml:space="preserve">he functional economic area as the appropriate geographical scale for devolution is too rigid an approach, especially concerning more rural regions like Cornwall where this was seen as unsuitable. </w:t>
      </w:r>
    </w:p>
    <w:p w:rsidR="00856E5D" w:rsidRPr="00BC2DC4" w:rsidP="00751111">
      <w:pPr>
        <w:jc w:val="both"/>
        <w:rPr>
          <w:rFonts w:ascii="Minion Pro" w:hAnsi="Minion Pro" w:cs="Arial"/>
          <w:sz w:val="24"/>
          <w:szCs w:val="24"/>
        </w:rPr>
      </w:pPr>
      <w:r w:rsidRPr="00BC2DC4">
        <w:rPr>
          <w:rFonts w:ascii="Minion Pro" w:hAnsi="Minion Pro" w:cs="Arial"/>
          <w:sz w:val="24"/>
          <w:szCs w:val="24"/>
        </w:rPr>
        <w:t>Devolution has tended to follow the logic of administrativ</w:t>
      </w:r>
      <w:r w:rsidRPr="00BC2DC4">
        <w:rPr>
          <w:rFonts w:ascii="Minion Pro" w:hAnsi="Minion Pro" w:cs="Arial"/>
          <w:sz w:val="24"/>
          <w:szCs w:val="24"/>
        </w:rPr>
        <w:t xml:space="preserve">e convenience, attempting to map onto old county council boundaries. Coterminous administrative boundaries are an important </w:t>
      </w:r>
      <w:r w:rsidRPr="00BC2DC4">
        <w:rPr>
          <w:rFonts w:ascii="Minion Pro" w:hAnsi="Minion Pro" w:cs="Arial"/>
          <w:sz w:val="24"/>
          <w:szCs w:val="24"/>
        </w:rPr>
        <w:t xml:space="preserve">aspect - the reality is that we have a system in which few local authorities have </w:t>
      </w:r>
      <w:r w:rsidRPr="00BC2DC4">
        <w:rPr>
          <w:rFonts w:ascii="Minion Pro" w:hAnsi="Minion Pro" w:cs="Arial"/>
          <w:sz w:val="24"/>
          <w:szCs w:val="24"/>
        </w:rPr>
        <w:t>coterminosity</w:t>
      </w:r>
      <w:r w:rsidRPr="00BC2DC4">
        <w:rPr>
          <w:rFonts w:ascii="Minion Pro" w:hAnsi="Minion Pro" w:cs="Arial"/>
          <w:sz w:val="24"/>
          <w:szCs w:val="24"/>
        </w:rPr>
        <w:t xml:space="preserve"> of boundaries with other parts of th</w:t>
      </w:r>
      <w:r w:rsidRPr="00BC2DC4">
        <w:rPr>
          <w:rFonts w:ascii="Minion Pro" w:hAnsi="Minion Pro" w:cs="Arial"/>
          <w:sz w:val="24"/>
          <w:szCs w:val="24"/>
        </w:rPr>
        <w:t>e public sector e.g. Police Force areas, Fire and Rescue areas, NHS Integrated Care Systems, or Local Enterprise Partnerships. This overlapping and disjointed system presents added complications to effective partnership working. The picture is even more co</w:t>
      </w:r>
      <w:r w:rsidRPr="00BC2DC4">
        <w:rPr>
          <w:rFonts w:ascii="Minion Pro" w:hAnsi="Minion Pro" w:cs="Arial"/>
          <w:sz w:val="24"/>
          <w:szCs w:val="24"/>
        </w:rPr>
        <w:t>mplicated when taking political geography into consideration and the occasional lack of cooperation or irreconcilable differences that can emerge between local leaders.</w:t>
      </w:r>
    </w:p>
    <w:p w:rsidR="00856E5D" w:rsidRPr="00BC2DC4" w:rsidP="00751111">
      <w:pPr>
        <w:jc w:val="both"/>
        <w:rPr>
          <w:rFonts w:ascii="Minion Pro" w:hAnsi="Minion Pro" w:cs="Arial"/>
          <w:sz w:val="24"/>
          <w:szCs w:val="24"/>
        </w:rPr>
      </w:pPr>
      <w:r w:rsidRPr="00BC2DC4">
        <w:rPr>
          <w:rFonts w:ascii="Minion Pro" w:hAnsi="Minion Pro" w:cs="Arial"/>
          <w:sz w:val="24"/>
          <w:szCs w:val="24"/>
        </w:rPr>
        <w:t>Devolution endeavours to bring wide ranging communities together under governance struc</w:t>
      </w:r>
      <w:r w:rsidRPr="00BC2DC4">
        <w:rPr>
          <w:rFonts w:ascii="Minion Pro" w:hAnsi="Minion Pro" w:cs="Arial"/>
          <w:sz w:val="24"/>
          <w:szCs w:val="24"/>
        </w:rPr>
        <w:t xml:space="preserve">tures with whole place-based outcomes in mind, but governance structures might find it challenging to identify a shared sense of </w:t>
      </w:r>
      <w:r w:rsidRPr="00BC2DC4">
        <w:rPr>
          <w:rFonts w:ascii="Minion Pro" w:hAnsi="Minion Pro" w:cs="Arial"/>
          <w:sz w:val="24"/>
          <w:szCs w:val="24"/>
        </w:rPr>
        <w:t>place, or</w:t>
      </w:r>
      <w:r w:rsidRPr="00BC2DC4">
        <w:rPr>
          <w:rFonts w:ascii="Minion Pro" w:hAnsi="Minion Pro" w:cs="Arial"/>
          <w:sz w:val="24"/>
          <w:szCs w:val="24"/>
        </w:rPr>
        <w:t xml:space="preserve"> relate to the public within those various areas</w:t>
      </w:r>
      <w:r>
        <w:rPr>
          <w:rFonts w:ascii="Minion Pro" w:hAnsi="Minion Pro" w:cs="Arial"/>
          <w:sz w:val="24"/>
          <w:szCs w:val="24"/>
        </w:rPr>
        <w:footnoteReference w:id="13"/>
      </w:r>
      <w:r w:rsidRPr="00BC2DC4">
        <w:rPr>
          <w:rFonts w:ascii="Minion Pro" w:hAnsi="Minion Pro" w:cs="Arial"/>
          <w:sz w:val="24"/>
          <w:szCs w:val="24"/>
        </w:rPr>
        <w:t>. In some cases, boundaries can be quite effective at capturing plac</w:t>
      </w:r>
      <w:r w:rsidRPr="00BC2DC4">
        <w:rPr>
          <w:rFonts w:ascii="Minion Pro" w:hAnsi="Minion Pro" w:cs="Arial"/>
          <w:sz w:val="24"/>
          <w:szCs w:val="24"/>
        </w:rPr>
        <w:t>e identity, in other cases they divide unified identities or preside over disparate identities. There is no optimum geographical size for devolution, it will depend on the challenges and outcomes set out, whilst recognising that much rests on the historica</w:t>
      </w:r>
      <w:r w:rsidRPr="00BC2DC4">
        <w:rPr>
          <w:rFonts w:ascii="Minion Pro" w:hAnsi="Minion Pro" w:cs="Arial"/>
          <w:sz w:val="24"/>
          <w:szCs w:val="24"/>
        </w:rPr>
        <w:t>l presence of a sense of place. Yet it is possible for a newly forged forward-looking identity to draw people, and partners, in the area together in a sense of common purpose</w:t>
      </w:r>
      <w:r>
        <w:rPr>
          <w:rFonts w:ascii="Minion Pro" w:hAnsi="Minion Pro" w:cs="Arial"/>
          <w:sz w:val="24"/>
          <w:szCs w:val="24"/>
        </w:rPr>
        <w:footnoteReference w:id="14"/>
      </w:r>
      <w:r w:rsidRPr="00BC2DC4">
        <w:rPr>
          <w:rFonts w:ascii="Minion Pro" w:hAnsi="Minion Pro" w:cs="Arial"/>
          <w:sz w:val="24"/>
          <w:szCs w:val="24"/>
        </w:rPr>
        <w:t>.</w:t>
      </w:r>
    </w:p>
    <w:p w:rsidR="00856E5D" w:rsidRPr="00BC2DC4" w:rsidP="00751111">
      <w:pPr>
        <w:jc w:val="both"/>
        <w:rPr>
          <w:rFonts w:ascii="Minion Pro" w:hAnsi="Minion Pro" w:cs="Arial"/>
          <w:sz w:val="24"/>
          <w:szCs w:val="24"/>
        </w:rPr>
      </w:pPr>
      <w:r w:rsidRPr="00BC2DC4">
        <w:rPr>
          <w:rFonts w:ascii="Minion Pro" w:hAnsi="Minion Pro" w:cs="Arial"/>
          <w:sz w:val="24"/>
          <w:szCs w:val="24"/>
        </w:rPr>
        <w:t>Finally, and as we have outlined previously, there needs to be public input in</w:t>
      </w:r>
      <w:r w:rsidRPr="00BC2DC4">
        <w:rPr>
          <w:rFonts w:ascii="Minion Pro" w:hAnsi="Minion Pro" w:cs="Arial"/>
          <w:sz w:val="24"/>
          <w:szCs w:val="24"/>
        </w:rPr>
        <w:t>to what devolution will look like for a local area. Not a post-hoc consultation after the fact, but as an inbuilt part of the decision-making process. Undertaking a time limited, inclusive deliberative process such as a Citizen’s Assembly on English Devolu</w:t>
      </w:r>
      <w:r w:rsidRPr="00BC2DC4">
        <w:rPr>
          <w:rFonts w:ascii="Minion Pro" w:hAnsi="Minion Pro" w:cs="Arial"/>
          <w:sz w:val="24"/>
          <w:szCs w:val="24"/>
        </w:rPr>
        <w:t>tion</w:t>
      </w:r>
      <w:r w:rsidRPr="00BC2DC4">
        <w:rPr>
          <w:rFonts w:ascii="Minion Pro" w:hAnsi="Minion Pro" w:cs="Arial"/>
          <w:b/>
          <w:bCs/>
          <w:sz w:val="24"/>
          <w:szCs w:val="24"/>
        </w:rPr>
        <w:t xml:space="preserve">, </w:t>
      </w:r>
      <w:r w:rsidRPr="00BC2DC4">
        <w:rPr>
          <w:rFonts w:ascii="Minion Pro" w:hAnsi="Minion Pro" w:cs="Arial"/>
          <w:sz w:val="24"/>
          <w:szCs w:val="24"/>
        </w:rPr>
        <w:t xml:space="preserve">is one example of bringing citizens into the process of resolving issues of identity and geography or scale of devolution, like reaching consensus on what the boundaries of devolved areas should be. </w:t>
      </w:r>
    </w:p>
    <w:p w:rsidR="00751111" w:rsidRPr="00BC2DC4" w:rsidP="00751111">
      <w:pPr>
        <w:jc w:val="both"/>
        <w:rPr>
          <w:rFonts w:ascii="Minion Pro" w:hAnsi="Minion Pro" w:cs="Arial"/>
          <w:sz w:val="24"/>
          <w:szCs w:val="24"/>
        </w:rPr>
      </w:pPr>
    </w:p>
    <w:p w:rsidR="00751111" w:rsidRPr="00BC2DC4" w:rsidP="00751111">
      <w:pPr>
        <w:jc w:val="both"/>
        <w:rPr>
          <w:rFonts w:ascii="Minion Pro" w:hAnsi="Minion Pro" w:cs="Arial"/>
          <w:i/>
          <w:iCs/>
          <w:sz w:val="24"/>
          <w:szCs w:val="24"/>
        </w:rPr>
      </w:pPr>
      <w:r w:rsidRPr="00BC2DC4">
        <w:rPr>
          <w:rFonts w:ascii="Minion Pro" w:hAnsi="Minion Pro" w:cs="Arial"/>
          <w:i/>
          <w:iCs/>
          <w:sz w:val="24"/>
          <w:szCs w:val="24"/>
        </w:rPr>
        <w:t>November 2020</w:t>
      </w:r>
    </w:p>
    <w:p w:rsidR="00856E5D" w:rsidRPr="00BC2DC4" w:rsidP="00751111">
      <w:pPr>
        <w:jc w:val="both"/>
        <w:rPr>
          <w:rFonts w:ascii="Minion Pro" w:hAnsi="Minion Pro"/>
          <w:sz w:val="24"/>
          <w:szCs w:val="24"/>
        </w:rPr>
      </w:pPr>
    </w:p>
    <w:sectPr w:rsidSect="00751111">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Minion Pro">
    <w:panose1 w:val="02040503050201020203"/>
    <w:charset w:val="00"/>
    <w:family w:val="roman"/>
    <w:notTrueType/>
    <w:pitch w:val="variable"/>
    <w:sig w:usb0="E00002A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111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71334740"/>
      <w:docPartObj>
        <w:docPartGallery w:val="Page Numbers (Bottom of Page)"/>
        <w:docPartUnique/>
      </w:docPartObj>
    </w:sdtPr>
    <w:sdtEndPr>
      <w:rPr>
        <w:noProof/>
      </w:rPr>
    </w:sdtEndPr>
    <w:sdtContent>
      <w:p w:rsidR="00E377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E377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11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24B5B" w:rsidP="00E37768">
      <w:pPr>
        <w:spacing w:after="0"/>
      </w:pPr>
      <w:r>
        <w:separator/>
      </w:r>
    </w:p>
  </w:footnote>
  <w:footnote w:type="continuationSeparator" w:id="1">
    <w:p w:rsidR="00A24B5B" w:rsidP="00E37768">
      <w:pPr>
        <w:spacing w:after="0"/>
      </w:pPr>
      <w:r>
        <w:continuationSeparator/>
      </w:r>
    </w:p>
  </w:footnote>
  <w:footnote w:id="2">
    <w:p w:rsidR="00751111" w:rsidRPr="00751111" w:rsidP="00751111">
      <w:pPr>
        <w:spacing w:after="0"/>
        <w:jc w:val="both"/>
        <w:rPr>
          <w:rFonts w:ascii="Minion Pro" w:eastAsia="Calibri" w:hAnsi="Minion Pro" w:cs="Arial"/>
          <w:sz w:val="20"/>
          <w:szCs w:val="20"/>
        </w:rPr>
      </w:pPr>
      <w:r w:rsidRPr="00751111">
        <w:rPr>
          <w:rStyle w:val="FootnoteReference"/>
          <w:rFonts w:ascii="Minion Pro" w:hAnsi="Minion Pro"/>
          <w:sz w:val="20"/>
          <w:szCs w:val="20"/>
        </w:rPr>
        <w:footnoteRef/>
      </w:r>
      <w:r w:rsidRPr="00751111">
        <w:rPr>
          <w:rFonts w:ascii="Minion Pro" w:hAnsi="Minion Pro"/>
          <w:sz w:val="20"/>
          <w:szCs w:val="20"/>
        </w:rPr>
        <w:t xml:space="preserve"> </w:t>
      </w:r>
      <w:r w:rsidRPr="00751111">
        <w:rPr>
          <w:rFonts w:ascii="Minion Pro" w:eastAsia="Calibri" w:hAnsi="Minion Pro" w:cs="Arial"/>
          <w:sz w:val="20"/>
          <w:szCs w:val="20"/>
        </w:rPr>
        <w:t>CfGS</w:t>
      </w:r>
      <w:r w:rsidRPr="00751111">
        <w:rPr>
          <w:rFonts w:ascii="Minion Pro" w:eastAsia="Calibri" w:hAnsi="Minion Pro" w:cs="Arial"/>
          <w:sz w:val="20"/>
          <w:szCs w:val="20"/>
        </w:rPr>
        <w:t xml:space="preserve"> is a social purpose consultancy</w:t>
      </w:r>
      <w:r w:rsidRPr="00751111">
        <w:rPr>
          <w:rFonts w:ascii="Minion Pro" w:eastAsia="Calibri" w:hAnsi="Minion Pro" w:cs="Arial"/>
          <w:i/>
          <w:iCs/>
          <w:sz w:val="20"/>
          <w:szCs w:val="20"/>
        </w:rPr>
        <w:t xml:space="preserve"> </w:t>
      </w:r>
      <w:r w:rsidRPr="00751111">
        <w:rPr>
          <w:rFonts w:ascii="Minion Pro" w:eastAsia="Calibri" w:hAnsi="Minion Pro" w:cs="Arial"/>
          <w:sz w:val="20"/>
          <w:szCs w:val="20"/>
        </w:rPr>
        <w:t>and the leading national body promoting and supporting excellence in governance and scrutiny. Its work has a strong track record of influencing policy and practice nationally and</w:t>
      </w:r>
      <w:r w:rsidRPr="00751111">
        <w:rPr>
          <w:rFonts w:ascii="Minion Pro" w:eastAsia="Calibri" w:hAnsi="Minion Pro" w:cs="Arial"/>
          <w:sz w:val="20"/>
          <w:szCs w:val="20"/>
        </w:rPr>
        <w:t xml:space="preserve"> locally. </w:t>
      </w:r>
      <w:r w:rsidRPr="00751111">
        <w:rPr>
          <w:rFonts w:ascii="Minion Pro" w:eastAsia="Calibri" w:hAnsi="Minion Pro" w:cs="Arial"/>
          <w:sz w:val="20"/>
          <w:szCs w:val="20"/>
        </w:rPr>
        <w:t>CfGS</w:t>
      </w:r>
      <w:r w:rsidRPr="00751111">
        <w:rPr>
          <w:rFonts w:ascii="Minion Pro" w:eastAsia="Calibri" w:hAnsi="Minion Pro" w:cs="Arial"/>
          <w:sz w:val="20"/>
          <w:szCs w:val="20"/>
        </w:rPr>
        <w:t xml:space="preserve"> is respected and trusted across the public sector to provide independent and impartial advice. </w:t>
      </w:r>
      <w:r w:rsidRPr="00751111">
        <w:rPr>
          <w:rFonts w:ascii="Minion Pro" w:eastAsia="Calibri" w:hAnsi="Minion Pro" w:cs="Arial"/>
          <w:sz w:val="20"/>
          <w:szCs w:val="20"/>
        </w:rPr>
        <w:t>CfGS</w:t>
      </w:r>
      <w:r w:rsidRPr="00751111">
        <w:rPr>
          <w:rFonts w:ascii="Minion Pro" w:eastAsia="Calibri" w:hAnsi="Minion Pro" w:cs="Arial"/>
          <w:sz w:val="20"/>
          <w:szCs w:val="20"/>
        </w:rPr>
        <w:t xml:space="preserve"> is an independent national charity founded by the Local Government Association (LGA), Local Government Information Unit (LGIU) and Chartered </w:t>
      </w:r>
      <w:r w:rsidRPr="00751111">
        <w:rPr>
          <w:rFonts w:ascii="Minion Pro" w:eastAsia="Calibri" w:hAnsi="Minion Pro" w:cs="Arial"/>
          <w:sz w:val="20"/>
          <w:szCs w:val="20"/>
        </w:rPr>
        <w:t>Institute of Public Finance Accountants (CIPFA).</w:t>
      </w:r>
    </w:p>
  </w:footnote>
  <w:footnote w:id="3">
    <w:p w:rsidR="00751111" w:rsidRPr="00751111" w:rsidP="00751111">
      <w:pPr>
        <w:pStyle w:val="FootnoteText"/>
        <w:jc w:val="both"/>
        <w:rPr>
          <w:rFonts w:ascii="Minion Pro" w:hAnsi="Minion Pro"/>
        </w:rPr>
      </w:pPr>
      <w:r w:rsidRPr="00751111">
        <w:rPr>
          <w:rStyle w:val="FootnoteReference"/>
          <w:rFonts w:ascii="Minion Pro" w:hAnsi="Minion Pro"/>
        </w:rPr>
        <w:footnoteRef/>
      </w:r>
      <w:r w:rsidRPr="00751111">
        <w:rPr>
          <w:rFonts w:ascii="Minion Pro" w:hAnsi="Minion Pro"/>
        </w:rPr>
        <w:t xml:space="preserve"> Submitted by Kate Grigg, Senior Research Officer</w:t>
      </w:r>
    </w:p>
  </w:footnote>
  <w:footnote w:id="4">
    <w:p w:rsidR="00856E5D" w:rsidRPr="00751111" w:rsidP="00751111">
      <w:pPr>
        <w:pStyle w:val="FootnoteText"/>
        <w:rPr>
          <w:rFonts w:ascii="Minion Pro" w:hAnsi="Minion Pro" w:cs="Arial"/>
        </w:rPr>
      </w:pPr>
      <w:r w:rsidRPr="00751111">
        <w:rPr>
          <w:rStyle w:val="FootnoteReference"/>
          <w:rFonts w:ascii="Minion Pro" w:hAnsi="Minion Pro" w:cs="Arial"/>
        </w:rPr>
        <w:footnoteRef/>
      </w:r>
      <w:r w:rsidRPr="00751111">
        <w:rPr>
          <w:rFonts w:ascii="Minion Pro" w:hAnsi="Minion Pro" w:cs="Arial"/>
        </w:rPr>
        <w:t xml:space="preserve"> “Governance, culture and collaboration” (</w:t>
      </w:r>
      <w:r w:rsidRPr="00751111">
        <w:rPr>
          <w:rFonts w:ascii="Minion Pro" w:hAnsi="Minion Pro" w:cs="Arial"/>
        </w:rPr>
        <w:t>CfGS</w:t>
      </w:r>
      <w:r w:rsidRPr="00751111">
        <w:rPr>
          <w:rFonts w:ascii="Minion Pro" w:hAnsi="Minion Pro" w:cs="Arial"/>
        </w:rPr>
        <w:t xml:space="preserve">, 2019) pg. 5 </w:t>
      </w:r>
      <w:r>
        <w:fldChar w:fldCharType="begin"/>
      </w:r>
      <w:r>
        <w:instrText xml:space="preserve"> HYPERLINK "https://cfgs.org.uk/wp-content/uploads/Governance-and-Culture-2019.pdf" </w:instrText>
      </w:r>
      <w:r>
        <w:fldChar w:fldCharType="separate"/>
      </w:r>
      <w:r w:rsidRPr="00751111">
        <w:rPr>
          <w:rStyle w:val="Hyperlink"/>
          <w:rFonts w:ascii="Minion Pro" w:hAnsi="Minion Pro" w:cs="Arial"/>
        </w:rPr>
        <w:t>https://cfgs.org.uk/wp-content/uploads/Governance-and-Culture-2019.pdf</w:t>
      </w:r>
      <w:r>
        <w:fldChar w:fldCharType="end"/>
      </w:r>
      <w:r w:rsidRPr="00751111">
        <w:rPr>
          <w:rFonts w:ascii="Minion Pro" w:hAnsi="Minion Pro" w:cs="Arial"/>
        </w:rPr>
        <w:t xml:space="preserve"> </w:t>
      </w:r>
    </w:p>
  </w:footnote>
  <w:footnote w:id="5">
    <w:p w:rsidR="00856E5D" w:rsidRPr="00751111" w:rsidP="00751111">
      <w:pPr>
        <w:pStyle w:val="FootnoteText"/>
        <w:rPr>
          <w:rFonts w:ascii="Minion Pro" w:hAnsi="Minion Pro" w:cs="Arial"/>
        </w:rPr>
      </w:pPr>
      <w:r w:rsidRPr="00751111">
        <w:rPr>
          <w:rStyle w:val="FootnoteReference"/>
          <w:rFonts w:ascii="Minion Pro" w:hAnsi="Minion Pro" w:cs="Arial"/>
        </w:rPr>
        <w:footnoteRef/>
      </w:r>
      <w:r w:rsidRPr="00751111">
        <w:rPr>
          <w:rFonts w:ascii="Minion Pro" w:hAnsi="Minion Pro" w:cs="Arial"/>
        </w:rPr>
        <w:t>“Governance and devolution: charting the way” (</w:t>
      </w:r>
      <w:r w:rsidRPr="00751111">
        <w:rPr>
          <w:rFonts w:ascii="Minion Pro" w:hAnsi="Minion Pro" w:cs="Arial"/>
        </w:rPr>
        <w:t>CfGS</w:t>
      </w:r>
      <w:r w:rsidRPr="00751111">
        <w:rPr>
          <w:rFonts w:ascii="Minion Pro" w:hAnsi="Minion Pro" w:cs="Arial"/>
        </w:rPr>
        <w:t xml:space="preserve">, 2016) </w:t>
      </w:r>
      <w:r>
        <w:fldChar w:fldCharType="begin"/>
      </w:r>
      <w:r>
        <w:instrText xml:space="preserve"> HYPERLINK "https://www.cfgs.org.uk/wp-content/uploads/Charting-the-way-2016.pdf" </w:instrText>
      </w:r>
      <w:r>
        <w:fldChar w:fldCharType="separate"/>
      </w:r>
      <w:r w:rsidRPr="00751111">
        <w:rPr>
          <w:rStyle w:val="Hyperlink"/>
          <w:rFonts w:ascii="Minion Pro" w:hAnsi="Minion Pro" w:cs="Arial"/>
        </w:rPr>
        <w:t>https://www.cfgs.org.uk/wp-content/uplo</w:t>
      </w:r>
      <w:r w:rsidRPr="00751111">
        <w:rPr>
          <w:rStyle w:val="Hyperlink"/>
          <w:rFonts w:ascii="Minion Pro" w:hAnsi="Minion Pro" w:cs="Arial"/>
        </w:rPr>
        <w:t>ads/Charting-the-way-2016.pdf</w:t>
      </w:r>
      <w:r>
        <w:fldChar w:fldCharType="end"/>
      </w:r>
      <w:r w:rsidRPr="00751111">
        <w:rPr>
          <w:rFonts w:ascii="Minion Pro" w:hAnsi="Minion Pro" w:cs="Arial"/>
        </w:rPr>
        <w:t xml:space="preserve"> </w:t>
      </w:r>
    </w:p>
  </w:footnote>
  <w:footnote w:id="6">
    <w:p w:rsidR="00856E5D" w:rsidRPr="00751111" w:rsidP="00751111">
      <w:pPr>
        <w:pStyle w:val="FootnoteText"/>
        <w:jc w:val="both"/>
        <w:rPr>
          <w:rFonts w:ascii="Minion Pro" w:hAnsi="Minion Pro" w:cs="Arial"/>
        </w:rPr>
      </w:pPr>
      <w:r w:rsidRPr="00751111">
        <w:rPr>
          <w:rStyle w:val="FootnoteReference"/>
          <w:rFonts w:ascii="Minion Pro" w:hAnsi="Minion Pro" w:cs="Arial"/>
        </w:rPr>
        <w:footnoteRef/>
      </w:r>
      <w:r w:rsidRPr="00751111">
        <w:rPr>
          <w:rFonts w:ascii="Minion Pro" w:hAnsi="Minion Pro" w:cs="Arial"/>
        </w:rPr>
        <w:t xml:space="preserve"> “Devo How? Devo Why?” (</w:t>
      </w:r>
      <w:r w:rsidRPr="00751111">
        <w:rPr>
          <w:rFonts w:ascii="Minion Pro" w:hAnsi="Minion Pro" w:cs="Arial"/>
        </w:rPr>
        <w:t>CfGS</w:t>
      </w:r>
      <w:r w:rsidRPr="00751111">
        <w:rPr>
          <w:rFonts w:ascii="Minion Pro" w:hAnsi="Minion Pro" w:cs="Arial"/>
        </w:rPr>
        <w:t xml:space="preserve">, 2015) </w:t>
      </w:r>
      <w:r>
        <w:fldChar w:fldCharType="begin"/>
      </w:r>
      <w:r>
        <w:instrText xml:space="preserve"> HYPERLINK "https://www.cfgs.org.uk/wp-content/uploads/Devo-how-devo-why-2015.pdf" </w:instrText>
      </w:r>
      <w:r>
        <w:fldChar w:fldCharType="separate"/>
      </w:r>
      <w:r w:rsidRPr="00751111">
        <w:rPr>
          <w:rStyle w:val="Hyperlink"/>
          <w:rFonts w:ascii="Minion Pro" w:hAnsi="Minion Pro" w:cs="Arial"/>
        </w:rPr>
        <w:t>https://www.cfgs.org.uk/wp-content/uploads/Devo-how-devo-why-2015.pdf</w:t>
      </w:r>
      <w:r>
        <w:fldChar w:fldCharType="end"/>
      </w:r>
      <w:r w:rsidRPr="00751111">
        <w:rPr>
          <w:rFonts w:ascii="Minion Pro" w:hAnsi="Minion Pro" w:cs="Arial"/>
        </w:rPr>
        <w:t xml:space="preserve"> </w:t>
      </w:r>
    </w:p>
  </w:footnote>
  <w:footnote w:id="7">
    <w:p w:rsidR="00856E5D" w:rsidRPr="00751111" w:rsidP="00751111">
      <w:pPr>
        <w:pStyle w:val="FootnoteText"/>
        <w:rPr>
          <w:rFonts w:ascii="Minion Pro" w:hAnsi="Minion Pro" w:cs="Arial"/>
        </w:rPr>
      </w:pPr>
      <w:r w:rsidRPr="00751111">
        <w:rPr>
          <w:rStyle w:val="FootnoteReference"/>
          <w:rFonts w:ascii="Minion Pro" w:hAnsi="Minion Pro" w:cs="Arial"/>
        </w:rPr>
        <w:footnoteRef/>
      </w:r>
      <w:r w:rsidRPr="00751111">
        <w:rPr>
          <w:rFonts w:ascii="Minion Pro" w:hAnsi="Minion Pro" w:cs="Arial"/>
        </w:rPr>
        <w:t xml:space="preserve"> “Final Report of the UK207</w:t>
      </w:r>
      <w:r w:rsidRPr="00751111">
        <w:rPr>
          <w:rFonts w:ascii="Minion Pro" w:hAnsi="Minion Pro" w:cs="Arial"/>
        </w:rPr>
        <w:t xml:space="preserve">0 Commission” (UK2070, 2020) </w:t>
      </w:r>
      <w:r>
        <w:fldChar w:fldCharType="begin"/>
      </w:r>
      <w:r>
        <w:instrText xml:space="preserve"> HYPERLINK "http://uk2070.org.uk/wp-content/uploads/2020/02/UK2070-FINAL-REPORT.pdf" </w:instrText>
      </w:r>
      <w:r>
        <w:fldChar w:fldCharType="separate"/>
      </w:r>
      <w:r w:rsidRPr="00751111">
        <w:rPr>
          <w:rStyle w:val="Hyperlink"/>
          <w:rFonts w:ascii="Minion Pro" w:hAnsi="Minion Pro" w:cs="Arial"/>
        </w:rPr>
        <w:t>http://uk2070.org.uk/wp-content/uploads/2020/02/UK2070-FINAL-REPORT.pdf</w:t>
      </w:r>
      <w:r>
        <w:fldChar w:fldCharType="end"/>
      </w:r>
      <w:r w:rsidRPr="00751111">
        <w:rPr>
          <w:rFonts w:ascii="Minion Pro" w:hAnsi="Minion Pro" w:cs="Arial"/>
        </w:rPr>
        <w:t xml:space="preserve"> </w:t>
      </w:r>
    </w:p>
  </w:footnote>
  <w:footnote w:id="8">
    <w:p w:rsidR="00856E5D" w:rsidRPr="00751111" w:rsidP="00751111">
      <w:pPr>
        <w:pStyle w:val="FootnoteText"/>
        <w:rPr>
          <w:rFonts w:ascii="Minion Pro" w:hAnsi="Minion Pro" w:cs="Arial"/>
        </w:rPr>
      </w:pPr>
      <w:r w:rsidRPr="00751111">
        <w:rPr>
          <w:rStyle w:val="FootnoteReference"/>
          <w:rFonts w:ascii="Minion Pro" w:hAnsi="Minion Pro" w:cs="Arial"/>
        </w:rPr>
        <w:footnoteRef/>
      </w:r>
      <w:r w:rsidRPr="00751111">
        <w:rPr>
          <w:rFonts w:ascii="Minion Pro" w:hAnsi="Minion Pro" w:cs="Arial"/>
        </w:rPr>
        <w:t>“Cards on the table: Tips and tricks for getting in on the action</w:t>
      </w:r>
      <w:r w:rsidRPr="00751111">
        <w:rPr>
          <w:rFonts w:ascii="Minion Pro" w:hAnsi="Minion Pro" w:cs="Arial"/>
        </w:rPr>
        <w:t xml:space="preserve"> of devolution” (</w:t>
      </w:r>
      <w:r w:rsidRPr="00751111">
        <w:rPr>
          <w:rFonts w:ascii="Minion Pro" w:hAnsi="Minion Pro" w:cs="Arial"/>
        </w:rPr>
        <w:t>CfGS</w:t>
      </w:r>
      <w:r w:rsidRPr="00751111">
        <w:rPr>
          <w:rFonts w:ascii="Minion Pro" w:hAnsi="Minion Pro" w:cs="Arial"/>
        </w:rPr>
        <w:t xml:space="preserve">, 2016) </w:t>
      </w:r>
      <w:r>
        <w:fldChar w:fldCharType="begin"/>
      </w:r>
      <w:r>
        <w:instrText xml:space="preserve"> HYPERLINK "https://www.cfgs.org.uk/wp-content/uploads/CfPS-Devolution-Paper-v4-WEB-2.pdf" </w:instrText>
      </w:r>
      <w:r>
        <w:fldChar w:fldCharType="separate"/>
      </w:r>
      <w:r w:rsidRPr="00751111">
        <w:rPr>
          <w:rStyle w:val="Hyperlink"/>
          <w:rFonts w:ascii="Minion Pro" w:hAnsi="Minion Pro" w:cs="Arial"/>
        </w:rPr>
        <w:t>https://www.cfgs.org.uk/wp-content/uploads/CfPS-Devolution-Paper-v4-WEB-2.pdf</w:t>
      </w:r>
      <w:r>
        <w:fldChar w:fldCharType="end"/>
      </w:r>
    </w:p>
  </w:footnote>
  <w:footnote w:id="9">
    <w:p w:rsidR="00856E5D" w:rsidRPr="00751111" w:rsidP="00751111">
      <w:pPr>
        <w:rPr>
          <w:rFonts w:ascii="Minion Pro" w:hAnsi="Minion Pro" w:cs="Arial"/>
          <w:sz w:val="20"/>
          <w:szCs w:val="20"/>
        </w:rPr>
      </w:pPr>
      <w:r w:rsidRPr="00751111">
        <w:rPr>
          <w:rFonts w:ascii="Minion Pro" w:hAnsi="Minion Pro" w:cs="Arial"/>
          <w:sz w:val="20"/>
          <w:szCs w:val="20"/>
        </w:rPr>
        <w:footnoteRef/>
      </w:r>
      <w:r w:rsidRPr="00751111">
        <w:rPr>
          <w:rFonts w:ascii="Minion Pro" w:hAnsi="Minion Pro" w:cs="Arial"/>
          <w:sz w:val="20"/>
          <w:szCs w:val="20"/>
        </w:rPr>
        <w:t xml:space="preserve"> ‘Transport governance in combined authorities’ </w:t>
      </w:r>
      <w:r w:rsidRPr="00751111">
        <w:rPr>
          <w:rFonts w:ascii="Minion Pro" w:hAnsi="Minion Pro" w:cs="Arial"/>
          <w:sz w:val="20"/>
          <w:szCs w:val="20"/>
        </w:rPr>
        <w:t>CfGS</w:t>
      </w:r>
      <w:r w:rsidRPr="00751111">
        <w:rPr>
          <w:rFonts w:ascii="Minion Pro" w:hAnsi="Minion Pro" w:cs="Arial"/>
          <w:sz w:val="20"/>
          <w:szCs w:val="20"/>
        </w:rPr>
        <w:t xml:space="preserve"> 2</w:t>
      </w:r>
      <w:r w:rsidRPr="00751111">
        <w:rPr>
          <w:rFonts w:ascii="Minion Pro" w:hAnsi="Minion Pro" w:cs="Arial"/>
          <w:sz w:val="20"/>
          <w:szCs w:val="20"/>
        </w:rPr>
        <w:t>020 - https://www.cfgs.org.uk/wp-content/uploads/CfPS-Transport-Governance-FINAL-1.pdf</w:t>
      </w:r>
    </w:p>
  </w:footnote>
  <w:footnote w:id="10">
    <w:p w:rsidR="00856E5D" w:rsidRPr="00751111" w:rsidP="00751111">
      <w:pPr>
        <w:jc w:val="both"/>
        <w:rPr>
          <w:rFonts w:ascii="Minion Pro" w:hAnsi="Minion Pro"/>
          <w:sz w:val="20"/>
          <w:szCs w:val="20"/>
        </w:rPr>
      </w:pPr>
      <w:r w:rsidRPr="00751111">
        <w:rPr>
          <w:rFonts w:ascii="Minion Pro" w:hAnsi="Minion Pro"/>
          <w:sz w:val="20"/>
          <w:szCs w:val="20"/>
        </w:rPr>
        <w:footnoteRef/>
      </w:r>
      <w:r w:rsidRPr="00751111">
        <w:rPr>
          <w:rFonts w:ascii="Minion Pro" w:hAnsi="Minion Pro"/>
          <w:sz w:val="20"/>
          <w:szCs w:val="20"/>
        </w:rPr>
        <w:t xml:space="preserve"> </w:t>
      </w:r>
      <w:r w:rsidRPr="00751111">
        <w:rPr>
          <w:rFonts w:ascii="Minion Pro" w:hAnsi="Minion Pro" w:cs="Arial"/>
          <w:sz w:val="20"/>
          <w:szCs w:val="20"/>
        </w:rPr>
        <w:t>A devolution deal with Cornwall council was agreed in 2015, which did not feature a Mayor or a combined authority. It should also be highlighted that the North East Co</w:t>
      </w:r>
      <w:r w:rsidRPr="00751111">
        <w:rPr>
          <w:rFonts w:ascii="Minion Pro" w:hAnsi="Minion Pro" w:cs="Arial"/>
          <w:sz w:val="20"/>
          <w:szCs w:val="20"/>
        </w:rPr>
        <w:t>mbined Authority declined mayoral governance, now run by a Leadership Board instead, and therefore had to forego the financial offer from Government, and West Yorkshire Combined Authority originally decided not to opt for a Mayor but later did.</w:t>
      </w:r>
    </w:p>
  </w:footnote>
  <w:footnote w:id="11">
    <w:p w:rsidR="00856E5D" w:rsidRPr="00751111" w:rsidP="00751111">
      <w:pPr>
        <w:rPr>
          <w:rFonts w:ascii="Minion Pro" w:hAnsi="Minion Pro" w:cs="Arial"/>
          <w:sz w:val="20"/>
          <w:szCs w:val="20"/>
        </w:rPr>
      </w:pPr>
      <w:r w:rsidRPr="00751111">
        <w:rPr>
          <w:rFonts w:ascii="Minion Pro" w:hAnsi="Minion Pro" w:cs="Arial"/>
          <w:sz w:val="20"/>
          <w:szCs w:val="20"/>
        </w:rPr>
        <w:footnoteRef/>
      </w:r>
      <w:r w:rsidRPr="00751111">
        <w:rPr>
          <w:rFonts w:ascii="Minion Pro" w:hAnsi="Minion Pro" w:cs="Arial"/>
          <w:sz w:val="20"/>
          <w:szCs w:val="20"/>
        </w:rPr>
        <w:t xml:space="preserve"> “Cards on</w:t>
      </w:r>
      <w:r w:rsidRPr="00751111">
        <w:rPr>
          <w:rFonts w:ascii="Minion Pro" w:hAnsi="Minion Pro" w:cs="Arial"/>
          <w:sz w:val="20"/>
          <w:szCs w:val="20"/>
        </w:rPr>
        <w:t xml:space="preserve"> the table: Tips and tricks for getting in on the action of devolution” (</w:t>
      </w:r>
      <w:r w:rsidRPr="00751111">
        <w:rPr>
          <w:rFonts w:ascii="Minion Pro" w:hAnsi="Minion Pro" w:cs="Arial"/>
          <w:sz w:val="20"/>
          <w:szCs w:val="20"/>
        </w:rPr>
        <w:t>CfGS</w:t>
      </w:r>
      <w:r w:rsidRPr="00751111">
        <w:rPr>
          <w:rFonts w:ascii="Minion Pro" w:hAnsi="Minion Pro" w:cs="Arial"/>
          <w:sz w:val="20"/>
          <w:szCs w:val="20"/>
        </w:rPr>
        <w:t xml:space="preserve">, 2016) </w:t>
      </w:r>
      <w:r>
        <w:fldChar w:fldCharType="begin"/>
      </w:r>
      <w:r>
        <w:instrText xml:space="preserve"> HYPERLINK "https://www.cfgs.org.uk/wp-content/uploads/CfPS-Devolution-Paper-v4-WEB-2.pdf" </w:instrText>
      </w:r>
      <w:r>
        <w:fldChar w:fldCharType="separate"/>
      </w:r>
      <w:r w:rsidRPr="00751111">
        <w:rPr>
          <w:rFonts w:ascii="Minion Pro" w:hAnsi="Minion Pro" w:cs="Arial"/>
          <w:sz w:val="20"/>
          <w:szCs w:val="20"/>
        </w:rPr>
        <w:t>https://www.cfgs.org.uk/wp-content/uploads/CfPS-Devolution-Paper-v4-WEB-2.pdf</w:t>
      </w:r>
      <w:r>
        <w:fldChar w:fldCharType="end"/>
      </w:r>
      <w:r w:rsidRPr="00751111">
        <w:rPr>
          <w:rFonts w:ascii="Minion Pro" w:hAnsi="Minion Pro" w:cs="Arial"/>
          <w:sz w:val="20"/>
          <w:szCs w:val="20"/>
        </w:rPr>
        <w:t xml:space="preserve"> </w:t>
      </w:r>
    </w:p>
  </w:footnote>
  <w:footnote w:id="12">
    <w:p w:rsidR="00856E5D" w:rsidRPr="00751111" w:rsidP="00751111">
      <w:pPr>
        <w:rPr>
          <w:rFonts w:ascii="Minion Pro" w:hAnsi="Minion Pro" w:cs="Arial"/>
          <w:sz w:val="20"/>
          <w:szCs w:val="20"/>
        </w:rPr>
      </w:pPr>
      <w:r w:rsidRPr="00751111">
        <w:rPr>
          <w:rFonts w:ascii="Minion Pro" w:hAnsi="Minion Pro" w:cs="Arial"/>
          <w:sz w:val="20"/>
          <w:szCs w:val="20"/>
        </w:rPr>
        <w:footnoteRef/>
      </w:r>
      <w:r w:rsidRPr="00751111">
        <w:rPr>
          <w:rFonts w:ascii="Minion Pro" w:hAnsi="Minion Pro" w:cs="Arial"/>
          <w:sz w:val="20"/>
          <w:szCs w:val="20"/>
        </w:rPr>
        <w:t xml:space="preserve"> “Governance, culture and collaboration” (</w:t>
      </w:r>
      <w:r w:rsidRPr="00751111">
        <w:rPr>
          <w:rFonts w:ascii="Minion Pro" w:hAnsi="Minion Pro" w:cs="Arial"/>
          <w:sz w:val="20"/>
          <w:szCs w:val="20"/>
        </w:rPr>
        <w:t>CfGS</w:t>
      </w:r>
      <w:r w:rsidRPr="00751111">
        <w:rPr>
          <w:rFonts w:ascii="Minion Pro" w:hAnsi="Minion Pro" w:cs="Arial"/>
          <w:sz w:val="20"/>
          <w:szCs w:val="20"/>
        </w:rPr>
        <w:t xml:space="preserve">, 2019) pg. 5 </w:t>
      </w:r>
      <w:r>
        <w:fldChar w:fldCharType="begin"/>
      </w:r>
      <w:r>
        <w:instrText xml:space="preserve"> HYPERLINK "https://cfgs.org.uk/wp-content/uploads/Governance-and-Culture-2019.pdf" </w:instrText>
      </w:r>
      <w:r>
        <w:fldChar w:fldCharType="separate"/>
      </w:r>
      <w:r w:rsidRPr="00751111">
        <w:rPr>
          <w:rFonts w:ascii="Minion Pro" w:hAnsi="Minion Pro" w:cs="Arial"/>
          <w:sz w:val="20"/>
          <w:szCs w:val="20"/>
        </w:rPr>
        <w:t>https://cfgs.org.uk/wp-content/uploads/Governance-and-Culture-2019.pdf</w:t>
      </w:r>
      <w:r>
        <w:fldChar w:fldCharType="end"/>
      </w:r>
      <w:r w:rsidRPr="00751111">
        <w:rPr>
          <w:rFonts w:ascii="Minion Pro" w:hAnsi="Minion Pro" w:cs="Arial"/>
          <w:sz w:val="20"/>
          <w:szCs w:val="20"/>
        </w:rPr>
        <w:t xml:space="preserve"> </w:t>
      </w:r>
    </w:p>
  </w:footnote>
  <w:footnote w:id="13">
    <w:p w:rsidR="00856E5D" w:rsidRPr="00751111" w:rsidP="00751111">
      <w:pPr>
        <w:rPr>
          <w:rFonts w:ascii="Minion Pro" w:hAnsi="Minion Pro" w:cs="Arial"/>
          <w:sz w:val="20"/>
          <w:szCs w:val="20"/>
        </w:rPr>
      </w:pPr>
      <w:r w:rsidRPr="00751111">
        <w:rPr>
          <w:rFonts w:ascii="Minion Pro" w:hAnsi="Minion Pro" w:cs="Arial"/>
          <w:sz w:val="20"/>
          <w:szCs w:val="20"/>
        </w:rPr>
        <w:footnoteRef/>
      </w:r>
      <w:r w:rsidRPr="00751111">
        <w:rPr>
          <w:rFonts w:ascii="Minion Pro" w:hAnsi="Minion Pro" w:cs="Arial"/>
          <w:sz w:val="20"/>
          <w:szCs w:val="20"/>
        </w:rPr>
        <w:t xml:space="preserve"> “Cards on the ta</w:t>
      </w:r>
      <w:bookmarkStart w:id="0" w:name="_GoBack"/>
      <w:bookmarkEnd w:id="0"/>
      <w:r w:rsidRPr="00751111">
        <w:rPr>
          <w:rFonts w:ascii="Minion Pro" w:hAnsi="Minion Pro" w:cs="Arial"/>
          <w:sz w:val="20"/>
          <w:szCs w:val="20"/>
        </w:rPr>
        <w:t>ble: Tips and tricks for getting in on the action of devolution” (</w:t>
      </w:r>
      <w:r w:rsidRPr="00751111">
        <w:rPr>
          <w:rFonts w:ascii="Minion Pro" w:hAnsi="Minion Pro" w:cs="Arial"/>
          <w:sz w:val="20"/>
          <w:szCs w:val="20"/>
        </w:rPr>
        <w:t>CfGS</w:t>
      </w:r>
      <w:r w:rsidRPr="00751111">
        <w:rPr>
          <w:rFonts w:ascii="Minion Pro" w:hAnsi="Minion Pro" w:cs="Arial"/>
          <w:sz w:val="20"/>
          <w:szCs w:val="20"/>
        </w:rPr>
        <w:t xml:space="preserve">, 2016) </w:t>
      </w:r>
      <w:r>
        <w:fldChar w:fldCharType="begin"/>
      </w:r>
      <w:r>
        <w:instrText xml:space="preserve"> HYPERLINK "https://www.cfgs.org.uk/wp-content/uploads/CfPS-Devolution-Paper-v4-WEB-2.pdf" </w:instrText>
      </w:r>
      <w:r>
        <w:fldChar w:fldCharType="separate"/>
      </w:r>
      <w:r w:rsidRPr="00751111">
        <w:rPr>
          <w:rFonts w:ascii="Minion Pro" w:hAnsi="Minion Pro" w:cs="Arial"/>
          <w:sz w:val="20"/>
          <w:szCs w:val="20"/>
        </w:rPr>
        <w:t>https://www.cfgs.org.uk/wp-content/uploads/CfPS-Devolution-Paper-v4-WEB-2.pdf</w:t>
      </w:r>
      <w:r>
        <w:fldChar w:fldCharType="end"/>
      </w:r>
    </w:p>
  </w:footnote>
  <w:footnote w:id="14">
    <w:p w:rsidR="00856E5D" w:rsidRPr="00751111" w:rsidP="00751111">
      <w:pPr>
        <w:rPr>
          <w:rFonts w:ascii="Minion Pro" w:hAnsi="Minion Pro" w:cs="Arial"/>
          <w:sz w:val="20"/>
          <w:szCs w:val="20"/>
        </w:rPr>
      </w:pPr>
      <w:r w:rsidRPr="00751111">
        <w:rPr>
          <w:rFonts w:ascii="Minion Pro" w:hAnsi="Minion Pro" w:cs="Arial"/>
          <w:sz w:val="20"/>
          <w:szCs w:val="20"/>
        </w:rPr>
        <w:footnoteRef/>
      </w:r>
      <w:r w:rsidRPr="00751111">
        <w:rPr>
          <w:rFonts w:ascii="Minion Pro" w:hAnsi="Minion Pro" w:cs="Arial"/>
          <w:sz w:val="20"/>
          <w:szCs w:val="20"/>
        </w:rPr>
        <w:t xml:space="preserve"> “Governance and devolution: charting the way” (</w:t>
      </w:r>
      <w:r w:rsidRPr="00751111">
        <w:rPr>
          <w:rFonts w:ascii="Minion Pro" w:hAnsi="Minion Pro" w:cs="Arial"/>
          <w:sz w:val="20"/>
          <w:szCs w:val="20"/>
        </w:rPr>
        <w:t>CfGS</w:t>
      </w:r>
      <w:r w:rsidRPr="00751111">
        <w:rPr>
          <w:rFonts w:ascii="Minion Pro" w:hAnsi="Minion Pro" w:cs="Arial"/>
          <w:sz w:val="20"/>
          <w:szCs w:val="20"/>
        </w:rPr>
        <w:t xml:space="preserve">, 2016) </w:t>
      </w:r>
      <w:r>
        <w:fldChar w:fldCharType="begin"/>
      </w:r>
      <w:r>
        <w:instrText xml:space="preserve"> HYPERLINK "https://www.cfgs.org.uk/wp-content/uploads/Charting-the-way-2016.pdf" </w:instrText>
      </w:r>
      <w:r>
        <w:fldChar w:fldCharType="separate"/>
      </w:r>
      <w:r w:rsidRPr="00751111">
        <w:rPr>
          <w:rFonts w:ascii="Minion Pro" w:hAnsi="Minion Pro" w:cs="Arial"/>
          <w:sz w:val="20"/>
          <w:szCs w:val="20"/>
        </w:rPr>
        <w:t>https://www.cfgs.org.uk/wp-content/uploads/Charting-the-way-2016.pdf</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11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111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111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827D8B"/>
    <w:multiLevelType w:val="hybridMultilevel"/>
    <w:tmpl w:val="0A329872"/>
    <w:lvl w:ilvl="0">
      <w:start w:val="1"/>
      <w:numFmt w:val="bullet"/>
      <w:lvlText w:val=""/>
      <w:lvlJc w:val="left"/>
      <w:pPr>
        <w:ind w:left="720" w:hanging="360"/>
      </w:pPr>
      <w:rPr>
        <w:rFonts w:ascii="Wingdings" w:hAnsi="Wingdings" w:hint="default"/>
        <w:color w:val="F392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37607D2"/>
    <w:multiLevelType w:val="hybridMultilevel"/>
    <w:tmpl w:val="751AEB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7D77A78"/>
    <w:multiLevelType w:val="multilevel"/>
    <w:tmpl w:val="2BA26D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54115A"/>
    <w:multiLevelType w:val="hybridMultilevel"/>
    <w:tmpl w:val="A942DE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D692F1A"/>
    <w:multiLevelType w:val="multilevel"/>
    <w:tmpl w:val="7EEC8E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nsid w:val="144F503C"/>
    <w:multiLevelType w:val="hybridMultilevel"/>
    <w:tmpl w:val="B0B6AD96"/>
    <w:lvl w:ilvl="0">
      <w:start w:val="1"/>
      <w:numFmt w:val="bullet"/>
      <w:lvlText w:val=""/>
      <w:lvlJc w:val="left"/>
      <w:pPr>
        <w:ind w:left="720" w:hanging="360"/>
      </w:pPr>
      <w:rPr>
        <w:rFonts w:ascii="Wingdings" w:hAnsi="Wingdings" w:hint="default"/>
        <w:color w:val="F3920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6A156DB"/>
    <w:multiLevelType w:val="hybridMultilevel"/>
    <w:tmpl w:val="C2FAA7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1B605CF"/>
    <w:multiLevelType w:val="hybridMultilevel"/>
    <w:tmpl w:val="6096D3C4"/>
    <w:lvl w:ilvl="0">
      <w:start w:val="1"/>
      <w:numFmt w:val="bullet"/>
      <w:lvlText w:val=""/>
      <w:lvlJc w:val="left"/>
      <w:pPr>
        <w:ind w:left="795" w:hanging="360"/>
      </w:pPr>
      <w:rPr>
        <w:rFonts w:ascii="Symbol" w:hAnsi="Symbol" w:hint="default"/>
      </w:rPr>
    </w:lvl>
    <w:lvl w:ilvl="1" w:tentative="1">
      <w:start w:val="1"/>
      <w:numFmt w:val="bullet"/>
      <w:lvlText w:val="o"/>
      <w:lvlJc w:val="left"/>
      <w:pPr>
        <w:ind w:left="1515" w:hanging="360"/>
      </w:pPr>
      <w:rPr>
        <w:rFonts w:ascii="Courier New" w:hAnsi="Courier New" w:cs="Courier New" w:hint="default"/>
      </w:rPr>
    </w:lvl>
    <w:lvl w:ilvl="2" w:tentative="1">
      <w:start w:val="1"/>
      <w:numFmt w:val="bullet"/>
      <w:lvlText w:val=""/>
      <w:lvlJc w:val="left"/>
      <w:pPr>
        <w:ind w:left="2235" w:hanging="360"/>
      </w:pPr>
      <w:rPr>
        <w:rFonts w:ascii="Wingdings" w:hAnsi="Wingdings" w:hint="default"/>
      </w:rPr>
    </w:lvl>
    <w:lvl w:ilvl="3" w:tentative="1">
      <w:start w:val="1"/>
      <w:numFmt w:val="bullet"/>
      <w:lvlText w:val=""/>
      <w:lvlJc w:val="left"/>
      <w:pPr>
        <w:ind w:left="2955" w:hanging="360"/>
      </w:pPr>
      <w:rPr>
        <w:rFonts w:ascii="Symbol" w:hAnsi="Symbol" w:hint="default"/>
      </w:rPr>
    </w:lvl>
    <w:lvl w:ilvl="4" w:tentative="1">
      <w:start w:val="1"/>
      <w:numFmt w:val="bullet"/>
      <w:lvlText w:val="o"/>
      <w:lvlJc w:val="left"/>
      <w:pPr>
        <w:ind w:left="3675" w:hanging="360"/>
      </w:pPr>
      <w:rPr>
        <w:rFonts w:ascii="Courier New" w:hAnsi="Courier New" w:cs="Courier New" w:hint="default"/>
      </w:rPr>
    </w:lvl>
    <w:lvl w:ilvl="5" w:tentative="1">
      <w:start w:val="1"/>
      <w:numFmt w:val="bullet"/>
      <w:lvlText w:val=""/>
      <w:lvlJc w:val="left"/>
      <w:pPr>
        <w:ind w:left="4395" w:hanging="360"/>
      </w:pPr>
      <w:rPr>
        <w:rFonts w:ascii="Wingdings" w:hAnsi="Wingdings" w:hint="default"/>
      </w:rPr>
    </w:lvl>
    <w:lvl w:ilvl="6" w:tentative="1">
      <w:start w:val="1"/>
      <w:numFmt w:val="bullet"/>
      <w:lvlText w:val=""/>
      <w:lvlJc w:val="left"/>
      <w:pPr>
        <w:ind w:left="5115" w:hanging="360"/>
      </w:pPr>
      <w:rPr>
        <w:rFonts w:ascii="Symbol" w:hAnsi="Symbol" w:hint="default"/>
      </w:rPr>
    </w:lvl>
    <w:lvl w:ilvl="7" w:tentative="1">
      <w:start w:val="1"/>
      <w:numFmt w:val="bullet"/>
      <w:lvlText w:val="o"/>
      <w:lvlJc w:val="left"/>
      <w:pPr>
        <w:ind w:left="5835" w:hanging="360"/>
      </w:pPr>
      <w:rPr>
        <w:rFonts w:ascii="Courier New" w:hAnsi="Courier New" w:cs="Courier New" w:hint="default"/>
      </w:rPr>
    </w:lvl>
    <w:lvl w:ilvl="8" w:tentative="1">
      <w:start w:val="1"/>
      <w:numFmt w:val="bullet"/>
      <w:lvlText w:val=""/>
      <w:lvlJc w:val="left"/>
      <w:pPr>
        <w:ind w:left="6555" w:hanging="360"/>
      </w:pPr>
      <w:rPr>
        <w:rFonts w:ascii="Wingdings" w:hAnsi="Wingdings" w:hint="default"/>
      </w:rPr>
    </w:lvl>
  </w:abstractNum>
  <w:abstractNum w:abstractNumId="8">
    <w:nsid w:val="237B6119"/>
    <w:multiLevelType w:val="multilevel"/>
    <w:tmpl w:val="B44C5B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F6690B"/>
    <w:multiLevelType w:val="hybridMultilevel"/>
    <w:tmpl w:val="3D02D72E"/>
    <w:lvl w:ilvl="0">
      <w:start w:val="1"/>
      <w:numFmt w:val="bullet"/>
      <w:lvlText w:val=""/>
      <w:lvlJc w:val="left"/>
      <w:pPr>
        <w:ind w:left="720" w:hanging="360"/>
      </w:pPr>
      <w:rPr>
        <w:rFonts w:ascii="Wingdings" w:hAnsi="Wingdings" w:hint="default"/>
        <w:color w:val="ED7D31" w:themeColor="accent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9CA6154"/>
    <w:multiLevelType w:val="multilevel"/>
    <w:tmpl w:val="293411A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A6D6549"/>
    <w:multiLevelType w:val="multilevel"/>
    <w:tmpl w:val="D8F02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AE264E2"/>
    <w:multiLevelType w:val="multilevel"/>
    <w:tmpl w:val="E8A6D4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DF41D3E"/>
    <w:multiLevelType w:val="hybridMultilevel"/>
    <w:tmpl w:val="0B9E173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EA40FE2"/>
    <w:multiLevelType w:val="multilevel"/>
    <w:tmpl w:val="0D70B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8BE1DE8"/>
    <w:multiLevelType w:val="hybridMultilevel"/>
    <w:tmpl w:val="E2F8D9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96C2AE8"/>
    <w:multiLevelType w:val="hybridMultilevel"/>
    <w:tmpl w:val="9298540A"/>
    <w:lvl w:ilvl="0">
      <w:start w:val="1"/>
      <w:numFmt w:val="bullet"/>
      <w:lvlText w:val=""/>
      <w:lvlJc w:val="left"/>
      <w:pPr>
        <w:ind w:left="720" w:hanging="360"/>
      </w:pPr>
      <w:rPr>
        <w:rFonts w:ascii="Wingdings" w:hAnsi="Wingdings" w:hint="default"/>
        <w:color w:val="F39200"/>
      </w:rPr>
    </w:lvl>
    <w:lvl w:ilvl="1">
      <w:start w:val="1"/>
      <w:numFmt w:val="bullet"/>
      <w:lvlText w:val=""/>
      <w:lvlJc w:val="left"/>
      <w:pPr>
        <w:ind w:left="1440" w:hanging="360"/>
      </w:pPr>
      <w:rPr>
        <w:rFonts w:ascii="Wingdings" w:hAnsi="Wingdings" w:hint="default"/>
        <w:color w:val="F39200"/>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A336618"/>
    <w:multiLevelType w:val="hybridMultilevel"/>
    <w:tmpl w:val="FA46E6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3C4C7C5E"/>
    <w:multiLevelType w:val="hybridMultilevel"/>
    <w:tmpl w:val="C52CE682"/>
    <w:lvl w:ilvl="0">
      <w:start w:val="1"/>
      <w:numFmt w:val="bullet"/>
      <w:lvlText w:val=""/>
      <w:lvlJc w:val="left"/>
      <w:pPr>
        <w:ind w:left="720" w:hanging="360"/>
      </w:pPr>
      <w:rPr>
        <w:rFonts w:ascii="Wingdings" w:hAnsi="Wingdings" w:hint="default"/>
        <w:color w:val="F392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2E8749E"/>
    <w:multiLevelType w:val="hybridMultilevel"/>
    <w:tmpl w:val="295C2F5C"/>
    <w:lvl w:ilvl="0">
      <w:start w:val="1"/>
      <w:numFmt w:val="bullet"/>
      <w:lvlText w:val=""/>
      <w:lvlJc w:val="left"/>
      <w:pPr>
        <w:ind w:left="720" w:hanging="360"/>
      </w:pPr>
      <w:rPr>
        <w:rFonts w:ascii="Wingdings" w:hAnsi="Wingdings" w:hint="default"/>
        <w:color w:val="F392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56027E1"/>
    <w:multiLevelType w:val="hybridMultilevel"/>
    <w:tmpl w:val="5290CDCA"/>
    <w:lvl w:ilvl="0">
      <w:start w:val="1"/>
      <w:numFmt w:val="bullet"/>
      <w:lvlText w:val=""/>
      <w:lvlJc w:val="left"/>
      <w:pPr>
        <w:ind w:left="720" w:hanging="360"/>
      </w:pPr>
      <w:rPr>
        <w:rFonts w:ascii="Wingdings" w:hAnsi="Wingdings" w:hint="default"/>
        <w:color w:val="F3920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778130C"/>
    <w:multiLevelType w:val="hybridMultilevel"/>
    <w:tmpl w:val="A8CAD40C"/>
    <w:lvl w:ilvl="0">
      <w:start w:val="1"/>
      <w:numFmt w:val="bullet"/>
      <w:lvlText w:val=""/>
      <w:lvlJc w:val="left"/>
      <w:pPr>
        <w:ind w:left="720" w:hanging="360"/>
      </w:pPr>
      <w:rPr>
        <w:rFonts w:ascii="Wingdings" w:hAnsi="Wingdings" w:hint="default"/>
        <w:color w:val="F3920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7EF6D8C"/>
    <w:multiLevelType w:val="hybridMultilevel"/>
    <w:tmpl w:val="CD501B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48262B46"/>
    <w:multiLevelType w:val="hybridMultilevel"/>
    <w:tmpl w:val="9904DD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D8F1E4B"/>
    <w:multiLevelType w:val="hybridMultilevel"/>
    <w:tmpl w:val="666CCF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F7174A3"/>
    <w:multiLevelType w:val="hybridMultilevel"/>
    <w:tmpl w:val="D75EE6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1B02411"/>
    <w:multiLevelType w:val="multilevel"/>
    <w:tmpl w:val="D79AB15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6D27AB1"/>
    <w:multiLevelType w:val="hybridMultilevel"/>
    <w:tmpl w:val="59C0A82E"/>
    <w:lvl w:ilvl="0">
      <w:start w:val="1"/>
      <w:numFmt w:val="bullet"/>
      <w:lvlText w:val=""/>
      <w:lvlJc w:val="left"/>
      <w:pPr>
        <w:ind w:left="795" w:hanging="360"/>
      </w:pPr>
      <w:rPr>
        <w:rFonts w:ascii="Wingdings" w:hAnsi="Wingdings" w:hint="default"/>
        <w:color w:val="F39200"/>
      </w:rPr>
    </w:lvl>
    <w:lvl w:ilvl="1" w:tentative="1">
      <w:start w:val="1"/>
      <w:numFmt w:val="bullet"/>
      <w:lvlText w:val="o"/>
      <w:lvlJc w:val="left"/>
      <w:pPr>
        <w:ind w:left="1515" w:hanging="360"/>
      </w:pPr>
      <w:rPr>
        <w:rFonts w:ascii="Courier New" w:hAnsi="Courier New" w:cs="Courier New" w:hint="default"/>
      </w:rPr>
    </w:lvl>
    <w:lvl w:ilvl="2" w:tentative="1">
      <w:start w:val="1"/>
      <w:numFmt w:val="bullet"/>
      <w:lvlText w:val=""/>
      <w:lvlJc w:val="left"/>
      <w:pPr>
        <w:ind w:left="2235" w:hanging="360"/>
      </w:pPr>
      <w:rPr>
        <w:rFonts w:ascii="Wingdings" w:hAnsi="Wingdings" w:hint="default"/>
      </w:rPr>
    </w:lvl>
    <w:lvl w:ilvl="3" w:tentative="1">
      <w:start w:val="1"/>
      <w:numFmt w:val="bullet"/>
      <w:lvlText w:val=""/>
      <w:lvlJc w:val="left"/>
      <w:pPr>
        <w:ind w:left="2955" w:hanging="360"/>
      </w:pPr>
      <w:rPr>
        <w:rFonts w:ascii="Symbol" w:hAnsi="Symbol" w:hint="default"/>
      </w:rPr>
    </w:lvl>
    <w:lvl w:ilvl="4" w:tentative="1">
      <w:start w:val="1"/>
      <w:numFmt w:val="bullet"/>
      <w:lvlText w:val="o"/>
      <w:lvlJc w:val="left"/>
      <w:pPr>
        <w:ind w:left="3675" w:hanging="360"/>
      </w:pPr>
      <w:rPr>
        <w:rFonts w:ascii="Courier New" w:hAnsi="Courier New" w:cs="Courier New" w:hint="default"/>
      </w:rPr>
    </w:lvl>
    <w:lvl w:ilvl="5" w:tentative="1">
      <w:start w:val="1"/>
      <w:numFmt w:val="bullet"/>
      <w:lvlText w:val=""/>
      <w:lvlJc w:val="left"/>
      <w:pPr>
        <w:ind w:left="4395" w:hanging="360"/>
      </w:pPr>
      <w:rPr>
        <w:rFonts w:ascii="Wingdings" w:hAnsi="Wingdings" w:hint="default"/>
      </w:rPr>
    </w:lvl>
    <w:lvl w:ilvl="6" w:tentative="1">
      <w:start w:val="1"/>
      <w:numFmt w:val="bullet"/>
      <w:lvlText w:val=""/>
      <w:lvlJc w:val="left"/>
      <w:pPr>
        <w:ind w:left="5115" w:hanging="360"/>
      </w:pPr>
      <w:rPr>
        <w:rFonts w:ascii="Symbol" w:hAnsi="Symbol" w:hint="default"/>
      </w:rPr>
    </w:lvl>
    <w:lvl w:ilvl="7" w:tentative="1">
      <w:start w:val="1"/>
      <w:numFmt w:val="bullet"/>
      <w:lvlText w:val="o"/>
      <w:lvlJc w:val="left"/>
      <w:pPr>
        <w:ind w:left="5835" w:hanging="360"/>
      </w:pPr>
      <w:rPr>
        <w:rFonts w:ascii="Courier New" w:hAnsi="Courier New" w:cs="Courier New" w:hint="default"/>
      </w:rPr>
    </w:lvl>
    <w:lvl w:ilvl="8" w:tentative="1">
      <w:start w:val="1"/>
      <w:numFmt w:val="bullet"/>
      <w:lvlText w:val=""/>
      <w:lvlJc w:val="left"/>
      <w:pPr>
        <w:ind w:left="6555" w:hanging="360"/>
      </w:pPr>
      <w:rPr>
        <w:rFonts w:ascii="Wingdings" w:hAnsi="Wingdings" w:hint="default"/>
      </w:rPr>
    </w:lvl>
  </w:abstractNum>
  <w:abstractNum w:abstractNumId="28">
    <w:nsid w:val="57120C19"/>
    <w:multiLevelType w:val="hybridMultilevel"/>
    <w:tmpl w:val="9F061C8C"/>
    <w:lvl w:ilvl="0">
      <w:start w:val="1"/>
      <w:numFmt w:val="bullet"/>
      <w:lvlText w:val=""/>
      <w:lvlJc w:val="left"/>
      <w:pPr>
        <w:ind w:left="720" w:hanging="360"/>
      </w:pPr>
      <w:rPr>
        <w:rFonts w:ascii="Wingdings" w:hAnsi="Wingdings" w:hint="default"/>
        <w:color w:val="F392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58742953"/>
    <w:multiLevelType w:val="hybridMultilevel"/>
    <w:tmpl w:val="743ED3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58847BB6"/>
    <w:multiLevelType w:val="hybridMultilevel"/>
    <w:tmpl w:val="98848E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59281E29"/>
    <w:multiLevelType w:val="hybridMultilevel"/>
    <w:tmpl w:val="637E7534"/>
    <w:lvl w:ilvl="0">
      <w:start w:val="1"/>
      <w:numFmt w:val="bullet"/>
      <w:lvlText w:val=""/>
      <w:lvlJc w:val="left"/>
      <w:pPr>
        <w:ind w:left="720" w:hanging="360"/>
      </w:pPr>
      <w:rPr>
        <w:rFonts w:ascii="Wingdings" w:hAnsi="Wingdings" w:hint="default"/>
        <w:color w:val="F3920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61747917"/>
    <w:multiLevelType w:val="hybridMultilevel"/>
    <w:tmpl w:val="5716595A"/>
    <w:lvl w:ilvl="0">
      <w:start w:val="1"/>
      <w:numFmt w:val="bullet"/>
      <w:lvlText w:val=""/>
      <w:lvlJc w:val="left"/>
      <w:pPr>
        <w:ind w:left="720" w:hanging="360"/>
      </w:pPr>
      <w:rPr>
        <w:rFonts w:ascii="Wingdings" w:hAnsi="Wingdings" w:hint="default"/>
        <w:color w:val="ED7D31" w:themeColor="accent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53D2DFC"/>
    <w:multiLevelType w:val="hybridMultilevel"/>
    <w:tmpl w:val="8E54C4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687524D6"/>
    <w:multiLevelType w:val="hybridMultilevel"/>
    <w:tmpl w:val="C1B8367A"/>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Wingdings" w:hAnsi="Wingdings" w:hint="default"/>
        <w:color w:val="F39200"/>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6CFB21B5"/>
    <w:multiLevelType w:val="hybridMultilevel"/>
    <w:tmpl w:val="94F2A48A"/>
    <w:lvl w:ilvl="0">
      <w:start w:val="1"/>
      <w:numFmt w:val="bullet"/>
      <w:lvlText w:val=""/>
      <w:lvlJc w:val="left"/>
      <w:pPr>
        <w:ind w:left="720" w:hanging="360"/>
      </w:pPr>
      <w:rPr>
        <w:rFonts w:ascii="Wingdings" w:hAnsi="Wingdings" w:hint="default"/>
        <w:color w:val="F392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6E092074"/>
    <w:multiLevelType w:val="hybridMultilevel"/>
    <w:tmpl w:val="802CA088"/>
    <w:lvl w:ilvl="0">
      <w:start w:val="1"/>
      <w:numFmt w:val="bullet"/>
      <w:lvlText w:val=""/>
      <w:lvlJc w:val="left"/>
      <w:pPr>
        <w:ind w:left="720" w:hanging="360"/>
      </w:pPr>
      <w:rPr>
        <w:rFonts w:ascii="Wingdings" w:hAnsi="Wingdings" w:hint="default"/>
        <w:color w:val="F392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702F0EF2"/>
    <w:multiLevelType w:val="hybridMultilevel"/>
    <w:tmpl w:val="2E9435F6"/>
    <w:lvl w:ilvl="0">
      <w:start w:val="1"/>
      <w:numFmt w:val="bullet"/>
      <w:lvlText w:val=""/>
      <w:lvlJc w:val="left"/>
      <w:pPr>
        <w:ind w:left="720" w:hanging="360"/>
      </w:pPr>
      <w:rPr>
        <w:rFonts w:ascii="Wingdings" w:hAnsi="Wingdings" w:hint="default"/>
        <w:color w:val="F392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70A11B86"/>
    <w:multiLevelType w:val="hybridMultilevel"/>
    <w:tmpl w:val="35B6EAF0"/>
    <w:lvl w:ilvl="0">
      <w:start w:val="1"/>
      <w:numFmt w:val="bullet"/>
      <w:lvlText w:val=""/>
      <w:lvlJc w:val="left"/>
      <w:pPr>
        <w:ind w:left="720" w:hanging="360"/>
      </w:pPr>
      <w:rPr>
        <w:rFonts w:ascii="Wingdings" w:hAnsi="Wingdings" w:hint="default"/>
        <w:color w:val="F392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7593490E"/>
    <w:multiLevelType w:val="hybridMultilevel"/>
    <w:tmpl w:val="DA86ECF4"/>
    <w:lvl w:ilvl="0">
      <w:start w:val="1"/>
      <w:numFmt w:val="bullet"/>
      <w:lvlText w:val=""/>
      <w:lvlJc w:val="left"/>
      <w:pPr>
        <w:ind w:left="720" w:hanging="360"/>
      </w:pPr>
      <w:rPr>
        <w:rFonts w:ascii="Wingdings" w:hAnsi="Wingdings" w:hint="default"/>
        <w:color w:val="F3920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77263B1F"/>
    <w:multiLevelType w:val="hybridMultilevel"/>
    <w:tmpl w:val="8CDAF5C0"/>
    <w:lvl w:ilvl="0">
      <w:start w:val="1"/>
      <w:numFmt w:val="bullet"/>
      <w:lvlText w:val=""/>
      <w:lvlJc w:val="left"/>
      <w:pPr>
        <w:ind w:left="720" w:hanging="360"/>
      </w:pPr>
      <w:rPr>
        <w:rFonts w:ascii="Wingdings" w:hAnsi="Wingdings" w:hint="default"/>
        <w:color w:val="F3920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7A6701F4"/>
    <w:multiLevelType w:val="hybridMultilevel"/>
    <w:tmpl w:val="49B289EC"/>
    <w:lvl w:ilvl="0">
      <w:start w:val="1"/>
      <w:numFmt w:val="bullet"/>
      <w:lvlText w:val=""/>
      <w:lvlJc w:val="left"/>
      <w:pPr>
        <w:ind w:left="720" w:hanging="360"/>
      </w:pPr>
      <w:rPr>
        <w:rFonts w:ascii="Wingdings" w:hAnsi="Wingdings" w:hint="default"/>
        <w:color w:val="F392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7A6B26D9"/>
    <w:multiLevelType w:val="hybridMultilevel"/>
    <w:tmpl w:val="15C0DD7E"/>
    <w:lvl w:ilvl="0">
      <w:start w:val="1"/>
      <w:numFmt w:val="bullet"/>
      <w:lvlText w:val=""/>
      <w:lvlJc w:val="left"/>
      <w:pPr>
        <w:ind w:left="720" w:hanging="360"/>
      </w:pPr>
      <w:rPr>
        <w:rFonts w:ascii="Wingdings" w:hAnsi="Wingdings" w:hint="default"/>
        <w:color w:val="F3920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7"/>
  </w:num>
  <w:num w:numId="2">
    <w:abstractNumId w:val="8"/>
  </w:num>
  <w:num w:numId="3">
    <w:abstractNumId w:val="33"/>
  </w:num>
  <w:num w:numId="4">
    <w:abstractNumId w:val="30"/>
  </w:num>
  <w:num w:numId="5">
    <w:abstractNumId w:val="10"/>
  </w:num>
  <w:num w:numId="6">
    <w:abstractNumId w:val="12"/>
  </w:num>
  <w:num w:numId="7">
    <w:abstractNumId w:val="26"/>
  </w:num>
  <w:num w:numId="8">
    <w:abstractNumId w:val="2"/>
  </w:num>
  <w:num w:numId="9">
    <w:abstractNumId w:val="6"/>
  </w:num>
  <w:num w:numId="10">
    <w:abstractNumId w:val="1"/>
  </w:num>
  <w:num w:numId="11">
    <w:abstractNumId w:val="29"/>
  </w:num>
  <w:num w:numId="12">
    <w:abstractNumId w:val="13"/>
  </w:num>
  <w:num w:numId="13">
    <w:abstractNumId w:val="23"/>
  </w:num>
  <w:num w:numId="14">
    <w:abstractNumId w:val="24"/>
  </w:num>
  <w:num w:numId="15">
    <w:abstractNumId w:val="7"/>
  </w:num>
  <w:num w:numId="16">
    <w:abstractNumId w:val="22"/>
  </w:num>
  <w:num w:numId="17">
    <w:abstractNumId w:val="3"/>
  </w:num>
  <w:num w:numId="18">
    <w:abstractNumId w:val="39"/>
  </w:num>
  <w:num w:numId="19">
    <w:abstractNumId w:val="34"/>
  </w:num>
  <w:num w:numId="20">
    <w:abstractNumId w:val="16"/>
  </w:num>
  <w:num w:numId="21">
    <w:abstractNumId w:val="38"/>
  </w:num>
  <w:num w:numId="22">
    <w:abstractNumId w:val="5"/>
  </w:num>
  <w:num w:numId="23">
    <w:abstractNumId w:val="42"/>
  </w:num>
  <w:num w:numId="24">
    <w:abstractNumId w:val="31"/>
  </w:num>
  <w:num w:numId="25">
    <w:abstractNumId w:val="0"/>
  </w:num>
  <w:num w:numId="26">
    <w:abstractNumId w:val="35"/>
  </w:num>
  <w:num w:numId="27">
    <w:abstractNumId w:val="40"/>
  </w:num>
  <w:num w:numId="28">
    <w:abstractNumId w:val="27"/>
  </w:num>
  <w:num w:numId="29">
    <w:abstractNumId w:val="18"/>
  </w:num>
  <w:num w:numId="30">
    <w:abstractNumId w:val="41"/>
  </w:num>
  <w:num w:numId="31">
    <w:abstractNumId w:val="36"/>
  </w:num>
  <w:num w:numId="32">
    <w:abstractNumId w:val="28"/>
  </w:num>
  <w:num w:numId="33">
    <w:abstractNumId w:val="11"/>
  </w:num>
  <w:num w:numId="34">
    <w:abstractNumId w:val="4"/>
  </w:num>
  <w:num w:numId="35">
    <w:abstractNumId w:val="14"/>
  </w:num>
  <w:num w:numId="36">
    <w:abstractNumId w:val="20"/>
  </w:num>
  <w:num w:numId="37">
    <w:abstractNumId w:val="21"/>
  </w:num>
  <w:num w:numId="38">
    <w:abstractNumId w:val="37"/>
  </w:num>
  <w:num w:numId="39">
    <w:abstractNumId w:val="19"/>
  </w:num>
  <w:num w:numId="40">
    <w:abstractNumId w:val="15"/>
  </w:num>
  <w:num w:numId="41">
    <w:abstractNumId w:val="32"/>
  </w:num>
  <w:num w:numId="42">
    <w:abstractNumId w:val="25"/>
  </w:num>
  <w:num w:numId="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37768"/>
  </w:style>
  <w:style w:type="paragraph" w:styleId="Heading1">
    <w:name w:val="heading 1"/>
    <w:basedOn w:val="Normal"/>
    <w:next w:val="Normal"/>
    <w:link w:val="Heading1Char"/>
    <w:uiPriority w:val="9"/>
    <w:qFormat/>
    <w:rsid w:val="00856E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5">
    <w:name w:val="heading 5"/>
    <w:basedOn w:val="Normal"/>
    <w:link w:val="Heading5Char"/>
    <w:uiPriority w:val="9"/>
    <w:qFormat/>
    <w:rsid w:val="003F535F"/>
    <w:pPr>
      <w:spacing w:before="100" w:beforeAutospacing="1" w:after="100" w:afterAutospacing="1"/>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3E7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6AFA"/>
    <w:pPr>
      <w:ind w:left="720"/>
      <w:contextualSpacing/>
    </w:pPr>
  </w:style>
  <w:style w:type="paragraph" w:styleId="NormalWeb">
    <w:name w:val="Normal (Web)"/>
    <w:basedOn w:val="Normal"/>
    <w:uiPriority w:val="99"/>
    <w:unhideWhenUsed/>
    <w:rsid w:val="00A56AFA"/>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671DE"/>
    <w:rPr>
      <w:b/>
      <w:bCs/>
    </w:rPr>
  </w:style>
  <w:style w:type="character" w:customStyle="1" w:styleId="Heading5Char">
    <w:name w:val="Heading 5 Char"/>
    <w:basedOn w:val="DefaultParagraphFont"/>
    <w:link w:val="Heading5"/>
    <w:uiPriority w:val="9"/>
    <w:rsid w:val="003F535F"/>
    <w:rPr>
      <w:rFonts w:ascii="Times New Roman" w:eastAsia="Times New Roman" w:hAnsi="Times New Roman" w:cs="Times New Roman"/>
      <w:b/>
      <w:bCs/>
      <w:sz w:val="20"/>
      <w:szCs w:val="20"/>
      <w:lang w:eastAsia="en-GB"/>
    </w:rPr>
  </w:style>
  <w:style w:type="paragraph" w:customStyle="1" w:styleId="paragraph">
    <w:name w:val="paragraph"/>
    <w:basedOn w:val="Normal"/>
    <w:rsid w:val="00457618"/>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57618"/>
  </w:style>
  <w:style w:type="character" w:customStyle="1" w:styleId="eop">
    <w:name w:val="eop"/>
    <w:basedOn w:val="DefaultParagraphFont"/>
    <w:rsid w:val="00457618"/>
  </w:style>
  <w:style w:type="paragraph" w:styleId="BalloonText">
    <w:name w:val="Balloon Text"/>
    <w:basedOn w:val="Normal"/>
    <w:link w:val="BalloonTextChar"/>
    <w:uiPriority w:val="99"/>
    <w:semiHidden/>
    <w:unhideWhenUsed/>
    <w:rsid w:val="006B6EE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EE4"/>
    <w:rPr>
      <w:rFonts w:ascii="Segoe UI" w:hAnsi="Segoe UI" w:cs="Segoe UI"/>
      <w:sz w:val="18"/>
      <w:szCs w:val="18"/>
    </w:rPr>
  </w:style>
  <w:style w:type="paragraph" w:styleId="FootnoteText">
    <w:name w:val="footnote text"/>
    <w:basedOn w:val="Normal"/>
    <w:link w:val="FootnoteTextChar"/>
    <w:uiPriority w:val="99"/>
    <w:semiHidden/>
    <w:unhideWhenUsed/>
    <w:rsid w:val="00E37768"/>
    <w:pPr>
      <w:spacing w:after="0"/>
    </w:pPr>
    <w:rPr>
      <w:sz w:val="20"/>
      <w:szCs w:val="20"/>
    </w:rPr>
  </w:style>
  <w:style w:type="character" w:customStyle="1" w:styleId="FootnoteTextChar">
    <w:name w:val="Footnote Text Char"/>
    <w:basedOn w:val="DefaultParagraphFont"/>
    <w:link w:val="FootnoteText"/>
    <w:uiPriority w:val="99"/>
    <w:semiHidden/>
    <w:rsid w:val="00E37768"/>
    <w:rPr>
      <w:sz w:val="20"/>
      <w:szCs w:val="20"/>
    </w:rPr>
  </w:style>
  <w:style w:type="character" w:styleId="FootnoteReference">
    <w:name w:val="footnote reference"/>
    <w:basedOn w:val="DefaultParagraphFont"/>
    <w:uiPriority w:val="99"/>
    <w:semiHidden/>
    <w:unhideWhenUsed/>
    <w:rsid w:val="00E37768"/>
    <w:rPr>
      <w:vertAlign w:val="superscript"/>
    </w:rPr>
  </w:style>
  <w:style w:type="paragraph" w:styleId="Header">
    <w:name w:val="header"/>
    <w:basedOn w:val="Normal"/>
    <w:link w:val="HeaderChar"/>
    <w:uiPriority w:val="99"/>
    <w:unhideWhenUsed/>
    <w:rsid w:val="00E37768"/>
    <w:pPr>
      <w:tabs>
        <w:tab w:val="center" w:pos="4513"/>
        <w:tab w:val="right" w:pos="9026"/>
      </w:tabs>
      <w:spacing w:after="0"/>
    </w:pPr>
  </w:style>
  <w:style w:type="character" w:customStyle="1" w:styleId="HeaderChar">
    <w:name w:val="Header Char"/>
    <w:basedOn w:val="DefaultParagraphFont"/>
    <w:link w:val="Header"/>
    <w:uiPriority w:val="99"/>
    <w:rsid w:val="00E37768"/>
  </w:style>
  <w:style w:type="paragraph" w:styleId="Footer">
    <w:name w:val="footer"/>
    <w:basedOn w:val="Normal"/>
    <w:link w:val="FooterChar"/>
    <w:uiPriority w:val="99"/>
    <w:unhideWhenUsed/>
    <w:rsid w:val="00E37768"/>
    <w:pPr>
      <w:tabs>
        <w:tab w:val="center" w:pos="4513"/>
        <w:tab w:val="right" w:pos="9026"/>
      </w:tabs>
      <w:spacing w:after="0"/>
    </w:pPr>
  </w:style>
  <w:style w:type="character" w:customStyle="1" w:styleId="FooterChar">
    <w:name w:val="Footer Char"/>
    <w:basedOn w:val="DefaultParagraphFont"/>
    <w:link w:val="Footer"/>
    <w:uiPriority w:val="99"/>
    <w:rsid w:val="00E37768"/>
  </w:style>
  <w:style w:type="character" w:customStyle="1" w:styleId="Heading1Char">
    <w:name w:val="Heading 1 Char"/>
    <w:basedOn w:val="DefaultParagraphFont"/>
    <w:link w:val="Heading1"/>
    <w:uiPriority w:val="9"/>
    <w:rsid w:val="00856E5D"/>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856E5D"/>
    <w:rPr>
      <w:color w:val="0563C1" w:themeColor="hyperlink"/>
      <w:u w:val="single"/>
    </w:rPr>
  </w:style>
  <w:style w:type="character" w:customStyle="1" w:styleId="UnresolvedMention1">
    <w:name w:val="Unresolved Mention1"/>
    <w:basedOn w:val="DefaultParagraphFont"/>
    <w:uiPriority w:val="99"/>
    <w:semiHidden/>
    <w:unhideWhenUsed/>
    <w:rsid w:val="00856E5D"/>
    <w:rPr>
      <w:color w:val="605E5C"/>
      <w:shd w:val="clear" w:color="auto" w:fill="E1DFDD"/>
    </w:rPr>
  </w:style>
  <w:style w:type="character" w:styleId="CommentReference">
    <w:name w:val="annotation reference"/>
    <w:basedOn w:val="DefaultParagraphFont"/>
    <w:uiPriority w:val="99"/>
    <w:semiHidden/>
    <w:unhideWhenUsed/>
    <w:rsid w:val="00856E5D"/>
    <w:rPr>
      <w:sz w:val="16"/>
      <w:szCs w:val="16"/>
    </w:rPr>
  </w:style>
  <w:style w:type="paragraph" w:customStyle="1" w:styleId="Body">
    <w:name w:val="Body"/>
    <w:rsid w:val="00751111"/>
    <w:pPr>
      <w:pBdr>
        <w:top w:val="nil"/>
        <w:left w:val="nil"/>
        <w:bottom w:val="nil"/>
        <w:right w:val="nil"/>
        <w:between w:val="nil"/>
        <w:bar w:val="nil"/>
      </w:pBdr>
      <w:spacing w:after="0"/>
    </w:pPr>
    <w:rPr>
      <w:rFonts w:ascii="Helvetica Neue" w:eastAsia="Arial Unicode MS" w:hAnsi="Helvetica Neue" w:cs="Arial Unicode MS"/>
      <w:color w:val="000000"/>
      <w:bdr w:val="ni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99ED9-2578-412C-9FE5-053FA26DF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