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1D56" w:rsidRPr="00A12BB2" w:rsidP="004700FA">
      <w:pPr>
        <w:rPr>
          <w:szCs w:val="24"/>
        </w:rPr>
      </w:pPr>
      <w:r w:rsidRPr="00A12BB2">
        <w:rPr>
          <w:szCs w:val="24"/>
        </w:rPr>
        <w:t xml:space="preserve">Date:  </w:t>
      </w:r>
      <w:r>
        <w:rPr>
          <w:szCs w:val="24"/>
        </w:rPr>
        <w:fldChar w:fldCharType="begin">
          <w:ffData>
            <w:name w:val="Text1"/>
            <w:enabled w:val="0"/>
            <w:calcOnExit w:val="0"/>
            <w:textInput>
              <w:type w:val="currentTime"/>
              <w:format w:val="dd MMMM yyyy"/>
            </w:textInput>
          </w:ffData>
        </w:fldChar>
      </w:r>
      <w:bookmarkStart w:id="0" w:name="Text1"/>
      <w:r>
        <w:rPr>
          <w:szCs w:val="24"/>
        </w:rPr>
        <w:instrText xml:space="preserve"> FORMTEXT </w:instrText>
      </w:r>
      <w:r>
        <w:rPr>
          <w:szCs w:val="24"/>
        </w:rPr>
        <w:fldChar w:fldCharType="begin"/>
      </w:r>
      <w:r>
        <w:rPr>
          <w:szCs w:val="24"/>
        </w:rPr>
        <w:instrText xml:space="preserve"> TIME \@ "dd MMMM yyyy" </w:instrText>
      </w:r>
      <w:r>
        <w:rPr>
          <w:szCs w:val="24"/>
        </w:rPr>
        <w:fldChar w:fldCharType="separate"/>
      </w:r>
      <w:r>
        <w:rPr>
          <w:noProof/>
          <w:szCs w:val="24"/>
        </w:rPr>
        <w:instrText>28 April 2026</w:instrText>
      </w:r>
      <w:r>
        <w:rPr>
          <w:szCs w:val="24"/>
        </w:rPr>
        <w:fldChar w:fldCharType="end"/>
      </w:r>
      <w:r>
        <w:rPr>
          <w:szCs w:val="24"/>
        </w:rPr>
        <w:fldChar w:fldCharType="separate"/>
      </w:r>
      <w:r>
        <w:rPr>
          <w:noProof/>
          <w:szCs w:val="24"/>
        </w:rPr>
        <w:t>09 April 2026</w:t>
      </w:r>
      <w:r>
        <w:rPr>
          <w:szCs w:val="24"/>
        </w:rPr>
        <w:fldChar w:fldCharType="end"/>
      </w:r>
      <w:bookmarkEnd w:id="0"/>
    </w:p>
    <w:p w:rsidR="009C1D56" w:rsidRPr="00A12BB2" w:rsidP="004700FA">
      <w:pPr>
        <w:rPr>
          <w:szCs w:val="24"/>
        </w:rPr>
      </w:pPr>
    </w:p>
    <w:p w:rsidR="009C1D56" w:rsidRPr="00A12BB2" w:rsidP="004700FA">
      <w:pPr>
        <w:rPr>
          <w:szCs w:val="24"/>
        </w:rPr>
      </w:pPr>
      <w:r>
        <w:rPr>
          <w:szCs w:val="24"/>
        </w:rPr>
        <w:t>Business and Trade Select Committee</w:t>
      </w:r>
    </w:p>
    <w:p w:rsidR="009C1D56" w:rsidRPr="00A12BB2" w:rsidP="004700FA">
      <w:pPr>
        <w:tabs>
          <w:tab w:val="left" w:pos="3024"/>
        </w:tabs>
        <w:rPr>
          <w:szCs w:val="24"/>
        </w:rPr>
      </w:pPr>
      <w:r>
        <w:rPr>
          <w:szCs w:val="24"/>
        </w:rPr>
        <w:t>Houses of Parliament</w:t>
      </w:r>
    </w:p>
    <w:p w:rsidR="009C1D56" w:rsidRPr="00A12BB2" w:rsidP="004700FA">
      <w:pPr>
        <w:rPr>
          <w:szCs w:val="24"/>
        </w:rPr>
      </w:pPr>
      <w:r>
        <w:rPr>
          <w:szCs w:val="24"/>
        </w:rPr>
        <w:t>London</w:t>
      </w:r>
    </w:p>
    <w:p w:rsidR="009C1D56" w:rsidRPr="00A12BB2" w:rsidP="004700FA">
      <w:pPr>
        <w:rPr>
          <w:szCs w:val="24"/>
        </w:rPr>
      </w:pPr>
      <w:r>
        <w:rPr>
          <w:szCs w:val="24"/>
        </w:rPr>
        <w:t>SW1A 0AA</w:t>
      </w:r>
    </w:p>
    <w:p w:rsidR="009C1D56" w:rsidRPr="00A12BB2" w:rsidP="004700FA">
      <w:pPr>
        <w:rPr>
          <w:szCs w:val="24"/>
        </w:rPr>
      </w:pPr>
    </w:p>
    <w:p w:rsidR="009C1D56" w:rsidRPr="00A12BB2" w:rsidP="004700FA">
      <w:pPr>
        <w:rPr>
          <w:szCs w:val="24"/>
        </w:rPr>
      </w:pPr>
      <w:r w:rsidRPr="00A12BB2">
        <w:rPr>
          <w:szCs w:val="24"/>
        </w:rPr>
        <w:t xml:space="preserve">By:  </w:t>
      </w:r>
      <w:r>
        <w:rPr>
          <w:szCs w:val="24"/>
        </w:rPr>
        <w:t>Submission to Committee Portal</w:t>
      </w:r>
    </w:p>
    <w:p w:rsidR="009C1D56" w:rsidRPr="00A12BB2" w:rsidP="004700FA">
      <w:pPr>
        <w:rPr>
          <w:szCs w:val="24"/>
        </w:rPr>
      </w:pPr>
    </w:p>
    <w:p w:rsidR="009C1D56" w:rsidRPr="00A12BB2" w:rsidP="004700FA">
      <w:pPr>
        <w:tabs>
          <w:tab w:val="left" w:pos="6045"/>
        </w:tabs>
        <w:rPr>
          <w:szCs w:val="24"/>
        </w:rPr>
      </w:pPr>
      <w:r w:rsidRPr="00A12BB2">
        <w:rPr>
          <w:szCs w:val="24"/>
        </w:rPr>
        <w:t xml:space="preserve">Dear </w:t>
      </w:r>
      <w:r>
        <w:rPr>
          <w:szCs w:val="24"/>
        </w:rPr>
        <w:t>Chair</w:t>
      </w:r>
    </w:p>
    <w:p w:rsidR="009C1D56" w:rsidRPr="00A12BB2" w:rsidP="004700FA">
      <w:pPr>
        <w:rPr>
          <w:szCs w:val="24"/>
        </w:rPr>
      </w:pPr>
    </w:p>
    <w:p w:rsidR="009C1D56" w:rsidP="004700FA">
      <w:pPr>
        <w:rPr>
          <w:rStyle w:val="Style1"/>
          <w:szCs w:val="24"/>
        </w:rPr>
      </w:pPr>
      <w:r w:rsidRPr="00852EF6">
        <w:rPr>
          <w:rStyle w:val="Style1"/>
          <w:szCs w:val="24"/>
        </w:rPr>
        <w:t>Business and Trade Sub-Committee on Economic Security, Arms and Export Controls</w:t>
      </w:r>
      <w:r>
        <w:rPr>
          <w:rStyle w:val="Style1"/>
          <w:szCs w:val="24"/>
        </w:rPr>
        <w:t xml:space="preserve"> – Critical Minerals Inquiry Cornish Lithium plc </w:t>
      </w:r>
      <w:r>
        <w:rPr>
          <w:rStyle w:val="Style1"/>
          <w:szCs w:val="24"/>
        </w:rPr>
        <w:t xml:space="preserve"> - </w:t>
      </w:r>
      <w:r>
        <w:rPr>
          <w:rStyle w:val="Style1"/>
          <w:szCs w:val="24"/>
        </w:rPr>
        <w:t>Call for Evidence Response</w:t>
      </w:r>
    </w:p>
    <w:p w:rsidR="009C1D56" w:rsidP="004700FA">
      <w:pPr>
        <w:rPr>
          <w:rStyle w:val="Style1"/>
          <w:szCs w:val="24"/>
        </w:rPr>
      </w:pPr>
    </w:p>
    <w:p w:rsidR="009C1D56" w:rsidRPr="00952369" w:rsidP="004700FA">
      <w:pPr>
        <w:rPr>
          <w:rStyle w:val="Style1"/>
          <w:b w:val="0"/>
          <w:bCs w:val="0"/>
          <w:szCs w:val="24"/>
        </w:rPr>
      </w:pPr>
      <w:r w:rsidRPr="00952369">
        <w:rPr>
          <w:rStyle w:val="Style1"/>
          <w:b w:val="0"/>
          <w:bCs w:val="0"/>
          <w:szCs w:val="24"/>
        </w:rPr>
        <w:t xml:space="preserve">Cornish Lithium welcomes the Sub-Committee’s </w:t>
      </w:r>
      <w:r w:rsidRPr="00952369">
        <w:rPr>
          <w:rStyle w:val="Style1"/>
          <w:b w:val="0"/>
          <w:bCs w:val="0"/>
          <w:szCs w:val="24"/>
        </w:rPr>
        <w:t>inquiry into critical minerals</w:t>
      </w:r>
      <w:r>
        <w:rPr>
          <w:rStyle w:val="Style1"/>
          <w:b w:val="0"/>
          <w:bCs w:val="0"/>
          <w:szCs w:val="24"/>
        </w:rPr>
        <w:t>. The</w:t>
      </w:r>
      <w:r>
        <w:rPr>
          <w:rStyle w:val="Style1"/>
          <w:b w:val="0"/>
          <w:bCs w:val="0"/>
          <w:szCs w:val="24"/>
        </w:rPr>
        <w:t xml:space="preserve"> </w:t>
      </w:r>
      <w:r>
        <w:rPr>
          <w:rStyle w:val="Style1"/>
          <w:b w:val="0"/>
          <w:bCs w:val="0"/>
          <w:szCs w:val="24"/>
        </w:rPr>
        <w:t xml:space="preserve">following </w:t>
      </w:r>
      <w:r>
        <w:rPr>
          <w:rStyle w:val="Style1"/>
          <w:b w:val="0"/>
          <w:bCs w:val="0"/>
          <w:szCs w:val="24"/>
        </w:rPr>
        <w:t xml:space="preserve">is submitted in response to the call for evidence. We would be happy to expand on any aspect of the response </w:t>
      </w:r>
      <w:r>
        <w:rPr>
          <w:rStyle w:val="Style1"/>
          <w:b w:val="0"/>
          <w:bCs w:val="0"/>
          <w:szCs w:val="24"/>
        </w:rPr>
        <w:t>and look forward to further engagement with the Sub-Committee as it develops its report on this strategically important subject.</w:t>
      </w:r>
    </w:p>
    <w:p w:rsidR="009C1D56" w:rsidRPr="00A12BB2" w:rsidP="004700FA">
      <w:pPr>
        <w:rPr>
          <w:rStyle w:val="Style1"/>
          <w:b w:val="0"/>
          <w:bCs w:val="0"/>
          <w:szCs w:val="24"/>
        </w:rPr>
      </w:pPr>
    </w:p>
    <w:p w:rsidR="009C1D56" w:rsidRPr="003175D3" w:rsidP="00852EF6">
      <w:pPr>
        <w:spacing w:after="160" w:line="348" w:lineRule="auto"/>
        <w:jc w:val="left"/>
        <w:rPr>
          <w:rFonts w:ascii="Arial Nova Light" w:eastAsia="Arial Nova Light" w:hAnsi="Arial Nova Light" w:cs="Times New Roman"/>
          <w:bCs w:val="0"/>
          <w:kern w:val="2"/>
          <w:sz w:val="22"/>
        </w:rPr>
      </w:pPr>
      <w:r w:rsidRPr="003175D3">
        <w:rPr>
          <w:rFonts w:ascii="Arial Nova Light" w:eastAsia="Arial Nova Light" w:hAnsi="Arial Nova Light" w:cs="Times New Roman"/>
          <w:bCs w:val="0"/>
          <w:kern w:val="2"/>
          <w:sz w:val="22"/>
        </w:rPr>
        <w:t>Overview</w:t>
      </w:r>
    </w:p>
    <w:p w:rsidR="009C1D56" w:rsidRPr="00BE1B7C" w:rsidP="00852EF6">
      <w:pPr>
        <w:spacing w:after="160" w:line="348" w:lineRule="auto"/>
        <w:jc w:val="left"/>
        <w:rPr>
          <w:rFonts w:ascii="Arial Nova Light" w:eastAsia="Arial Nova Light" w:hAnsi="Arial Nova Light" w:cs="Times New Roman"/>
          <w:bCs w:val="0"/>
          <w:kern w:val="2"/>
          <w:sz w:val="22"/>
        </w:rPr>
      </w:pPr>
      <w:r w:rsidRPr="003175D3">
        <w:rPr>
          <w:rFonts w:ascii="Arial Nova Light" w:eastAsia="Arial Nova Light" w:hAnsi="Arial Nova Light" w:cs="Times New Roman"/>
          <w:bCs w:val="0"/>
          <w:kern w:val="2"/>
          <w:sz w:val="22"/>
        </w:rPr>
        <w:t xml:space="preserve">The importance of critical minerals </w:t>
      </w:r>
      <w:r>
        <w:rPr>
          <w:rFonts w:ascii="Arial Nova Light" w:eastAsia="Arial Nova Light" w:hAnsi="Arial Nova Light" w:cs="Times New Roman"/>
          <w:bCs w:val="0"/>
          <w:kern w:val="2"/>
          <w:sz w:val="22"/>
        </w:rPr>
        <w:t>to the UK’s economic prosperity and resilience</w:t>
      </w:r>
      <w:r w:rsidRPr="003175D3">
        <w:rPr>
          <w:rFonts w:ascii="Arial Nova Light" w:eastAsia="Arial Nova Light" w:hAnsi="Arial Nova Light" w:cs="Times New Roman"/>
          <w:bCs w:val="0"/>
          <w:kern w:val="2"/>
          <w:sz w:val="22"/>
        </w:rPr>
        <w:t xml:space="preserve"> </w:t>
      </w:r>
      <w:r w:rsidRPr="003175D3">
        <w:rPr>
          <w:rFonts w:ascii="Arial Nova Light" w:eastAsia="Arial Nova Light" w:hAnsi="Arial Nova Light" w:cs="Times New Roman"/>
          <w:bCs w:val="0"/>
          <w:kern w:val="2"/>
          <w:sz w:val="22"/>
        </w:rPr>
        <w:t xml:space="preserve">was brought into </w:t>
      </w:r>
      <w:r>
        <w:rPr>
          <w:rFonts w:ascii="Arial Nova Light" w:eastAsia="Arial Nova Light" w:hAnsi="Arial Nova Light" w:cs="Times New Roman"/>
          <w:bCs w:val="0"/>
          <w:kern w:val="2"/>
          <w:sz w:val="22"/>
        </w:rPr>
        <w:t>clear focus by</w:t>
      </w:r>
      <w:r w:rsidRPr="003175D3">
        <w:rPr>
          <w:rFonts w:ascii="Arial Nova Light" w:eastAsia="Arial Nova Light" w:hAnsi="Arial Nova Light" w:cs="Times New Roman"/>
          <w:bCs w:val="0"/>
          <w:kern w:val="2"/>
          <w:sz w:val="22"/>
        </w:rPr>
        <w:t xml:space="preserve"> the recently </w:t>
      </w:r>
      <w:r w:rsidRPr="00BE1B7C">
        <w:rPr>
          <w:rFonts w:ascii="Arial Nova Light" w:eastAsia="Arial Nova Light" w:hAnsi="Arial Nova Light" w:cs="Times New Roman"/>
          <w:bCs w:val="0"/>
          <w:kern w:val="2"/>
          <w:sz w:val="22"/>
        </w:rPr>
        <w:t xml:space="preserve">published UK Gigafactory Commission </w:t>
      </w:r>
      <w:r w:rsidRPr="00BE1B7C">
        <w:rPr>
          <w:rFonts w:ascii="Arial Nova Light" w:eastAsia="Arial Nova Light" w:hAnsi="Arial Nova Light" w:cs="Times New Roman"/>
          <w:bCs w:val="0"/>
          <w:kern w:val="2"/>
          <w:sz w:val="22"/>
        </w:rPr>
        <w:t>report from which this quote is extracted:</w:t>
      </w:r>
    </w:p>
    <w:p w:rsidR="009C1D56" w:rsidRPr="00BE1B7C" w:rsidP="00852EF6">
      <w:pPr>
        <w:spacing w:after="160" w:line="348" w:lineRule="auto"/>
        <w:jc w:val="left"/>
        <w:rPr>
          <w:rFonts w:ascii="Arial Nova Light" w:eastAsia="Arial Nova Light" w:hAnsi="Arial Nova Light" w:cs="Times New Roman"/>
          <w:i/>
          <w:iCs/>
          <w:kern w:val="2"/>
          <w:sz w:val="22"/>
        </w:rPr>
      </w:pPr>
      <w:r w:rsidRPr="00BE1B7C">
        <w:rPr>
          <w:rFonts w:ascii="Arial Nova Light" w:eastAsia="Arial Nova Light" w:hAnsi="Arial Nova Light" w:cs="Times New Roman"/>
          <w:i/>
          <w:iCs/>
          <w:kern w:val="2"/>
          <w:sz w:val="22"/>
        </w:rPr>
        <w:t xml:space="preserve">‘Batteries are no longer just a tech issue or an energy issue – they are a national strategic imperative. The UK cannot afford to remain dependent on foreign supply chains for such a vital component of our economic and energy future.’ </w:t>
      </w:r>
    </w:p>
    <w:p w:rsidR="009C1D56" w:rsidRPr="00BE1B7C" w:rsidP="00852EF6">
      <w:pPr>
        <w:spacing w:after="160" w:line="348" w:lineRule="auto"/>
        <w:jc w:val="left"/>
        <w:rPr>
          <w:rFonts w:ascii="Arial Nova Light" w:eastAsia="Arial Nova Light" w:hAnsi="Arial Nova Light" w:cs="Times New Roman"/>
          <w:bCs w:val="0"/>
          <w:i/>
          <w:iCs/>
          <w:kern w:val="2"/>
          <w:sz w:val="22"/>
        </w:rPr>
      </w:pPr>
      <w:r w:rsidRPr="00BE1B7C">
        <w:rPr>
          <w:rFonts w:ascii="Arial Nova Light" w:eastAsia="Arial Nova Light" w:hAnsi="Arial Nova Light" w:cs="Times New Roman"/>
          <w:i/>
          <w:iCs/>
          <w:kern w:val="2"/>
          <w:sz w:val="22"/>
        </w:rPr>
        <w:t>Lord Hutton of Furness Chair of the UK Gigafactory Commission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Government’s new critical minerals strategy is oriented in recognition that the UK cannot secure resilient supply chains through imports alone, however that this must also be balanced against the reality that the UK cannot source everything domestically. The UK has a role to play in securing what is onshore as part of an overall resilience model. This includes domestic production, processing, recycling, finance, diplomacy and industrial resilience all need to work together. The UK now needs sharper prio</w:t>
      </w:r>
      <w:r w:rsidRPr="00852EF6">
        <w:rPr>
          <w:rFonts w:ascii="Arial Nova Light" w:eastAsia="Arial Nova Light" w:hAnsi="Arial Nova Light" w:cs="Times New Roman"/>
          <w:bCs w:val="0"/>
          <w:kern w:val="2"/>
          <w:sz w:val="22"/>
        </w:rPr>
        <w:t>ritisation, stronger midstream policy, clearer milestones, faster permitting, better data, and more credible demand-side tools.</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Context</w:t>
      </w:r>
    </w:p>
    <w:p w:rsidR="009C1D56" w:rsidRPr="00852EF6" w:rsidP="00852EF6">
      <w:pPr>
        <w:numPr>
          <w:ilvl w:val="0"/>
          <w:numId w:val="21"/>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Which critical minerals are the most important to the UK’s national priorities today? Where are the vulnerabilities in these supply chains?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UK could consider prioritising minerals according to national use cases rather than rely only on a single static ‘criticality’ label. In practical terms, three groups matter most. First are battery and electrification minerals: lithium, natural and synthetic graphite, nickel, cobalt and copper, because they underpin EVs, batteries, electricity networks and wider electrification. Second are magnet, semiconductor and advanced manufacturing minerals such as rare earth elements, tungsten and antimony, becau</w:t>
      </w:r>
      <w:r w:rsidRPr="00852EF6">
        <w:rPr>
          <w:rFonts w:ascii="Arial Nova Light" w:eastAsia="Arial Nova Light" w:hAnsi="Arial Nova Light" w:cs="Times New Roman"/>
          <w:bCs w:val="0"/>
          <w:kern w:val="2"/>
          <w:sz w:val="22"/>
        </w:rPr>
        <w:t>se they are important for semiconductors, magnets, aerospace, electronics and defence-related applications. Third are specialist industrial minerals where UK capability matters for aerospace, chemicals, clean energy and high-value manufacturing. This broad prioritisation is consistent with the Government’s growth minerals list and with the Industrial Strategy’s treatment of critical minerals as a foundational input across the UK’s eight priority sectors.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main vulnerability is not simply geological scarcity. It is concentrated mining and, especially, concentrated refining and processing. The IEA reports that, from 2020 to 2024, the average share of the top three refining countries across key energy-transition minerals rose from 82% to 86%, and 90% of supply growth came from the single leading supplier country in each market. China remains the leading refiner for 19 of 20 strategic minerals assessed by the IEA, with an average market share of around 60% i</w:t>
      </w:r>
      <w:r w:rsidRPr="00852EF6">
        <w:rPr>
          <w:rFonts w:ascii="Arial Nova Light" w:eastAsia="Arial Nova Light" w:hAnsi="Arial Nova Light" w:cs="Times New Roman"/>
          <w:bCs w:val="0"/>
          <w:kern w:val="2"/>
          <w:sz w:val="22"/>
        </w:rPr>
        <w:t>n lithium and even higher stats in rare earth separation and refining.</w:t>
      </w:r>
    </w:p>
    <w:p w:rsidR="009C1D56" w:rsidRPr="00852EF6" w:rsidP="00852EF6">
      <w:pPr>
        <w:numPr>
          <w:ilvl w:val="0"/>
          <w:numId w:val="21"/>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are the mineral needs of UK industry likely to evolve over the next 10-20 years?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Over the next 10-20 years, UK mineral demand is likely to shift from being mainly a function of conventional manufacturing to being increasingly driven by electrification, grid expansion, defence, semiconductors and circular economy infrastructure. The Government’s own technical annex points to very large increases in UK demand by 2035 for minerals such as copper, graphite, lithium, nickel, rare earths and silicon, while noting that defence demand is not yet fully captured in those estimates. The strategy a</w:t>
      </w:r>
      <w:r w:rsidRPr="00852EF6">
        <w:rPr>
          <w:rFonts w:ascii="Arial Nova Light" w:eastAsia="Arial Nova Light" w:hAnsi="Arial Nova Light" w:cs="Times New Roman"/>
          <w:bCs w:val="0"/>
          <w:kern w:val="2"/>
          <w:sz w:val="22"/>
        </w:rPr>
        <w:t>lso states that UK demand for copper is expected to almost double by 2035, and lithium demand to rise by around 1,100%.</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 Lithium illustrates the UK’s wider critical minerals challenge. Although mining supply has diversified somewhat, strategic dependence remains concentrated in the refining and battery-material stages, where China continues to dominate. That exposure is heightened by the widening scope of export controls: recent measures have not only affected critical minerals trade more broadly, but have also extended to lithium-related processing and battery cathode technologies. For the UK, the implication is clear: resi</w:t>
      </w:r>
      <w:r w:rsidRPr="00852EF6">
        <w:rPr>
          <w:rFonts w:ascii="Arial Nova Light" w:eastAsia="Arial Nova Light" w:hAnsi="Arial Nova Light" w:cs="Times New Roman"/>
          <w:bCs w:val="0"/>
          <w:kern w:val="2"/>
          <w:sz w:val="22"/>
        </w:rPr>
        <w:t>lience in lithium supply will depend less on access to mined material alone, and more on securing diversified refining, chemical conversion and battery-material capacity outside single-country dependence.</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Ambitions and delivery</w:t>
      </w: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To what extent are the priorities set out in the Government’s critical minerals strategy the right ones?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The Government’s broad priorities are positively aligned. The two core objectives in </w:t>
      </w:r>
      <w:r w:rsidRPr="00852EF6">
        <w:rPr>
          <w:rFonts w:ascii="Arial Nova Light" w:eastAsia="Arial Nova Light" w:hAnsi="Arial Nova Light" w:cs="Times New Roman"/>
          <w:bCs w:val="0"/>
          <w:i/>
          <w:iCs/>
          <w:kern w:val="2"/>
          <w:sz w:val="22"/>
        </w:rPr>
        <w:t>Critical Minerals: Vision 2035</w:t>
      </w:r>
      <w:r w:rsidRPr="00852EF6">
        <w:rPr>
          <w:rFonts w:ascii="Arial Nova Light" w:eastAsia="Arial Nova Light" w:hAnsi="Arial Nova Light" w:cs="Times New Roman"/>
          <w:bCs w:val="0"/>
          <w:kern w:val="2"/>
          <w:sz w:val="22"/>
        </w:rPr>
        <w:t>: 1) optimising domestic production and 2) building resilient UK and global supply networks, should remain the backbone of policy. The addition of a growth minerals list is also welcome, because it captures materials such as copper that may not always score as ‘critical’ in a narrow sense but are nevertheless essential for the energy transition and advanced industry.</w:t>
      </w: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The new Critical Minerals Strategy sets targets for domestic production, domestic lithium production, recycling, and supply chain diversification. Do these targets reflect the right level of ambition?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Cornish Lithium is signed up to contributing its effort share of the current targets in terms of domestic lithium production. By 2035 the strategy aims for at least 10% of annual UK demand to be met through domestic production, at least 50,000 tonnes of lithium to be produced domestically, 20% of annual demand to be met through recycling, and no more than 60% of aggregate annual demand to come from any one country. Those are meaningful goals, but they are less developed than the EU’s Critical Raw Materials </w:t>
      </w:r>
      <w:r w:rsidRPr="00852EF6">
        <w:rPr>
          <w:rFonts w:ascii="Arial Nova Light" w:eastAsia="Arial Nova Light" w:hAnsi="Arial Nova Light" w:cs="Times New Roman"/>
          <w:bCs w:val="0"/>
          <w:kern w:val="2"/>
          <w:sz w:val="22"/>
        </w:rPr>
        <w:t>Act, which sets 2030 targets for 10% extraction, 40% processing and 25% recycling, alongside a 65% cap on dependency on any single third country and a much stronger delivery architecture around permitting, monitoring and strategic projects. The UK also currently produces only around 6% of its critical mineral needs domestically, so progress will require more than incremental change.</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biggest weakness in the UK target framework is the absence of a clear midstream processing target. In strategic terms, processing and refining are often more important than extraction because that is where concentration, value capture and industrial capability sit. Without a stronger policy for midstream capacity, the UK risks expanding upstream activity while remaining dependent on external processors for strategically sensitive stages. The 2024 Task &amp; Finish Group on industry resilience made this poin</w:t>
      </w:r>
      <w:r w:rsidRPr="00852EF6">
        <w:rPr>
          <w:rFonts w:ascii="Arial Nova Light" w:eastAsia="Arial Nova Light" w:hAnsi="Arial Nova Light" w:cs="Times New Roman"/>
          <w:bCs w:val="0"/>
          <w:kern w:val="2"/>
          <w:sz w:val="22"/>
        </w:rPr>
        <w:t>t clearly in recommending stronger support for a UK midstream economy, alongside better data and material-flow transparency.</w:t>
      </w: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Are the measures set out in the strategy enough to deliver these targets? What further measures, if any, would strengthen its impact?</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Accelerating domestic production requires targeted action to address the primary barrier facing UK projects: investment uncertainty caused by commodity price volatility. While long-term </w:t>
      </w:r>
      <w:r w:rsidRPr="00852EF6">
        <w:rPr>
          <w:rFonts w:ascii="Arial Nova Light" w:eastAsia="Arial Nova Light" w:hAnsi="Arial Nova Light" w:cs="Times New Roman"/>
          <w:bCs w:val="0"/>
          <w:kern w:val="2"/>
          <w:sz w:val="22"/>
        </w:rPr>
        <w:t>demand for minerals such as lithium is strong, current prices reflect short-term market conditions and are insufficient to support investment in new supply, particularly in higher-cost jurisdictions like the UK. This creates a “missing money” problem, where projects are delayed despite clear strategic need.</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Government should therefore prioritise:</w:t>
      </w:r>
    </w:p>
    <w:p w:rsidR="009C1D56" w:rsidRPr="00852EF6" w:rsidP="00852EF6">
      <w:pPr>
        <w:numPr>
          <w:ilvl w:val="0"/>
          <w:numId w:val="2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Time-limited price certainty mechanisms to provide downside protection during periods of low prices, enabling projects to reach final investment decision (FID); </w:t>
      </w:r>
    </w:p>
    <w:p w:rsidR="009C1D56" w:rsidRPr="00852EF6" w:rsidP="00852EF6">
      <w:pPr>
        <w:numPr>
          <w:ilvl w:val="0"/>
          <w:numId w:val="2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Policy clarity aligned to investment timelines, particularly ahead of FID, to avoid capital being redirected overseas; </w:t>
      </w:r>
    </w:p>
    <w:p w:rsidR="009C1D56" w:rsidRPr="00852EF6" w:rsidP="00852EF6">
      <w:pPr>
        <w:numPr>
          <w:ilvl w:val="0"/>
          <w:numId w:val="2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Coordination across the value chain, linking upstream production with processing and downstream demand.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More broadly, there is a need to move from strategic ambition to practical delivery mechanisms that unlock investment under current market conditions. Without intervention, the UK risks continued reliance on imports and missing the window to establish domestic production capacity.</w:t>
      </w:r>
    </w:p>
    <w:p w:rsidR="009C1D56" w:rsidRPr="00852EF6" w:rsidP="00852EF6">
      <w:pPr>
        <w:spacing w:after="160" w:line="348" w:lineRule="auto"/>
        <w:jc w:val="left"/>
        <w:rPr>
          <w:rFonts w:ascii="Arial Nova" w:eastAsia="Arial Nova Light" w:hAnsi="Arial Nova" w:cs="Times New Roman"/>
          <w:bCs w:val="0"/>
          <w:kern w:val="2"/>
          <w:sz w:val="22"/>
        </w:rPr>
      </w:pP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Are the funding arrangements adequate? What further measures, if any, would strengthen delivery?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Current funding arrangements support </w:t>
      </w:r>
      <w:r>
        <w:rPr>
          <w:rFonts w:ascii="Arial Nova Light" w:eastAsia="Arial Nova Light" w:hAnsi="Arial Nova Light" w:cs="Times New Roman"/>
          <w:bCs w:val="0"/>
          <w:kern w:val="2"/>
          <w:sz w:val="22"/>
        </w:rPr>
        <w:t xml:space="preserve">certain </w:t>
      </w:r>
      <w:r>
        <w:rPr>
          <w:rFonts w:ascii="Arial Nova Light" w:eastAsia="Arial Nova Light" w:hAnsi="Arial Nova Light" w:cs="Times New Roman"/>
          <w:bCs w:val="0"/>
          <w:kern w:val="2"/>
          <w:sz w:val="22"/>
        </w:rPr>
        <w:t xml:space="preserve">elements of </w:t>
      </w:r>
      <w:r w:rsidRPr="00852EF6">
        <w:rPr>
          <w:rFonts w:ascii="Arial Nova Light" w:eastAsia="Arial Nova Light" w:hAnsi="Arial Nova Light" w:cs="Times New Roman"/>
          <w:bCs w:val="0"/>
          <w:kern w:val="2"/>
          <w:sz w:val="22"/>
        </w:rPr>
        <w:t>early-stage activity but are not sufficient to unlock investment in new production, which is the key delivery challenge.</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primary gap is not capital availability in principle, but revenue uncertainty, which increases the cost of capital and delays final investment decisions. As a result, projects may struggle to progress despite strong long-term demand.</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To strengthen delivery, Government should consider:</w:t>
      </w:r>
    </w:p>
    <w:p w:rsidR="009C1D56" w:rsidRPr="00852EF6" w:rsidP="00852EF6">
      <w:pPr>
        <w:numPr>
          <w:ilvl w:val="0"/>
          <w:numId w:val="33"/>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Time-limited price certainty mechanisms to address downside price risk; </w:t>
      </w:r>
    </w:p>
    <w:p w:rsidR="009C1D56" w:rsidRPr="00852EF6" w:rsidP="00852EF6">
      <w:pPr>
        <w:numPr>
          <w:ilvl w:val="0"/>
          <w:numId w:val="33"/>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Greater use of coordinated offtake and financing structures to anchor demand; </w:t>
      </w:r>
    </w:p>
    <w:p w:rsidR="009C1D56" w:rsidRPr="00852EF6" w:rsidP="00852EF6">
      <w:pPr>
        <w:numPr>
          <w:ilvl w:val="0"/>
          <w:numId w:val="33"/>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Ensuring funding is aligned with project timelines, particularly ahead of FID.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Funding should focus on crowding in private investment, rather than replacing it, </w:t>
      </w:r>
      <w:r>
        <w:rPr>
          <w:rFonts w:ascii="Arial Nova Light" w:eastAsia="Arial Nova Light" w:hAnsi="Arial Nova Light" w:cs="Times New Roman"/>
          <w:bCs w:val="0"/>
          <w:kern w:val="2"/>
          <w:sz w:val="22"/>
        </w:rPr>
        <w:t>as seen with the two phases of National We</w:t>
      </w:r>
      <w:r>
        <w:rPr>
          <w:rFonts w:ascii="Arial Nova Light" w:eastAsia="Arial Nova Light" w:hAnsi="Arial Nova Light" w:cs="Times New Roman"/>
          <w:bCs w:val="0"/>
          <w:kern w:val="2"/>
          <w:sz w:val="22"/>
        </w:rPr>
        <w:t>al</w:t>
      </w:r>
      <w:r>
        <w:rPr>
          <w:rFonts w:ascii="Arial Nova Light" w:eastAsia="Arial Nova Light" w:hAnsi="Arial Nova Light" w:cs="Times New Roman"/>
          <w:bCs w:val="0"/>
          <w:kern w:val="2"/>
          <w:sz w:val="22"/>
        </w:rPr>
        <w:t xml:space="preserve">th Fund investment in Cornish Lithium that </w:t>
      </w:r>
      <w:r>
        <w:rPr>
          <w:rFonts w:ascii="Arial Nova Light" w:eastAsia="Arial Nova Light" w:hAnsi="Arial Nova Light" w:cs="Times New Roman"/>
          <w:bCs w:val="0"/>
          <w:kern w:val="2"/>
          <w:sz w:val="22"/>
        </w:rPr>
        <w:t>was instrumental in crowding in pr</w:t>
      </w:r>
      <w:r>
        <w:rPr>
          <w:rFonts w:ascii="Arial Nova Light" w:eastAsia="Arial Nova Light" w:hAnsi="Arial Nova Light" w:cs="Times New Roman"/>
          <w:bCs w:val="0"/>
          <w:kern w:val="2"/>
          <w:sz w:val="22"/>
        </w:rPr>
        <w:t>i</w:t>
      </w:r>
      <w:r>
        <w:rPr>
          <w:rFonts w:ascii="Arial Nova Light" w:eastAsia="Arial Nova Light" w:hAnsi="Arial Nova Light" w:cs="Times New Roman"/>
          <w:bCs w:val="0"/>
          <w:kern w:val="2"/>
          <w:sz w:val="22"/>
        </w:rPr>
        <w:t>vate investment from both UK and US funds</w:t>
      </w:r>
      <w:r>
        <w:rPr>
          <w:rFonts w:ascii="Arial Nova Light" w:eastAsia="Arial Nova Light" w:hAnsi="Arial Nova Light" w:cs="Times New Roman"/>
          <w:bCs w:val="0"/>
          <w:kern w:val="2"/>
          <w:sz w:val="22"/>
        </w:rPr>
        <w:t xml:space="preserve">. Such support should </w:t>
      </w:r>
      <w:r w:rsidRPr="00852EF6">
        <w:rPr>
          <w:rFonts w:ascii="Arial Nova Light" w:eastAsia="Arial Nova Light" w:hAnsi="Arial Nova Light" w:cs="Times New Roman"/>
          <w:bCs w:val="0"/>
          <w:kern w:val="2"/>
          <w:sz w:val="22"/>
        </w:rPr>
        <w:t>be targeted at enabling commercially viable projects to proceed under current market conditions.</w:t>
      </w: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Government evaluate and monitor its progress?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Progress should be measured against delivery outcomes, rather than inputs or funding allocated.</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Key indicators could include:</w:t>
      </w:r>
    </w:p>
    <w:p w:rsidR="009C1D56" w:rsidRPr="00852EF6" w:rsidP="00852EF6">
      <w:pPr>
        <w:numPr>
          <w:ilvl w:val="0"/>
          <w:numId w:val="34"/>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Domestic production capacity (e.g. tonnes of lithium carbonate equivalent delivered); </w:t>
      </w:r>
    </w:p>
    <w:p w:rsidR="009C1D56" w:rsidRPr="00852EF6" w:rsidP="00852EF6">
      <w:pPr>
        <w:numPr>
          <w:ilvl w:val="0"/>
          <w:numId w:val="34"/>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Projects reaching final investment decision (FID); </w:t>
      </w:r>
    </w:p>
    <w:p w:rsidR="009C1D56" w:rsidRPr="00852EF6" w:rsidP="00852EF6">
      <w:pPr>
        <w:numPr>
          <w:ilvl w:val="0"/>
          <w:numId w:val="34"/>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Private capital mobilised, reflecting successful crowding-in of investment; </w:t>
      </w:r>
    </w:p>
    <w:p w:rsidR="009C1D56" w:rsidRPr="00852EF6" w:rsidP="00852EF6">
      <w:pPr>
        <w:numPr>
          <w:ilvl w:val="0"/>
          <w:numId w:val="34"/>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Development of midstream and downstream capabilities, including processing and manufacturing. </w:t>
      </w:r>
    </w:p>
    <w:p w:rsidR="009C1D56" w:rsidP="00852EF6">
      <w:pPr>
        <w:spacing w:after="160" w:line="348" w:lineRule="auto"/>
        <w:jc w:val="left"/>
        <w:rPr>
          <w:rFonts w:ascii="Arial Nova Light" w:eastAsia="Arial Nova Light" w:hAnsi="Arial Nova Light" w:cs="Times New Roman"/>
          <w:bCs w:val="0"/>
          <w:kern w:val="2"/>
          <w:sz w:val="22"/>
        </w:rPr>
      </w:pP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Monitoring should also assess whether interventions are effectively addressing the investment barrier caused by price volatility, rather than simply supporting activity.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A clear framework linking policy interventions to investment outcomes and supply chain resilience will be critical to ensure that strategy translates into delivery.</w:t>
      </w:r>
    </w:p>
    <w:p w:rsidR="009C1D56" w:rsidRPr="00852EF6" w:rsidP="00852EF6">
      <w:pPr>
        <w:numPr>
          <w:ilvl w:val="0"/>
          <w:numId w:val="22"/>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What can the UK learn from the implementation of similar strategies in other countries?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A key lesson from other countries is the importance of aligning policy with investment realities.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Jurisdictions such as the United States and the EU have combined strategic ambition with practical mechanisms, including:</w:t>
      </w:r>
    </w:p>
    <w:p w:rsidR="009C1D56" w:rsidRPr="00852EF6" w:rsidP="00852EF6">
      <w:pPr>
        <w:numPr>
          <w:ilvl w:val="0"/>
          <w:numId w:val="35"/>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Financial support linked to project delivery; </w:t>
      </w:r>
    </w:p>
    <w:p w:rsidR="009C1D56" w:rsidRPr="00852EF6" w:rsidP="00852EF6">
      <w:pPr>
        <w:numPr>
          <w:ilvl w:val="0"/>
          <w:numId w:val="35"/>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Measures to de-risk investment, including grants, loans and emerging price support </w:t>
      </w:r>
      <w:r>
        <w:rPr>
          <w:rFonts w:ascii="Arial Nova Light" w:eastAsia="Arial Nova Light" w:hAnsi="Arial Nova Light" w:cs="Times New Roman"/>
          <w:bCs w:val="0"/>
          <w:kern w:val="2"/>
          <w:sz w:val="22"/>
        </w:rPr>
        <w:t>mechanisms</w:t>
      </w:r>
      <w:r w:rsidRPr="00852EF6">
        <w:rPr>
          <w:rFonts w:ascii="Arial Nova Light" w:eastAsia="Arial Nova Light" w:hAnsi="Arial Nova Light" w:cs="Times New Roman"/>
          <w:bCs w:val="0"/>
          <w:kern w:val="2"/>
          <w:sz w:val="22"/>
        </w:rPr>
        <w:t xml:space="preserve">; </w:t>
      </w:r>
    </w:p>
    <w:p w:rsidR="009C1D56" w:rsidRPr="00852EF6" w:rsidP="00852EF6">
      <w:pPr>
        <w:numPr>
          <w:ilvl w:val="0"/>
          <w:numId w:val="35"/>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Strong coordination across the full value chain, from extraction to </w:t>
      </w:r>
      <w:r>
        <w:rPr>
          <w:rFonts w:ascii="Arial Nova Light" w:eastAsia="Arial Nova Light" w:hAnsi="Arial Nova Light" w:cs="Times New Roman"/>
          <w:bCs w:val="0"/>
          <w:kern w:val="2"/>
          <w:sz w:val="22"/>
        </w:rPr>
        <w:t xml:space="preserve">mid-stream </w:t>
      </w:r>
      <w:r w:rsidRPr="00852EF6">
        <w:rPr>
          <w:rFonts w:ascii="Arial Nova Light" w:eastAsia="Arial Nova Light" w:hAnsi="Arial Nova Light" w:cs="Times New Roman"/>
          <w:bCs w:val="0"/>
          <w:kern w:val="2"/>
          <w:sz w:val="22"/>
        </w:rPr>
        <w:t xml:space="preserve">processing and manufacturing.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A further lesson is the need to act at sufficient scale and speed to influence investment decisions. Where support is delayed or fragmented, capital tends to flow to jurisdictions offering greater certainty.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For the UK, this highlights the importance of targeted, time-bound interventions that unlock near-term projects while building long-term capability.</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The domestic supply chain</w:t>
      </w:r>
    </w:p>
    <w:p w:rsidR="009C1D56" w:rsidRPr="00852EF6" w:rsidP="00852EF6">
      <w:pPr>
        <w:numPr>
          <w:ilvl w:val="0"/>
          <w:numId w:val="23"/>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What are the primary barriers to expanding domestic UK extraction, processing and recycling?</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primary barriers to expanding domestic extraction, processing and recycling are now well understood: energy costs, grid access, slow and uncertain planning and environmental approvals, weak midstream capability, fragmented recycling economics, and shortages of risk capital and technical skills. The strategy itself recognises these barriers, and the evidence base on industry resilience reaches similar conclusions.</w:t>
      </w:r>
    </w:p>
    <w:p w:rsidR="009C1D56" w:rsidRPr="00852EF6" w:rsidP="00852EF6">
      <w:pPr>
        <w:numPr>
          <w:ilvl w:val="0"/>
          <w:numId w:val="23"/>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What further action is needed to accelerate domestic production?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Accelerating domestic production requires targeted action to address the primary barrier facing UK projects: investment uncertainty driven by commodity price volatility.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While long-term demand for minerals such as lithium is strong, current prices reflect short-term market conditions and do not support investment in new supply, particularly in higher-cost jurisdictions like the UK. This creates a “missing money” problem, delaying projects despite clear strategic need.</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Government should prioritise:</w:t>
      </w:r>
    </w:p>
    <w:p w:rsidR="009C1D56" w:rsidRPr="00852EF6" w:rsidP="00852EF6">
      <w:pPr>
        <w:numPr>
          <w:ilvl w:val="0"/>
          <w:numId w:val="32"/>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Time-limited price certainty mechanisms to provide downside protection and enable projects to reach final investment decision (FID); </w:t>
      </w:r>
    </w:p>
    <w:p w:rsidR="009C1D56" w:rsidRPr="00852EF6" w:rsidP="00852EF6">
      <w:pPr>
        <w:numPr>
          <w:ilvl w:val="0"/>
          <w:numId w:val="32"/>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Policy clarity aligned to investment timelines, particularly ahead of FID, to prevent capital being redirected overseas; </w:t>
      </w:r>
    </w:p>
    <w:p w:rsidR="009C1D56" w:rsidRPr="00852EF6" w:rsidP="00852EF6">
      <w:pPr>
        <w:numPr>
          <w:ilvl w:val="0"/>
          <w:numId w:val="32"/>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Coordination across the value chain, linking production, processing and downstream demand.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There is a need to move from strategic ambition to practical delivery mechanisms that unlock investment under current market conditions. Without intervention, the UK risks continued import dependence and missing the window to establish domestic production capacity.</w:t>
      </w:r>
    </w:p>
    <w:p w:rsidR="009C1D56" w:rsidRPr="00852EF6" w:rsidP="00852EF6">
      <w:pPr>
        <w:spacing w:after="160" w:line="348" w:lineRule="auto"/>
        <w:jc w:val="left"/>
        <w:rPr>
          <w:rFonts w:ascii="Arial Nova" w:eastAsia="Arial Nova Light" w:hAnsi="Arial Nova" w:cs="Times New Roman"/>
          <w:bCs w:val="0"/>
          <w:kern w:val="2"/>
          <w:sz w:val="22"/>
        </w:rPr>
      </w:pPr>
    </w:p>
    <w:p w:rsidR="009C1D56" w:rsidRPr="00852EF6" w:rsidP="00852EF6">
      <w:pPr>
        <w:numPr>
          <w:ilvl w:val="0"/>
          <w:numId w:val="23"/>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Government target its support to domestic firms? Should it prioritise particular minerals, regions, or parts of the supply chain?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Government support should be targeted where market failures are most acute and where intervention can unlock new supply.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Priority should be given to minerals that are:</w:t>
      </w:r>
    </w:p>
    <w:p w:rsidR="009C1D56" w:rsidRPr="00852EF6" w:rsidP="00852EF6">
      <w:pPr>
        <w:numPr>
          <w:ilvl w:val="0"/>
          <w:numId w:val="31"/>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strategically important (e.g. lithium for </w:t>
      </w:r>
      <w:r>
        <w:rPr>
          <w:rFonts w:ascii="Arial Nova Light" w:eastAsia="Arial Nova Light" w:hAnsi="Arial Nova Light" w:cs="Times New Roman"/>
          <w:bCs w:val="0"/>
          <w:kern w:val="2"/>
          <w:sz w:val="22"/>
        </w:rPr>
        <w:t xml:space="preserve">EV and BESS </w:t>
      </w:r>
      <w:r w:rsidRPr="00852EF6">
        <w:rPr>
          <w:rFonts w:ascii="Arial Nova Light" w:eastAsia="Arial Nova Light" w:hAnsi="Arial Nova Light" w:cs="Times New Roman"/>
          <w:bCs w:val="0"/>
          <w:kern w:val="2"/>
          <w:sz w:val="22"/>
        </w:rPr>
        <w:t>batter</w:t>
      </w:r>
      <w:r>
        <w:rPr>
          <w:rFonts w:ascii="Arial Nova Light" w:eastAsia="Arial Nova Light" w:hAnsi="Arial Nova Light" w:cs="Times New Roman"/>
          <w:bCs w:val="0"/>
          <w:kern w:val="2"/>
          <w:sz w:val="22"/>
        </w:rPr>
        <w:t xml:space="preserve">y manufacturing, advanced manufacturing applications </w:t>
      </w:r>
      <w:r w:rsidRPr="00852EF6">
        <w:rPr>
          <w:rFonts w:ascii="Arial Nova Light" w:eastAsia="Arial Nova Light" w:hAnsi="Arial Nova Light" w:cs="Times New Roman"/>
          <w:bCs w:val="0"/>
          <w:kern w:val="2"/>
          <w:sz w:val="22"/>
        </w:rPr>
        <w:t xml:space="preserve"> and defence), </w:t>
      </w:r>
    </w:p>
    <w:p w:rsidR="009C1D56" w:rsidRPr="00852EF6" w:rsidP="00852EF6">
      <w:pPr>
        <w:numPr>
          <w:ilvl w:val="0"/>
          <w:numId w:val="31"/>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subject to supply concentration, and </w:t>
      </w:r>
    </w:p>
    <w:p w:rsidR="009C1D56" w:rsidRPr="00852EF6" w:rsidP="00852EF6">
      <w:pPr>
        <w:numPr>
          <w:ilvl w:val="0"/>
          <w:numId w:val="31"/>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affected by price volatility that delays investment. </w:t>
      </w:r>
    </w:p>
    <w:p w:rsidR="009C1D56" w:rsidP="00852EF6">
      <w:pPr>
        <w:spacing w:after="160" w:line="348" w:lineRule="auto"/>
        <w:jc w:val="left"/>
        <w:rPr>
          <w:rFonts w:ascii="Arial Nova Light" w:eastAsia="Arial Nova Light" w:hAnsi="Arial Nova Light" w:cs="Times New Roman"/>
          <w:bCs w:val="0"/>
          <w:kern w:val="2"/>
          <w:sz w:val="22"/>
        </w:rPr>
      </w:pP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Support should focus on regions with:</w:t>
      </w:r>
    </w:p>
    <w:p w:rsidR="009C1D56" w:rsidRPr="00852EF6" w:rsidP="00852EF6">
      <w:pPr>
        <w:numPr>
          <w:ilvl w:val="0"/>
          <w:numId w:val="30"/>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proven resource potential, </w:t>
      </w:r>
    </w:p>
    <w:p w:rsidR="009C1D56" w:rsidRPr="00852EF6" w:rsidP="00852EF6">
      <w:pPr>
        <w:numPr>
          <w:ilvl w:val="0"/>
          <w:numId w:val="30"/>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projects nearing commercialisation, and </w:t>
      </w:r>
    </w:p>
    <w:p w:rsidR="009C1D56" w:rsidRPr="00852EF6" w:rsidP="00852EF6">
      <w:pPr>
        <w:numPr>
          <w:ilvl w:val="0"/>
          <w:numId w:val="30"/>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capacity to anchor wider economic development.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For example, Cornwall represents a significant opportunity for domestic lithium production and regional growth.</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Intervention should prioritise:</w:t>
      </w:r>
    </w:p>
    <w:p w:rsidR="009C1D56" w:rsidP="00852EF6">
      <w:pPr>
        <w:numPr>
          <w:ilvl w:val="0"/>
          <w:numId w:val="29"/>
        </w:numPr>
        <w:spacing w:after="160" w:line="348" w:lineRule="auto"/>
        <w:contextualSpacing/>
        <w:jc w:val="left"/>
        <w:rPr>
          <w:rFonts w:ascii="Arial Nova Light" w:eastAsia="Arial Nova Light" w:hAnsi="Arial Nova Light" w:cs="Times New Roman"/>
          <w:bCs w:val="0"/>
          <w:kern w:val="2"/>
          <w:sz w:val="22"/>
        </w:rPr>
      </w:pPr>
      <w:r>
        <w:rPr>
          <w:rFonts w:ascii="Arial Nova Light" w:eastAsia="Arial Nova Light" w:hAnsi="Arial Nova Light" w:cs="Times New Roman"/>
          <w:bCs w:val="0"/>
          <w:kern w:val="2"/>
          <w:sz w:val="22"/>
        </w:rPr>
        <w:t>Exploration to establish scale of potential resource base</w:t>
      </w:r>
    </w:p>
    <w:p w:rsidR="009C1D56" w:rsidRPr="00852EF6" w:rsidP="00852EF6">
      <w:pPr>
        <w:numPr>
          <w:ilvl w:val="0"/>
          <w:numId w:val="29"/>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upstream production, where the investment barrier is greatest; </w:t>
      </w:r>
    </w:p>
    <w:p w:rsidR="009C1D56" w:rsidRPr="00852EF6" w:rsidP="00852EF6">
      <w:pPr>
        <w:numPr>
          <w:ilvl w:val="0"/>
          <w:numId w:val="29"/>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midstream processing, to reduce reliance on overseas refining; </w:t>
      </w:r>
    </w:p>
    <w:p w:rsidR="009C1D56" w:rsidRPr="00852EF6" w:rsidP="00852EF6">
      <w:pPr>
        <w:numPr>
          <w:ilvl w:val="0"/>
          <w:numId w:val="29"/>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linkages to downstream demand, including batteries and advanced manufacturing.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Support should be time-limited and conditional, fiscally disciplined, and designed to crowd in private capital, not replace it. The focus should be on enabling new capacity, rather than supporting existing production alone.</w:t>
      </w:r>
    </w:p>
    <w:p w:rsidR="009C1D56" w:rsidRPr="00852EF6" w:rsidP="00852EF6">
      <w:pPr>
        <w:numPr>
          <w:ilvl w:val="0"/>
          <w:numId w:val="23"/>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UK use R&amp;D and innovation to strengthen supply chains? What role should the Government play in supporting this?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R&amp;D and innovation are important for strengthening supply chains but must be linked to commercial deployment.</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R&amp;D should focus on:</w:t>
      </w:r>
    </w:p>
    <w:p w:rsidR="009C1D56" w:rsidRPr="00852EF6" w:rsidP="00852EF6">
      <w:pPr>
        <w:numPr>
          <w:ilvl w:val="0"/>
          <w:numId w:val="2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improving extraction and processing technologies, particularly lower-carbon methods; </w:t>
      </w:r>
    </w:p>
    <w:p w:rsidR="009C1D56" w:rsidRPr="00852EF6" w:rsidP="00852EF6">
      <w:pPr>
        <w:numPr>
          <w:ilvl w:val="0"/>
          <w:numId w:val="2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recycling and circular economy approaches, including recovery of critical minerals; </w:t>
      </w:r>
    </w:p>
    <w:p w:rsidR="009C1D56" w:rsidRPr="00852EF6" w:rsidP="00852EF6">
      <w:pPr>
        <w:numPr>
          <w:ilvl w:val="0"/>
          <w:numId w:val="2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standardisation and product qualification, such as internationally recognised lithium specifications.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Government could play a role in:</w:t>
      </w:r>
    </w:p>
    <w:p w:rsidR="009C1D56" w:rsidRPr="00852EF6" w:rsidP="00852EF6">
      <w:pPr>
        <w:numPr>
          <w:ilvl w:val="0"/>
          <w:numId w:val="28"/>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supporting early-stage innovation and demonstration projects; </w:t>
      </w:r>
    </w:p>
    <w:p w:rsidR="009C1D56" w:rsidRPr="00852EF6" w:rsidP="00852EF6">
      <w:pPr>
        <w:numPr>
          <w:ilvl w:val="0"/>
          <w:numId w:val="28"/>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enabling collaboration between industry, academia and finance; </w:t>
      </w:r>
    </w:p>
    <w:p w:rsidR="009C1D56" w:rsidRPr="00852EF6" w:rsidP="00852EF6">
      <w:pPr>
        <w:numPr>
          <w:ilvl w:val="0"/>
          <w:numId w:val="28"/>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promoting common standards, which improve market transparency and buyer confidence.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However, innovation alone is not sufficient. There is a risk that strong UK R&amp;D capability does not translate into domestic production if projects cannot reach final investment decision. R&amp;D policy should therefore be complemented by measures that enable scale-up</w:t>
      </w:r>
      <w:r>
        <w:rPr>
          <w:rFonts w:ascii="Arial Nova Light" w:eastAsia="Arial Nova Light" w:hAnsi="Arial Nova Light" w:cs="Times New Roman"/>
          <w:bCs w:val="0"/>
          <w:kern w:val="2"/>
          <w:sz w:val="22"/>
        </w:rPr>
        <w:t xml:space="preserve"> and capital intensive development at commercial scale (welcome features of the Drive 35 programme)</w:t>
      </w:r>
      <w:r w:rsidRPr="00852EF6">
        <w:rPr>
          <w:rFonts w:ascii="Arial Nova Light" w:eastAsia="Arial Nova Light" w:hAnsi="Arial Nova Light" w:cs="Times New Roman"/>
          <w:bCs w:val="0"/>
          <w:kern w:val="2"/>
          <w:sz w:val="22"/>
        </w:rPr>
        <w:t xml:space="preserve"> </w:t>
      </w:r>
      <w:r>
        <w:rPr>
          <w:rFonts w:ascii="Arial Nova Light" w:eastAsia="Arial Nova Light" w:hAnsi="Arial Nova Light" w:cs="Times New Roman"/>
          <w:bCs w:val="0"/>
          <w:kern w:val="2"/>
          <w:sz w:val="22"/>
        </w:rPr>
        <w:t>enhancing</w:t>
      </w:r>
      <w:r w:rsidRPr="00852EF6">
        <w:rPr>
          <w:rFonts w:ascii="Arial Nova Light" w:eastAsia="Arial Nova Light" w:hAnsi="Arial Nova Light" w:cs="Times New Roman"/>
          <w:bCs w:val="0"/>
          <w:kern w:val="2"/>
          <w:sz w:val="22"/>
        </w:rPr>
        <w:t xml:space="preserve"> access to </w:t>
      </w:r>
      <w:r>
        <w:rPr>
          <w:rFonts w:ascii="Arial Nova Light" w:eastAsia="Arial Nova Light" w:hAnsi="Arial Nova Light" w:cs="Times New Roman"/>
          <w:bCs w:val="0"/>
          <w:kern w:val="2"/>
          <w:sz w:val="22"/>
        </w:rPr>
        <w:t xml:space="preserve">private sector debt and equity </w:t>
      </w:r>
      <w:r w:rsidRPr="00852EF6">
        <w:rPr>
          <w:rFonts w:ascii="Arial Nova Light" w:eastAsia="Arial Nova Light" w:hAnsi="Arial Nova Light" w:cs="Times New Roman"/>
          <w:bCs w:val="0"/>
          <w:kern w:val="2"/>
          <w:sz w:val="22"/>
        </w:rPr>
        <w:t>finance, offtake arrangements and, where appropriate, price certainty mechanisms. Taken together, this approach can support both near-term project delivery and long-term competitiveness in critical mineral supply chains.</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Industrial resilience</w:t>
      </w:r>
    </w:p>
    <w:p w:rsidR="009C1D56" w:rsidRPr="00852EF6" w:rsidP="00852EF6">
      <w:pPr>
        <w:numPr>
          <w:ilvl w:val="0"/>
          <w:numId w:val="24"/>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Are the UK’s assessments of mineral “criticality” adequately integrated into wider industrial policy? What measures, if any, could improve public-private collaboration?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UK has improved its assessment of criticality, but integration into wider industrial policy is still incomplete. The Industrial Strategy now recognises critical minerals as a foundational input, which is positive. However, criticality analysis is still not fully translated into sector-specific resilience plans for defence, semiconductors, automotive, aerospace, energy equipment and advanced manufacturing. Public-private collaboration would improve if Government moved from general consultation to structu</w:t>
      </w:r>
      <w:r w:rsidRPr="00852EF6">
        <w:rPr>
          <w:rFonts w:ascii="Arial Nova Light" w:eastAsia="Arial Nova Light" w:hAnsi="Arial Nova Light" w:cs="Times New Roman"/>
          <w:bCs w:val="0"/>
          <w:kern w:val="2"/>
          <w:sz w:val="22"/>
        </w:rPr>
        <w:t>red joint planning by sector, including shared demand forecasts, disruption scenarios, and agreed priorities for substitution, stockpiling and diversification.</w:t>
      </w:r>
    </w:p>
    <w:p w:rsidR="009C1D56" w:rsidRPr="00852EF6" w:rsidP="00852EF6">
      <w:pPr>
        <w:numPr>
          <w:ilvl w:val="0"/>
          <w:numId w:val="24"/>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What measures, if any, are required to encourage supply chain diversification amongst UK firms?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Encouraging supply chain diversification requires addressing both investment risk and market structure.</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UK firms are currently constrained not by lack of demand, but by price volatility and uncertainty, which discourages investment in new and alternative sources of supply. As a result, firms continue to rely on established, lower-cost and often more concentrated international supply chains.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To support diversification, Government should:</w:t>
      </w:r>
    </w:p>
    <w:p w:rsidR="009C1D56" w:rsidRPr="00852EF6" w:rsidP="00852EF6">
      <w:pPr>
        <w:numPr>
          <w:ilvl w:val="0"/>
          <w:numId w:val="3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Enable new domestic and allied supply through mechanisms that reduce downside price risk and unlock investment; </w:t>
      </w:r>
    </w:p>
    <w:p w:rsidR="009C1D56" w:rsidRPr="00852EF6" w:rsidP="00852EF6">
      <w:pPr>
        <w:numPr>
          <w:ilvl w:val="0"/>
          <w:numId w:val="3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Support midstream processing capacity, reducing reliance on concentrated refining markets; </w:t>
      </w:r>
    </w:p>
    <w:p w:rsidR="009C1D56" w:rsidRPr="00852EF6" w:rsidP="00852EF6">
      <w:pPr>
        <w:numPr>
          <w:ilvl w:val="0"/>
          <w:numId w:val="36"/>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Facilitate long-term offtake arrangements to provide demand certainty for new entrants. </w:t>
      </w:r>
    </w:p>
    <w:p w:rsidR="009C1D56" w:rsidRPr="00852EF6" w:rsidP="00852EF6">
      <w:pPr>
        <w:numPr>
          <w:ilvl w:val="0"/>
          <w:numId w:val="24"/>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Is the Critical Mineral Strategy’s consideration of “industry-led resilience measures”, such as stockpiling, adequate? What further measures, if any, are needed to strengthen the UK’s approach?</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Industry-led resilience measures, including stockpiling, can play a role in addressing short-term supply disruptions, but are not sufficient on their own to deliver long-term supply security.</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Stockpiling improves resilience at the margin but does not address the underlying investment challenge facing new supply. It ties up capital in inventory and does not directly improve the bankability of domestic projects unless linked to guaranteed offtake.</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To strengthen the UK’s approach, Government should complement resilience measures with:</w:t>
      </w:r>
    </w:p>
    <w:p w:rsidR="009C1D56" w:rsidRPr="00852EF6" w:rsidP="00852EF6">
      <w:pPr>
        <w:numPr>
          <w:ilvl w:val="0"/>
          <w:numId w:val="3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Mechanisms that support new production, such as time-limited price certainty to address revenue risk; </w:t>
      </w:r>
    </w:p>
    <w:p w:rsidR="009C1D56" w:rsidRPr="00852EF6" w:rsidP="00852EF6">
      <w:pPr>
        <w:numPr>
          <w:ilvl w:val="0"/>
          <w:numId w:val="3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Coordination across the value chain, linking production, processing and demand; </w:t>
      </w:r>
    </w:p>
    <w:p w:rsidR="009C1D56" w:rsidRPr="00852EF6" w:rsidP="00852EF6">
      <w:pPr>
        <w:numPr>
          <w:ilvl w:val="0"/>
          <w:numId w:val="37"/>
        </w:numPr>
        <w:spacing w:after="160" w:line="348" w:lineRule="auto"/>
        <w:contextualSpacing/>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Targeted use of stockpiling where it supports clearly defined sovereign needs (e.g. defence). </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A balanced approach is therefore required, combining resilience tools with investment-enabling interventions.</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Trade and diversification</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What should be the focus of the international Growth Partnerships announced in the Critical Mineral Strategy?</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Light" w:eastAsia="Arial Nova Light" w:hAnsi="Arial Nova Light" w:cs="Times New Roman"/>
          <w:bCs w:val="0"/>
          <w:kern w:val="2"/>
          <w:sz w:val="22"/>
        </w:rPr>
        <w:t>The international Growth Partnerships should focus on practical outcomes, not additional memoranda of understanding. The most useful partnership model is one that links four things together: facilitating investment in project pipelines in partner countries; UK or allied offtake; finance and insurance; and high ESG and traceability standards. The strategy’s own approach already points in this direction through supply-chain collaboration, offtake facilitation, finance and trade tools</w:t>
      </w:r>
      <w:r w:rsidRPr="00852EF6">
        <w:rPr>
          <w:rFonts w:ascii="Arial Nova" w:eastAsia="Arial Nova Light" w:hAnsi="Arial Nova" w:cs="Times New Roman"/>
          <w:bCs w:val="0"/>
          <w:kern w:val="2"/>
          <w:sz w:val="22"/>
        </w:rPr>
        <w:t>.</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Are there any “lighthouse projects” the UK should pursue with its international partners?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Domestic mining of UK lithium and other UK based critical minerals, for example in Cornwall, is and should continue to be the focus “lighthouse projects” that combine domestic mining with domestic processing and refining. The strategic opportunity with the demand aggregation </w:t>
      </w:r>
      <w:r w:rsidRPr="00852EF6">
        <w:rPr>
          <w:rFonts w:ascii="Arial Nova Light" w:eastAsia="Arial Nova Light" w:hAnsi="Arial Nova Light" w:cs="Times New Roman"/>
          <w:bCs w:val="0"/>
          <w:kern w:val="2"/>
          <w:sz w:val="22"/>
        </w:rPr>
        <w:t>platform being developed by the Department of Business and Trade is not extraction alone, but building an integrated UK lithium supply chain that captures more value onshore and reduces dependence on highly concentrated overseas midstream capacity. Government support should therefore prioritise both Cornish production and the midstream infrastructure needed to turn that resource into a genuine national advantage.</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UK coordinate its efforts with, and contribute to, multilateral initiatives: (a) the US led Pax Silica, (b) the EU’s RESourceEU Action Plan, (c) the G7 Critical Minerals Action Plan, and (d) the Canada led Critical Minerals Production Alliance?</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In multilateral coordination, the UK should be pragmatic. With the EU’s RESourceEU agenda and the Critical Raw Materials Act, it should align stress-testing, traceability and strategic-project cooperation, while learning from the EU’s stronger permitting and monitoring architecture. With the G7 Critical Minerals Action Plan, the UK should prioritise coordinated capital mobilisation, standards-based markets, innovation and cooperation with producer countries. With the Canada-led Critical Minerals Production </w:t>
      </w:r>
      <w:r w:rsidRPr="00852EF6">
        <w:rPr>
          <w:rFonts w:ascii="Arial Nova Light" w:eastAsia="Arial Nova Light" w:hAnsi="Arial Nova Light" w:cs="Times New Roman"/>
          <w:bCs w:val="0"/>
          <w:kern w:val="2"/>
          <w:sz w:val="22"/>
        </w:rPr>
        <w:t>Alliance, it should bring forward bankable projects and use the alliance to pool finance and reduce duplication across allied initiatives.</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UK work with global partners to improve environmental, social and governance standards across the critical mineral sector?</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On ESG, the UK could consider making standards part of market access rather than treat them as an add-on. That means traceability, transparent reporting, credible community engagement, and support for local value creation in producer countries. The G7 plan’s emphasis on standards-based markets and the World Bank’s RISE Partnership both point toward this model. UK-backed projects and partnerships should therefore combine finance with governance, infrastructure, workforce development and community benefit, ra</w:t>
      </w:r>
      <w:r w:rsidRPr="00852EF6">
        <w:rPr>
          <w:rFonts w:ascii="Arial Nova Light" w:eastAsia="Arial Nova Light" w:hAnsi="Arial Nova Light" w:cs="Times New Roman"/>
          <w:bCs w:val="0"/>
          <w:kern w:val="2"/>
          <w:sz w:val="22"/>
        </w:rPr>
        <w:t>ther than focus narrowly on extraction volumes.</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UK work with development organisations, such as the World Bank, the IMF and the EBRD, to coordinate investment in the critical minerals sector?</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The UK could also work more deliberately with development finance institutions and international financial institutions. The World Bank and EBRD are well placed to support infrastructure, regulatory reform, de-risking and responsible project development in partner countries. The G7 Action Plan explicitly points to closer DFI and MDB cooperation and support through the World Bank-led RISE Partnership.</w:t>
      </w:r>
    </w:p>
    <w:p w:rsidR="009C1D56" w:rsidRPr="00852EF6" w:rsidP="00852EF6">
      <w:pPr>
        <w:numPr>
          <w:ilvl w:val="0"/>
          <w:numId w:val="25"/>
        </w:num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How should the UK use its strengths in mining finance and metals trading to diversify minerals supply chains?</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The UK should use its strengths in mining finance, insurance, legal services and metals trading far more deliberately. London remains a globally important centre for mining finance and hosts the London Metal Exchange, which continues to handle most non-ferrous metals futures business. The UK should use them to create better hedging and pricing tools, support long-term offtake structures, develop traceability-linked premiums where possible, and make London a hub for financing diversified and higher-standard </w:t>
      </w:r>
      <w:r w:rsidRPr="00852EF6">
        <w:rPr>
          <w:rFonts w:ascii="Arial Nova Light" w:eastAsia="Arial Nova Light" w:hAnsi="Arial Nova Light" w:cs="Times New Roman"/>
          <w:bCs w:val="0"/>
          <w:kern w:val="2"/>
          <w:sz w:val="22"/>
        </w:rPr>
        <w:t>supply chains.</w:t>
      </w:r>
    </w:p>
    <w:p w:rsidR="009C1D56" w:rsidRPr="00852EF6" w:rsidP="00852EF6">
      <w:pPr>
        <w:spacing w:after="160" w:line="348" w:lineRule="auto"/>
        <w:jc w:val="left"/>
        <w:rPr>
          <w:rFonts w:ascii="Arial Nova" w:eastAsia="Arial Nova Light" w:hAnsi="Arial Nova" w:cs="Times New Roman"/>
          <w:bCs w:val="0"/>
          <w:kern w:val="2"/>
          <w:sz w:val="22"/>
        </w:rPr>
      </w:pPr>
      <w:r w:rsidRPr="00852EF6">
        <w:rPr>
          <w:rFonts w:ascii="Arial Nova" w:eastAsia="Arial Nova Light" w:hAnsi="Arial Nova" w:cs="Times New Roman"/>
          <w:bCs w:val="0"/>
          <w:kern w:val="2"/>
          <w:sz w:val="22"/>
        </w:rPr>
        <w:t>Conclusion</w:t>
      </w:r>
    </w:p>
    <w:p w:rsidR="009C1D56" w:rsidRPr="00852EF6" w:rsidP="00852EF6">
      <w:pPr>
        <w:spacing w:after="160" w:line="348" w:lineRule="auto"/>
        <w:jc w:val="left"/>
        <w:rPr>
          <w:rFonts w:ascii="Arial Nova Light" w:eastAsia="Arial Nova Light" w:hAnsi="Arial Nova Light" w:cs="Times New Roman"/>
          <w:bCs w:val="0"/>
          <w:kern w:val="2"/>
          <w:sz w:val="22"/>
        </w:rPr>
      </w:pPr>
      <w:r w:rsidRPr="00852EF6">
        <w:rPr>
          <w:rFonts w:ascii="Arial Nova Light" w:eastAsia="Arial Nova Light" w:hAnsi="Arial Nova Light" w:cs="Times New Roman"/>
          <w:bCs w:val="0"/>
          <w:kern w:val="2"/>
          <w:sz w:val="22"/>
        </w:rPr>
        <w:t xml:space="preserve">In summary, the UK’s strategy has the right architecture but not yet the full delivery model. The next phase should focus on sharper prioritisation, a much stronger midstream and recycling offer, more assertive finance and demand-side tools, faster permitting, better data, and tightly focused international partnerships. The strategic objective should not be self-sufficiency, which is unrealistic, but resilient interdependence: a UK supply chain position that is more diverse, more bankable, more transparent </w:t>
      </w:r>
      <w:r w:rsidRPr="00852EF6">
        <w:rPr>
          <w:rFonts w:ascii="Arial Nova Light" w:eastAsia="Arial Nova Light" w:hAnsi="Arial Nova Light" w:cs="Times New Roman"/>
          <w:bCs w:val="0"/>
          <w:kern w:val="2"/>
          <w:sz w:val="22"/>
        </w:rPr>
        <w:t>and more closely tied to the country’s industrial strengths.</w:t>
      </w:r>
    </w:p>
    <w:p w:rsidR="009C1D56" w:rsidP="004700FA">
      <w:pPr>
        <w:rPr>
          <w:bCs w:val="0"/>
          <w:szCs w:val="24"/>
        </w:rPr>
      </w:pPr>
    </w:p>
    <w:sdt>
      <w:sdtPr>
        <w:rPr>
          <w:bCs w:val="0"/>
          <w:szCs w:val="24"/>
        </w:rPr>
        <w:alias w:val="Salutation"/>
        <w:tag w:val="Salutation"/>
        <w:id w:val="384452920"/>
        <w:placeholder>
          <w:docPart w:val="7C21518234EC4B41A817A4D949991099"/>
        </w:placeholder>
        <w:dropDownList w:lastValue="Yours truly">
          <w:listItem w:value="Choose one"/>
          <w:listItem w:value="Yours faithfully" w:displayText="Yours faithfully"/>
          <w:listItem w:value="Yours sincerely" w:displayText="Yours sincerely"/>
          <w:listItem w:value="Yours truly" w:displayText="Yours truly"/>
        </w:dropDownList>
      </w:sdtPr>
      <w:sdtContent>
        <w:p w:rsidR="009C1D56" w:rsidRPr="00A12BB2" w:rsidP="004700FA">
          <w:pPr>
            <w:rPr>
              <w:bCs w:val="0"/>
              <w:szCs w:val="24"/>
            </w:rPr>
          </w:pPr>
          <w:r>
            <w:rPr>
              <w:rStyle w:val="DefaultParagraphFont"/>
              <w:bCs w:val="0"/>
              <w:szCs w:val="24"/>
            </w:rPr>
            <w:t>Yours truly</w:t>
          </w:r>
        </w:p>
      </w:sdtContent>
    </w:sdt>
    <w:p w:rsidR="009C1D56" w:rsidP="00D403B7">
      <w:pPr>
        <w:rPr>
          <w:bCs w:val="0"/>
          <w:szCs w:val="24"/>
        </w:rPr>
      </w:pPr>
    </w:p>
    <w:tbl>
      <w:tblPr>
        <w:tblStyle w:val="TableGrid"/>
        <w:tblW w:w="0" w:type="auto"/>
        <w:tblInd w:w="-142" w:type="dxa"/>
        <w:tblBorders>
          <w:top w:val="nil"/>
          <w:left w:val="nil"/>
          <w:bottom w:val="nil"/>
          <w:right w:val="nil"/>
          <w:insideH w:val="nil"/>
          <w:insideV w:val="nil"/>
        </w:tblBorders>
        <w:tblLook w:val="04A0"/>
      </w:tblPr>
      <w:tblGrid>
        <w:gridCol w:w="142"/>
        <w:gridCol w:w="9016"/>
      </w:tblGrid>
      <w:tr w:rsidTr="002031ED">
        <w:tblPrEx>
          <w:tblW w:w="0" w:type="auto"/>
          <w:tblInd w:w="-142" w:type="dxa"/>
          <w:tblBorders>
            <w:top w:val="nil"/>
            <w:left w:val="nil"/>
            <w:bottom w:val="nil"/>
            <w:right w:val="nil"/>
            <w:insideH w:val="nil"/>
            <w:insideV w:val="nil"/>
          </w:tblBorders>
          <w:tblLook w:val="04A0"/>
        </w:tblPrEx>
        <w:tc>
          <w:tcPr>
            <w:tcW w:w="9158" w:type="dxa"/>
            <w:gridSpan w:val="2"/>
          </w:tcPr>
          <w:p w:rsidR="009C1D56" w:rsidRPr="00E70183" w:rsidP="00D403B7">
            <w:pPr>
              <w:rPr>
                <w:szCs w:val="24"/>
                <w:lang w:eastAsia="en-GB"/>
              </w:rPr>
            </w:pPr>
            <w:r>
              <w:rPr>
                <w:szCs w:val="24"/>
                <w:lang w:eastAsia="en-GB"/>
              </w:rPr>
              <w:t>Mike King</w:t>
            </w:r>
          </w:p>
          <w:p w:rsidR="009C1D56" w:rsidRPr="00E70183" w:rsidP="00D403B7">
            <w:pPr>
              <w:rPr>
                <w:bCs w:val="0"/>
                <w:szCs w:val="24"/>
              </w:rPr>
            </w:pPr>
            <w:r>
              <w:rPr>
                <w:bCs w:val="0"/>
                <w:szCs w:val="24"/>
              </w:rPr>
              <w:t xml:space="preserve">Vice President Corporate </w:t>
            </w:r>
            <w:r>
              <w:rPr>
                <w:bCs w:val="0"/>
                <w:szCs w:val="24"/>
              </w:rPr>
              <w:t>Affairs</w:t>
            </w:r>
          </w:p>
          <w:p w:rsidR="009C1D56" w:rsidRPr="00E70183" w:rsidP="00D403B7">
            <w:pPr>
              <w:rPr>
                <w:bCs w:val="0"/>
                <w:szCs w:val="24"/>
              </w:rPr>
            </w:pPr>
            <w:r w:rsidRPr="00E70183">
              <w:rPr>
                <w:bCs w:val="0"/>
                <w:szCs w:val="24"/>
              </w:rPr>
              <w:t xml:space="preserve">M </w:t>
            </w:r>
            <w:r w:rsidRPr="00E70183">
              <w:rPr>
                <w:b/>
                <w:szCs w:val="24"/>
              </w:rPr>
              <w:t>I</w:t>
            </w:r>
            <w:r w:rsidRPr="00E70183">
              <w:rPr>
                <w:bCs w:val="0"/>
                <w:szCs w:val="24"/>
              </w:rPr>
              <w:t xml:space="preserve"> +44 (0) </w:t>
            </w:r>
            <w:r>
              <w:rPr>
                <w:bCs w:val="0"/>
                <w:szCs w:val="24"/>
              </w:rPr>
              <w:t>07498057564</w:t>
            </w:r>
          </w:p>
          <w:p w:rsidR="009C1D56" w:rsidP="00D403B7">
            <w:pPr>
              <w:spacing w:after="120"/>
              <w:rPr>
                <w:bCs w:val="0"/>
                <w:szCs w:val="24"/>
              </w:rPr>
            </w:pPr>
            <w:r>
              <w:rPr>
                <w:rStyle w:val="PlaceholderText"/>
              </w:rPr>
              <w:t>m.king</w:t>
            </w:r>
            <w:r w:rsidRPr="00E70183">
              <w:rPr>
                <w:szCs w:val="24"/>
              </w:rPr>
              <w:t>@cornishlithium.com</w:t>
            </w:r>
          </w:p>
        </w:tc>
      </w:tr>
      <w:tr w:rsidTr="002031ED">
        <w:tblPrEx>
          <w:tblW w:w="0" w:type="auto"/>
          <w:tblInd w:w="-142" w:type="dxa"/>
          <w:tblLook w:val="04A0"/>
        </w:tblPrEx>
        <w:trPr>
          <w:gridBefore w:val="1"/>
          <w:wBefore w:w="142" w:type="dxa"/>
        </w:trPr>
        <w:tc>
          <w:tcPr>
            <w:tcW w:w="9016" w:type="dxa"/>
          </w:tcPr>
          <w:p w:rsidR="009C1D56" w:rsidRPr="00D403B7" w:rsidP="007C1F4C">
            <w:pPr>
              <w:pStyle w:val="CornishLithium-title"/>
              <w:spacing w:after="0"/>
              <w:ind w:left="-113"/>
              <w:rPr>
                <w:b w:val="0"/>
                <w:bCs w:val="0"/>
              </w:rPr>
            </w:pPr>
            <w:r w:rsidRPr="00D403B7">
              <w:rPr>
                <w:b w:val="0"/>
                <w:bCs w:val="0"/>
              </w:rPr>
              <w:t>CORNISH LITHIUM PLC</w:t>
            </w:r>
          </w:p>
          <w:p w:rsidR="009C1D56" w:rsidRPr="00D403B7" w:rsidP="007C1F4C">
            <w:pPr>
              <w:ind w:left="-113"/>
              <w:rPr>
                <w:color w:val="414042"/>
                <w:szCs w:val="24"/>
                <w:lang w:eastAsia="en-GB"/>
              </w:rPr>
            </w:pPr>
            <w:r w:rsidRPr="00223F4F">
              <w:t>www.cornishlithium.com</w:t>
            </w:r>
          </w:p>
        </w:tc>
      </w:tr>
    </w:tbl>
    <w:p w:rsidR="009C1D56">
      <w:pPr>
        <w:spacing w:after="160" w:line="259" w:lineRule="auto"/>
        <w:jc w:val="left"/>
      </w:pPr>
      <w:r>
        <w:br w:type="page"/>
      </w:r>
    </w:p>
    <w:p w:rsidR="009C1D56">
      <w:pPr>
        <w:spacing w:after="160" w:line="259" w:lineRule="auto"/>
        <w:jc w:val="left"/>
      </w:pPr>
    </w:p>
    <w:p w:rsidR="009C1D56" w:rsidRPr="00D12D5D" w:rsidP="00D12D5D"/>
    <w:sectPr w:rsidSect="009C1D56">
      <w:headerReference w:type="default" r:id="rId8"/>
      <w:footerReference w:type="default" r:id="rId9"/>
      <w:headerReference w:type="first" r:id="rId10"/>
      <w:footerReference w:type="first" r:id="rId1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56" w:rsidP="004D28EC">
    <w:pPr>
      <w:pStyle w:val="Footer"/>
      <w:ind w:left="-1418"/>
    </w:pPr>
    <w:r>
      <w:rPr>
        <w:noProof/>
      </w:rPr>
      <w:drawing>
        <wp:anchor distT="0" distB="0" distL="114300" distR="114300" simplePos="0" relativeHeight="251659264" behindDoc="0" locked="0" layoutInCell="1" allowOverlap="1">
          <wp:simplePos x="0" y="0"/>
          <wp:positionH relativeFrom="column">
            <wp:posOffset>-937895</wp:posOffset>
          </wp:positionH>
          <wp:positionV relativeFrom="page">
            <wp:posOffset>10113645</wp:posOffset>
          </wp:positionV>
          <wp:extent cx="7600950" cy="567690"/>
          <wp:effectExtent l="0" t="0" r="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7600950" cy="567690"/>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56" w:rsidP="004D28EC">
    <w:pPr>
      <w:pStyle w:val="Footer"/>
      <w:ind w:left="-1418"/>
      <w:jc w:val="left"/>
    </w:pPr>
    <w:r>
      <w:rPr>
        <w:noProof/>
      </w:rPr>
      <w:drawing>
        <wp:anchor distT="0" distB="0" distL="114300" distR="114300" simplePos="0" relativeHeight="251658240" behindDoc="0" locked="0" layoutInCell="1" allowOverlap="1">
          <wp:simplePos x="0" y="0"/>
          <wp:positionH relativeFrom="column">
            <wp:posOffset>-914400</wp:posOffset>
          </wp:positionH>
          <wp:positionV relativeFrom="page">
            <wp:posOffset>10113645</wp:posOffset>
          </wp:positionV>
          <wp:extent cx="7632065" cy="567690"/>
          <wp:effectExtent l="0" t="0" r="6985"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7632065" cy="567690"/>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56" w:rsidP="009C1D56">
    <w:pPr>
      <w:pStyle w:val="Header"/>
      <w:jc w:val="center"/>
    </w:pPr>
    <w:r>
      <w:t>Written submission from Cornish Lithium plc (CRM0015)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8752352"/>
      <w:placeholder>
        <w:docPart w:val="87B5096756184851BB1E6FA9CE733005"/>
      </w:placeholder>
      <w:showingPlcHdr/>
      <w:richText/>
      <w:temporary/>
    </w:sdtPr>
    <w:sdtContent>
      <w:p w:rsidR="009C1D56">
        <w:pPr>
          <w:pStyle w:val="Header"/>
        </w:pPr>
        <w:r>
          <w:t>[Type here]</w:t>
        </w:r>
      </w:p>
    </w:sdtContent>
  </w:sdt>
  <w:p w:rsidR="009C1D56" w:rsidP="00106764">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84A1590"/>
    <w:lvl w:ilvl="0">
      <w:start w:val="1"/>
      <w:numFmt w:val="decimal"/>
      <w:lvlText w:val="%1."/>
      <w:lvlJc w:val="left"/>
      <w:pPr>
        <w:tabs>
          <w:tab w:val="num" w:pos="1492"/>
        </w:tabs>
        <w:ind w:left="1492" w:hanging="360"/>
      </w:pPr>
    </w:lvl>
  </w:abstractNum>
  <w:abstractNum w:abstractNumId="1">
    <w:nsid w:val="FFFFFF7D"/>
    <w:multiLevelType w:val="singleLevel"/>
    <w:tmpl w:val="BDC25FAE"/>
    <w:lvl w:ilvl="0">
      <w:start w:val="1"/>
      <w:numFmt w:val="decimal"/>
      <w:lvlText w:val="%1."/>
      <w:lvlJc w:val="left"/>
      <w:pPr>
        <w:tabs>
          <w:tab w:val="num" w:pos="1209"/>
        </w:tabs>
        <w:ind w:left="1209" w:hanging="360"/>
      </w:pPr>
    </w:lvl>
  </w:abstractNum>
  <w:abstractNum w:abstractNumId="2">
    <w:nsid w:val="FFFFFF7E"/>
    <w:multiLevelType w:val="singleLevel"/>
    <w:tmpl w:val="B13A932E"/>
    <w:lvl w:ilvl="0">
      <w:start w:val="1"/>
      <w:numFmt w:val="decimal"/>
      <w:lvlText w:val="%1."/>
      <w:lvlJc w:val="left"/>
      <w:pPr>
        <w:tabs>
          <w:tab w:val="num" w:pos="926"/>
        </w:tabs>
        <w:ind w:left="926" w:hanging="360"/>
      </w:pPr>
    </w:lvl>
  </w:abstractNum>
  <w:abstractNum w:abstractNumId="3">
    <w:nsid w:val="FFFFFF7F"/>
    <w:multiLevelType w:val="singleLevel"/>
    <w:tmpl w:val="0D7CC1AE"/>
    <w:lvl w:ilvl="0">
      <w:start w:val="1"/>
      <w:numFmt w:val="decimal"/>
      <w:lvlText w:val="%1."/>
      <w:lvlJc w:val="left"/>
      <w:pPr>
        <w:tabs>
          <w:tab w:val="num" w:pos="643"/>
        </w:tabs>
        <w:ind w:left="643" w:hanging="360"/>
      </w:pPr>
    </w:lvl>
  </w:abstractNum>
  <w:abstractNum w:abstractNumId="4">
    <w:nsid w:val="FFFFFF80"/>
    <w:multiLevelType w:val="singleLevel"/>
    <w:tmpl w:val="D346BF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1A483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AA97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1BA42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0C5F30"/>
    <w:lvl w:ilvl="0">
      <w:start w:val="1"/>
      <w:numFmt w:val="decimal"/>
      <w:lvlText w:val="%1."/>
      <w:lvlJc w:val="left"/>
      <w:pPr>
        <w:tabs>
          <w:tab w:val="num" w:pos="360"/>
        </w:tabs>
        <w:ind w:left="360" w:hanging="360"/>
      </w:pPr>
    </w:lvl>
  </w:abstractNum>
  <w:abstractNum w:abstractNumId="9">
    <w:nsid w:val="FFFFFF89"/>
    <w:multiLevelType w:val="singleLevel"/>
    <w:tmpl w:val="898091D6"/>
    <w:lvl w:ilvl="0">
      <w:start w:val="1"/>
      <w:numFmt w:val="bullet"/>
      <w:lvlText w:val=""/>
      <w:lvlJc w:val="left"/>
      <w:pPr>
        <w:tabs>
          <w:tab w:val="num" w:pos="360"/>
        </w:tabs>
        <w:ind w:left="360" w:hanging="360"/>
      </w:pPr>
      <w:rPr>
        <w:rFonts w:ascii="Symbol" w:hAnsi="Symbol" w:hint="default"/>
      </w:rPr>
    </w:lvl>
  </w:abstractNum>
  <w:abstractNum w:abstractNumId="10">
    <w:nsid w:val="02EC3733"/>
    <w:multiLevelType w:val="hybridMultilevel"/>
    <w:tmpl w:val="CF80D7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7DC3845"/>
    <w:multiLevelType w:val="hybridMultilevel"/>
    <w:tmpl w:val="F920E5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096A5347"/>
    <w:multiLevelType w:val="hybridMultilevel"/>
    <w:tmpl w:val="B67E77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D3E4239"/>
    <w:multiLevelType w:val="hybridMultilevel"/>
    <w:tmpl w:val="89FE752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113013DF"/>
    <w:multiLevelType w:val="hybridMultilevel"/>
    <w:tmpl w:val="14F4511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13B4985"/>
    <w:multiLevelType w:val="hybridMultilevel"/>
    <w:tmpl w:val="6C0EBC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15C1F72"/>
    <w:multiLevelType w:val="hybridMultilevel"/>
    <w:tmpl w:val="0FC8B96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1BD62A73"/>
    <w:multiLevelType w:val="hybridMultilevel"/>
    <w:tmpl w:val="747075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F2A4A77"/>
    <w:multiLevelType w:val="hybridMultilevel"/>
    <w:tmpl w:val="FEB0729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21D1004F"/>
    <w:multiLevelType w:val="multilevel"/>
    <w:tmpl w:val="1830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C600F79"/>
    <w:multiLevelType w:val="hybridMultilevel"/>
    <w:tmpl w:val="AF3866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4111D21"/>
    <w:multiLevelType w:val="multilevel"/>
    <w:tmpl w:val="43DA786E"/>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lef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left"/>
      <w:pPr>
        <w:ind w:left="720" w:hanging="720"/>
      </w:pPr>
      <w:rPr>
        <w:rFonts w:hint="default"/>
      </w:rPr>
    </w:lvl>
  </w:abstractNum>
  <w:abstractNum w:abstractNumId="22">
    <w:nsid w:val="3FE274EF"/>
    <w:multiLevelType w:val="hybridMultilevel"/>
    <w:tmpl w:val="675CB08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40F06994"/>
    <w:multiLevelType w:val="hybridMultilevel"/>
    <w:tmpl w:val="269A50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1940DCE"/>
    <w:multiLevelType w:val="hybridMultilevel"/>
    <w:tmpl w:val="8E7A6F2E"/>
    <w:lvl w:ilvl="0">
      <w:start w:val="1"/>
      <w:numFmt w:val="decimal"/>
      <w:lvlText w:val="%1."/>
      <w:lvlJc w:val="left"/>
      <w:pPr>
        <w:ind w:left="786" w:hanging="360"/>
      </w:p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5">
    <w:nsid w:val="504E103B"/>
    <w:multiLevelType w:val="hybridMultilevel"/>
    <w:tmpl w:val="B42A6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50C4478A"/>
    <w:multiLevelType w:val="multilevel"/>
    <w:tmpl w:val="D43466E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lvl>
    <w:lvl w:ilvl="4">
      <w:start w:val="1"/>
      <w:numFmt w:val="decimal"/>
      <w:lvlText w:val="%1.%2.%3.%4.%5"/>
      <w:lvlJc w:val="left"/>
      <w:pPr>
        <w:ind w:left="1800" w:hanging="360"/>
      </w:p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lvl>
    <w:lvl w:ilvl="8">
      <w:start w:val="1"/>
      <w:numFmt w:val="decimal"/>
      <w:lvlText w:val="%1.%2.%3.%4.%5.%6.%7.%8.%9"/>
      <w:lvlJc w:val="left"/>
      <w:pPr>
        <w:ind w:left="3240" w:hanging="360"/>
      </w:pPr>
      <w:rPr>
        <w:rFonts w:hint="default"/>
      </w:rPr>
    </w:lvl>
  </w:abstractNum>
  <w:abstractNum w:abstractNumId="27">
    <w:nsid w:val="59F438BC"/>
    <w:multiLevelType w:val="hybridMultilevel"/>
    <w:tmpl w:val="A2A29AD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5A7A3F31"/>
    <w:multiLevelType w:val="hybridMultilevel"/>
    <w:tmpl w:val="F2986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B3F5A43"/>
    <w:multiLevelType w:val="multilevel"/>
    <w:tmpl w:val="06CC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B053D0"/>
    <w:multiLevelType w:val="multilevel"/>
    <w:tmpl w:val="584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6D52EC"/>
    <w:multiLevelType w:val="multilevel"/>
    <w:tmpl w:val="C136BD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6ADC50CC"/>
    <w:multiLevelType w:val="hybridMultilevel"/>
    <w:tmpl w:val="DD8E312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3">
    <w:nsid w:val="6F740857"/>
    <w:multiLevelType w:val="hybridMultilevel"/>
    <w:tmpl w:val="24ECEC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320594F"/>
    <w:multiLevelType w:val="hybridMultilevel"/>
    <w:tmpl w:val="048A5D6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5">
    <w:nsid w:val="7633568E"/>
    <w:multiLevelType w:val="hybridMultilevel"/>
    <w:tmpl w:val="BD8AFC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F8F5C44"/>
    <w:multiLevelType w:val="multilevel"/>
    <w:tmpl w:val="F2D8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1"/>
  </w:num>
  <w:num w:numId="3">
    <w:abstractNumId w:val="10"/>
  </w:num>
  <w:num w:numId="4">
    <w:abstractNumId w:val="33"/>
  </w:num>
  <w:num w:numId="5">
    <w:abstractNumId w:val="15"/>
  </w:num>
  <w:num w:numId="6">
    <w:abstractNumId w:val="2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8"/>
  </w:num>
  <w:num w:numId="18">
    <w:abstractNumId w:val="20"/>
  </w:num>
  <w:num w:numId="19">
    <w:abstractNumId w:val="12"/>
  </w:num>
  <w:num w:numId="20">
    <w:abstractNumId w:val="24"/>
  </w:num>
  <w:num w:numId="21">
    <w:abstractNumId w:val="30"/>
  </w:num>
  <w:num w:numId="22">
    <w:abstractNumId w:val="19"/>
  </w:num>
  <w:num w:numId="23">
    <w:abstractNumId w:val="36"/>
  </w:num>
  <w:num w:numId="24">
    <w:abstractNumId w:val="31"/>
  </w:num>
  <w:num w:numId="25">
    <w:abstractNumId w:val="29"/>
  </w:num>
  <w:num w:numId="26">
    <w:abstractNumId w:val="32"/>
  </w:num>
  <w:num w:numId="27">
    <w:abstractNumId w:val="35"/>
  </w:num>
  <w:num w:numId="28">
    <w:abstractNumId w:val="17"/>
  </w:num>
  <w:num w:numId="29">
    <w:abstractNumId w:val="22"/>
  </w:num>
  <w:num w:numId="30">
    <w:abstractNumId w:val="34"/>
  </w:num>
  <w:num w:numId="31">
    <w:abstractNumId w:val="27"/>
  </w:num>
  <w:num w:numId="32">
    <w:abstractNumId w:val="16"/>
  </w:num>
  <w:num w:numId="33">
    <w:abstractNumId w:val="18"/>
  </w:num>
  <w:num w:numId="34">
    <w:abstractNumId w:val="14"/>
  </w:num>
  <w:num w:numId="35">
    <w:abstractNumId w:val="13"/>
  </w:num>
  <w:num w:numId="36">
    <w:abstractNumId w:val="2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HAnsi"/>
        <w:bC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3E94"/>
    <w:pPr>
      <w:spacing w:after="0" w:line="300" w:lineRule="atLeast"/>
      <w:jc w:val="both"/>
    </w:pPr>
    <w:rPr>
      <w:sz w:val="24"/>
    </w:rPr>
  </w:style>
  <w:style w:type="paragraph" w:styleId="Heading1">
    <w:name w:val="heading 1"/>
    <w:basedOn w:val="Normal"/>
    <w:next w:val="Normal"/>
    <w:link w:val="Heading1Char"/>
    <w:uiPriority w:val="9"/>
    <w:qFormat/>
    <w:rsid w:val="00453E94"/>
    <w:pPr>
      <w:keepNext/>
      <w:keepLines/>
      <w:numPr>
        <w:numId w:val="2"/>
      </w:numPr>
      <w:spacing w:before="120" w:after="120"/>
      <w:outlineLvl w:val="0"/>
    </w:pPr>
    <w:rPr>
      <w:rFonts w:ascii="Calibri" w:hAnsi="Calibri" w:eastAsiaTheme="majorEastAsia" w:cstheme="majorBidi"/>
      <w:b/>
      <w:caps/>
      <w:szCs w:val="32"/>
    </w:rPr>
  </w:style>
  <w:style w:type="paragraph" w:styleId="Heading2">
    <w:name w:val="heading 2"/>
    <w:basedOn w:val="Normal"/>
    <w:next w:val="Normal"/>
    <w:link w:val="Heading2Char"/>
    <w:uiPriority w:val="9"/>
    <w:unhideWhenUsed/>
    <w:qFormat/>
    <w:rsid w:val="00453E94"/>
    <w:pPr>
      <w:keepNext/>
      <w:keepLines/>
      <w:numPr>
        <w:ilvl w:val="1"/>
        <w:numId w:val="2"/>
      </w:numPr>
      <w:spacing w:before="120" w:after="120"/>
      <w:outlineLvl w:val="1"/>
    </w:pPr>
    <w:rPr>
      <w:rFonts w:ascii="Calibri" w:hAnsi="Calibri" w:eastAsiaTheme="majorEastAsia" w:cstheme="majorBidi"/>
      <w:b/>
      <w:szCs w:val="26"/>
    </w:rPr>
  </w:style>
  <w:style w:type="paragraph" w:styleId="Heading3">
    <w:name w:val="heading 3"/>
    <w:basedOn w:val="Normal"/>
    <w:next w:val="Normal"/>
    <w:link w:val="Heading3Char"/>
    <w:uiPriority w:val="9"/>
    <w:unhideWhenUsed/>
    <w:qFormat/>
    <w:rsid w:val="00453E94"/>
    <w:pPr>
      <w:keepNext/>
      <w:keepLines/>
      <w:numPr>
        <w:ilvl w:val="2"/>
        <w:numId w:val="2"/>
      </w:numPr>
      <w:spacing w:before="120" w:after="120"/>
      <w:outlineLvl w:val="2"/>
    </w:pPr>
    <w:rPr>
      <w:rFonts w:ascii="Calibri" w:hAnsi="Calibri" w:eastAsiaTheme="majorEastAsia" w:cstheme="majorBidi"/>
      <w:b/>
      <w:i/>
      <w:szCs w:val="24"/>
    </w:rPr>
  </w:style>
  <w:style w:type="paragraph" w:styleId="Heading4">
    <w:name w:val="heading 4"/>
    <w:basedOn w:val="Normal"/>
    <w:next w:val="Normal"/>
    <w:link w:val="Heading4Char"/>
    <w:uiPriority w:val="9"/>
    <w:unhideWhenUsed/>
    <w:qFormat/>
    <w:rsid w:val="00453E94"/>
    <w:pPr>
      <w:keepNext/>
      <w:keepLines/>
      <w:numPr>
        <w:ilvl w:val="3"/>
        <w:numId w:val="2"/>
      </w:numPr>
      <w:spacing w:before="120" w:after="120"/>
      <w:outlineLvl w:val="3"/>
    </w:pPr>
    <w:rPr>
      <w:rFonts w:ascii="Calibri" w:hAnsi="Calibri" w:eastAsiaTheme="majorEastAsia" w:cstheme="majorBidi"/>
      <w:iCs/>
    </w:rPr>
  </w:style>
  <w:style w:type="paragraph" w:styleId="Heading5">
    <w:name w:val="heading 5"/>
    <w:basedOn w:val="Normal"/>
    <w:next w:val="Normal"/>
    <w:link w:val="Heading5Char"/>
    <w:uiPriority w:val="9"/>
    <w:unhideWhenUsed/>
    <w:qFormat/>
    <w:rsid w:val="00453E94"/>
    <w:pPr>
      <w:keepNext/>
      <w:keepLines/>
      <w:numPr>
        <w:ilvl w:val="4"/>
        <w:numId w:val="2"/>
      </w:numPr>
      <w:spacing w:before="120" w:after="120"/>
      <w:outlineLvl w:val="4"/>
    </w:pPr>
    <w:rPr>
      <w:rFonts w:ascii="Calibri" w:hAnsi="Calibri" w:eastAsiaTheme="majorEastAsia" w:cstheme="majorBidi"/>
      <w:i/>
    </w:rPr>
  </w:style>
  <w:style w:type="paragraph" w:styleId="Heading6">
    <w:name w:val="heading 6"/>
    <w:basedOn w:val="Normal"/>
    <w:next w:val="Normal"/>
    <w:link w:val="Heading6Char"/>
    <w:uiPriority w:val="9"/>
    <w:unhideWhenUsed/>
    <w:qFormat/>
    <w:rsid w:val="00453E94"/>
    <w:pPr>
      <w:keepNext/>
      <w:keepLines/>
      <w:numPr>
        <w:ilvl w:val="5"/>
        <w:numId w:val="2"/>
      </w:numPr>
      <w:spacing w:before="120" w:after="120"/>
      <w:outlineLvl w:val="5"/>
    </w:pPr>
    <w:rPr>
      <w:rFonts w:ascii="Calibri" w:hAnsi="Calibri" w:eastAsiaTheme="majorEastAsia" w:cstheme="majorBidi"/>
      <w:i/>
    </w:rPr>
  </w:style>
  <w:style w:type="paragraph" w:styleId="Heading7">
    <w:name w:val="heading 7"/>
    <w:basedOn w:val="Normal"/>
    <w:next w:val="Normal"/>
    <w:link w:val="Heading7Char"/>
    <w:uiPriority w:val="9"/>
    <w:unhideWhenUsed/>
    <w:qFormat/>
    <w:rsid w:val="00453E94"/>
    <w:pPr>
      <w:keepNext/>
      <w:keepLines/>
      <w:numPr>
        <w:ilvl w:val="6"/>
        <w:numId w:val="2"/>
      </w:numPr>
      <w:spacing w:before="120" w:after="120"/>
      <w:outlineLvl w:val="6"/>
    </w:pPr>
    <w:rPr>
      <w:rFonts w:ascii="Calibri" w:hAnsi="Calibri" w:eastAsiaTheme="majorEastAsia" w:cstheme="majorBidi"/>
      <w:i/>
      <w:iCs/>
    </w:rPr>
  </w:style>
  <w:style w:type="paragraph" w:styleId="Heading8">
    <w:name w:val="heading 8"/>
    <w:basedOn w:val="Normal"/>
    <w:next w:val="Normal"/>
    <w:link w:val="Heading8Char"/>
    <w:uiPriority w:val="9"/>
    <w:unhideWhenUsed/>
    <w:qFormat/>
    <w:rsid w:val="00453E94"/>
    <w:pPr>
      <w:keepNext/>
      <w:keepLines/>
      <w:numPr>
        <w:ilvl w:val="7"/>
        <w:numId w:val="2"/>
      </w:numPr>
      <w:spacing w:before="120" w:after="120"/>
      <w:outlineLvl w:val="7"/>
    </w:pPr>
    <w:rPr>
      <w:rFonts w:ascii="Calibri" w:hAnsi="Calibri" w:eastAsiaTheme="majorEastAsia" w:cstheme="majorBidi"/>
      <w:i/>
      <w:color w:val="272727" w:themeColor="text1" w:themeTint="D8"/>
      <w:szCs w:val="21"/>
    </w:rPr>
  </w:style>
  <w:style w:type="paragraph" w:styleId="Heading9">
    <w:name w:val="heading 9"/>
    <w:basedOn w:val="Normal"/>
    <w:next w:val="Normal"/>
    <w:link w:val="Heading9Char"/>
    <w:uiPriority w:val="9"/>
    <w:unhideWhenUsed/>
    <w:qFormat/>
    <w:rsid w:val="00453E94"/>
    <w:pPr>
      <w:keepNext/>
      <w:keepLines/>
      <w:numPr>
        <w:ilvl w:val="8"/>
        <w:numId w:val="2"/>
      </w:numPr>
      <w:spacing w:before="120" w:after="120"/>
      <w:outlineLvl w:val="8"/>
    </w:pPr>
    <w:rPr>
      <w:rFonts w:ascii="Calibri" w:hAnsi="Calibri" w:eastAsiaTheme="majorEastAsia"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emiHidden/>
    <w:unhideWhenUsed/>
    <w:qFormat/>
    <w:rsid w:val="003B39FD"/>
    <w:rPr>
      <w:rFonts w:ascii="Calibri" w:hAnsi="Calibri"/>
      <w:sz w:val="16"/>
    </w:rPr>
  </w:style>
  <w:style w:type="character" w:customStyle="1" w:styleId="Heading1Char">
    <w:name w:val="Heading 1 Char"/>
    <w:basedOn w:val="DefaultParagraphFont"/>
    <w:link w:val="Heading1"/>
    <w:uiPriority w:val="9"/>
    <w:rsid w:val="00453E94"/>
    <w:rPr>
      <w:rFonts w:ascii="Calibri" w:hAnsi="Calibri" w:eastAsiaTheme="majorEastAsia" w:cstheme="majorBidi"/>
      <w:b/>
      <w:caps/>
      <w:sz w:val="24"/>
      <w:szCs w:val="32"/>
    </w:rPr>
  </w:style>
  <w:style w:type="character" w:customStyle="1" w:styleId="Heading2Char">
    <w:name w:val="Heading 2 Char"/>
    <w:basedOn w:val="DefaultParagraphFont"/>
    <w:link w:val="Heading2"/>
    <w:uiPriority w:val="9"/>
    <w:rsid w:val="00453E94"/>
    <w:rPr>
      <w:rFonts w:ascii="Calibri" w:hAnsi="Calibri" w:eastAsiaTheme="majorEastAsia" w:cstheme="majorBidi"/>
      <w:b/>
      <w:sz w:val="24"/>
      <w:szCs w:val="26"/>
    </w:rPr>
  </w:style>
  <w:style w:type="character" w:customStyle="1" w:styleId="Heading3Char">
    <w:name w:val="Heading 3 Char"/>
    <w:basedOn w:val="DefaultParagraphFont"/>
    <w:link w:val="Heading3"/>
    <w:uiPriority w:val="9"/>
    <w:rsid w:val="00453E94"/>
    <w:rPr>
      <w:rFonts w:ascii="Calibri" w:hAnsi="Calibri" w:eastAsiaTheme="majorEastAsia" w:cstheme="majorBidi"/>
      <w:b/>
      <w:i/>
      <w:sz w:val="24"/>
      <w:szCs w:val="24"/>
    </w:rPr>
  </w:style>
  <w:style w:type="character" w:customStyle="1" w:styleId="Heading4Char">
    <w:name w:val="Heading 4 Char"/>
    <w:basedOn w:val="DefaultParagraphFont"/>
    <w:link w:val="Heading4"/>
    <w:uiPriority w:val="9"/>
    <w:rsid w:val="00453E94"/>
    <w:rPr>
      <w:rFonts w:ascii="Calibri" w:hAnsi="Calibri" w:eastAsiaTheme="majorEastAsia" w:cstheme="majorBidi"/>
      <w:iCs/>
      <w:sz w:val="24"/>
    </w:rPr>
  </w:style>
  <w:style w:type="character" w:customStyle="1" w:styleId="Heading5Char">
    <w:name w:val="Heading 5 Char"/>
    <w:basedOn w:val="DefaultParagraphFont"/>
    <w:link w:val="Heading5"/>
    <w:uiPriority w:val="9"/>
    <w:rsid w:val="00453E94"/>
    <w:rPr>
      <w:rFonts w:ascii="Calibri" w:hAnsi="Calibri" w:eastAsiaTheme="majorEastAsia" w:cstheme="majorBidi"/>
      <w:i/>
      <w:sz w:val="24"/>
    </w:rPr>
  </w:style>
  <w:style w:type="character" w:customStyle="1" w:styleId="Heading7Char">
    <w:name w:val="Heading 7 Char"/>
    <w:basedOn w:val="DefaultParagraphFont"/>
    <w:link w:val="Heading7"/>
    <w:uiPriority w:val="9"/>
    <w:rsid w:val="00453E94"/>
    <w:rPr>
      <w:rFonts w:ascii="Calibri" w:hAnsi="Calibri" w:eastAsiaTheme="majorEastAsia" w:cstheme="majorBidi"/>
      <w:i/>
      <w:iCs/>
      <w:sz w:val="24"/>
    </w:rPr>
  </w:style>
  <w:style w:type="character" w:customStyle="1" w:styleId="Heading8Char">
    <w:name w:val="Heading 8 Char"/>
    <w:basedOn w:val="DefaultParagraphFont"/>
    <w:link w:val="Heading8"/>
    <w:uiPriority w:val="9"/>
    <w:rsid w:val="00453E94"/>
    <w:rPr>
      <w:rFonts w:ascii="Calibri" w:hAnsi="Calibri" w:eastAsiaTheme="majorEastAsia" w:cstheme="majorBidi"/>
      <w:i/>
      <w:color w:val="272727" w:themeColor="text1" w:themeTint="D8"/>
      <w:sz w:val="24"/>
      <w:szCs w:val="21"/>
    </w:rPr>
  </w:style>
  <w:style w:type="character" w:customStyle="1" w:styleId="Heading9Char">
    <w:name w:val="Heading 9 Char"/>
    <w:basedOn w:val="DefaultParagraphFont"/>
    <w:link w:val="Heading9"/>
    <w:uiPriority w:val="9"/>
    <w:rsid w:val="00453E94"/>
    <w:rPr>
      <w:rFonts w:ascii="Calibri" w:hAnsi="Calibri" w:eastAsiaTheme="majorEastAsia" w:cstheme="majorBidi"/>
      <w:i/>
      <w:iCs/>
      <w:color w:val="272727" w:themeColor="text1" w:themeTint="D8"/>
      <w:sz w:val="24"/>
      <w:szCs w:val="21"/>
    </w:rPr>
  </w:style>
  <w:style w:type="character" w:customStyle="1" w:styleId="Heading6Char">
    <w:name w:val="Heading 6 Char"/>
    <w:basedOn w:val="DefaultParagraphFont"/>
    <w:link w:val="Heading6"/>
    <w:uiPriority w:val="9"/>
    <w:rsid w:val="00453E94"/>
    <w:rPr>
      <w:rFonts w:ascii="Calibri" w:hAnsi="Calibri" w:eastAsiaTheme="majorEastAsia" w:cstheme="majorBidi"/>
      <w:i/>
      <w:sz w:val="24"/>
    </w:rPr>
  </w:style>
  <w:style w:type="paragraph" w:styleId="ListParagraph">
    <w:name w:val="List Paragraph"/>
    <w:basedOn w:val="Normal"/>
    <w:uiPriority w:val="34"/>
    <w:qFormat/>
    <w:rsid w:val="001D5334"/>
    <w:pPr>
      <w:ind w:left="720"/>
      <w:contextualSpacing/>
    </w:pPr>
  </w:style>
  <w:style w:type="paragraph" w:customStyle="1" w:styleId="Headingnonumber">
    <w:name w:val="Heading no number"/>
    <w:basedOn w:val="Normal"/>
    <w:link w:val="HeadingnonumberChar"/>
    <w:qFormat/>
    <w:rsid w:val="00453E94"/>
    <w:pPr>
      <w:spacing w:before="120" w:after="120"/>
    </w:pPr>
    <w:rPr>
      <w:b/>
      <w:bCs w:val="0"/>
      <w:caps/>
      <w:szCs w:val="24"/>
    </w:rPr>
  </w:style>
  <w:style w:type="paragraph" w:styleId="TOCHeading">
    <w:name w:val="TOC Heading"/>
    <w:basedOn w:val="Heading1"/>
    <w:next w:val="Normal"/>
    <w:uiPriority w:val="39"/>
    <w:unhideWhenUsed/>
    <w:qFormat/>
    <w:rsid w:val="003C40FF"/>
    <w:pPr>
      <w:numPr>
        <w:numId w:val="0"/>
      </w:numPr>
      <w:spacing w:before="240" w:line="259" w:lineRule="auto"/>
      <w:outlineLvl w:val="9"/>
    </w:pPr>
    <w:rPr>
      <w:rFonts w:asciiTheme="majorHAnsi" w:hAnsiTheme="majorHAnsi"/>
      <w:b w:val="0"/>
      <w:caps w:val="0"/>
      <w:color w:val="2F5496" w:themeColor="accent1" w:themeShade="BF"/>
      <w:sz w:val="32"/>
      <w:lang w:val="en-US"/>
    </w:rPr>
  </w:style>
  <w:style w:type="character" w:customStyle="1" w:styleId="HeadingnonumberChar">
    <w:name w:val="Heading no number Char"/>
    <w:basedOn w:val="DefaultParagraphFont"/>
    <w:link w:val="Headingnonumber"/>
    <w:rsid w:val="00453E94"/>
    <w:rPr>
      <w:b/>
      <w:bCs w:val="0"/>
      <w:caps/>
      <w:sz w:val="24"/>
      <w:szCs w:val="24"/>
    </w:rPr>
  </w:style>
  <w:style w:type="paragraph" w:styleId="TOC1">
    <w:name w:val="toc 1"/>
    <w:basedOn w:val="Normal"/>
    <w:next w:val="Normal"/>
    <w:autoRedefine/>
    <w:uiPriority w:val="39"/>
    <w:unhideWhenUsed/>
    <w:rsid w:val="00DB2FCB"/>
    <w:rPr>
      <w:b/>
      <w:bCs w:val="0"/>
      <w:caps/>
      <w:szCs w:val="20"/>
    </w:rPr>
  </w:style>
  <w:style w:type="paragraph" w:styleId="TOC2">
    <w:name w:val="toc 2"/>
    <w:basedOn w:val="Normal"/>
    <w:next w:val="Normal"/>
    <w:autoRedefine/>
    <w:uiPriority w:val="39"/>
    <w:unhideWhenUsed/>
    <w:rsid w:val="00FB41B4"/>
    <w:pPr>
      <w:ind w:left="220"/>
    </w:pPr>
    <w:rPr>
      <w:szCs w:val="20"/>
    </w:rPr>
  </w:style>
  <w:style w:type="paragraph" w:styleId="TOC3">
    <w:name w:val="toc 3"/>
    <w:basedOn w:val="Normal"/>
    <w:next w:val="Normal"/>
    <w:autoRedefine/>
    <w:uiPriority w:val="39"/>
    <w:unhideWhenUsed/>
    <w:rsid w:val="00FB41B4"/>
    <w:pPr>
      <w:ind w:left="440"/>
    </w:pPr>
    <w:rPr>
      <w:i/>
      <w:iCs/>
      <w:szCs w:val="20"/>
    </w:rPr>
  </w:style>
  <w:style w:type="character" w:styleId="Hyperlink">
    <w:name w:val="Hyperlink"/>
    <w:basedOn w:val="DefaultParagraphFont"/>
    <w:uiPriority w:val="99"/>
    <w:unhideWhenUsed/>
    <w:rsid w:val="003C40FF"/>
    <w:rPr>
      <w:color w:val="0563C1" w:themeColor="hyperlink"/>
      <w:u w:val="single"/>
    </w:rPr>
  </w:style>
  <w:style w:type="paragraph" w:styleId="TOC4">
    <w:name w:val="toc 4"/>
    <w:basedOn w:val="Normal"/>
    <w:next w:val="Normal"/>
    <w:autoRedefine/>
    <w:uiPriority w:val="39"/>
    <w:unhideWhenUsed/>
    <w:rsid w:val="00FB41B4"/>
    <w:pPr>
      <w:ind w:left="660"/>
    </w:pPr>
    <w:rPr>
      <w:szCs w:val="18"/>
    </w:rPr>
  </w:style>
  <w:style w:type="paragraph" w:styleId="TOC5">
    <w:name w:val="toc 5"/>
    <w:basedOn w:val="Normal"/>
    <w:next w:val="Normal"/>
    <w:autoRedefine/>
    <w:uiPriority w:val="39"/>
    <w:unhideWhenUsed/>
    <w:rsid w:val="00FB41B4"/>
    <w:pPr>
      <w:ind w:left="880"/>
    </w:pPr>
    <w:rPr>
      <w:szCs w:val="18"/>
    </w:rPr>
  </w:style>
  <w:style w:type="paragraph" w:styleId="TOC6">
    <w:name w:val="toc 6"/>
    <w:basedOn w:val="Normal"/>
    <w:next w:val="Normal"/>
    <w:autoRedefine/>
    <w:uiPriority w:val="39"/>
    <w:unhideWhenUsed/>
    <w:rsid w:val="00FB41B4"/>
    <w:pPr>
      <w:ind w:left="1100"/>
    </w:pPr>
    <w:rPr>
      <w:szCs w:val="18"/>
    </w:rPr>
  </w:style>
  <w:style w:type="paragraph" w:styleId="TOC7">
    <w:name w:val="toc 7"/>
    <w:basedOn w:val="Normal"/>
    <w:next w:val="Normal"/>
    <w:autoRedefine/>
    <w:uiPriority w:val="39"/>
    <w:unhideWhenUsed/>
    <w:rsid w:val="00FB41B4"/>
    <w:pPr>
      <w:ind w:left="1320"/>
    </w:pPr>
    <w:rPr>
      <w:szCs w:val="18"/>
    </w:rPr>
  </w:style>
  <w:style w:type="paragraph" w:styleId="TOC8">
    <w:name w:val="toc 8"/>
    <w:basedOn w:val="Normal"/>
    <w:next w:val="Normal"/>
    <w:autoRedefine/>
    <w:uiPriority w:val="39"/>
    <w:unhideWhenUsed/>
    <w:rsid w:val="00FB41B4"/>
    <w:pPr>
      <w:ind w:left="1540"/>
    </w:pPr>
    <w:rPr>
      <w:szCs w:val="18"/>
    </w:rPr>
  </w:style>
  <w:style w:type="paragraph" w:styleId="TOC9">
    <w:name w:val="toc 9"/>
    <w:basedOn w:val="Normal"/>
    <w:next w:val="Normal"/>
    <w:autoRedefine/>
    <w:uiPriority w:val="39"/>
    <w:unhideWhenUsed/>
    <w:rsid w:val="00FB41B4"/>
    <w:pPr>
      <w:ind w:left="1760"/>
    </w:pPr>
    <w:rPr>
      <w:szCs w:val="18"/>
    </w:rPr>
  </w:style>
  <w:style w:type="paragraph" w:styleId="Header">
    <w:name w:val="header"/>
    <w:basedOn w:val="Normal"/>
    <w:link w:val="HeaderChar"/>
    <w:uiPriority w:val="99"/>
    <w:unhideWhenUsed/>
    <w:rsid w:val="00FF5527"/>
    <w:pPr>
      <w:tabs>
        <w:tab w:val="center" w:pos="4513"/>
        <w:tab w:val="right" w:pos="9026"/>
      </w:tabs>
      <w:spacing w:line="240" w:lineRule="auto"/>
    </w:pPr>
  </w:style>
  <w:style w:type="character" w:customStyle="1" w:styleId="HeaderChar">
    <w:name w:val="Header Char"/>
    <w:basedOn w:val="DefaultParagraphFont"/>
    <w:link w:val="Header"/>
    <w:uiPriority w:val="99"/>
    <w:rsid w:val="00FF5527"/>
  </w:style>
  <w:style w:type="paragraph" w:styleId="Footer">
    <w:name w:val="footer"/>
    <w:basedOn w:val="Normal"/>
    <w:link w:val="FooterChar"/>
    <w:uiPriority w:val="99"/>
    <w:unhideWhenUsed/>
    <w:rsid w:val="008D3D33"/>
    <w:pPr>
      <w:tabs>
        <w:tab w:val="center" w:pos="4513"/>
        <w:tab w:val="right" w:pos="9026"/>
      </w:tabs>
      <w:spacing w:line="240" w:lineRule="auto"/>
    </w:pPr>
    <w:rPr>
      <w:sz w:val="16"/>
    </w:rPr>
  </w:style>
  <w:style w:type="character" w:customStyle="1" w:styleId="FooterChar">
    <w:name w:val="Footer Char"/>
    <w:basedOn w:val="DefaultParagraphFont"/>
    <w:link w:val="Footer"/>
    <w:uiPriority w:val="99"/>
    <w:rsid w:val="008D3D33"/>
    <w:rPr>
      <w:sz w:val="16"/>
    </w:rPr>
  </w:style>
  <w:style w:type="table" w:styleId="TableGrid">
    <w:name w:val="Table Grid"/>
    <w:basedOn w:val="TableNormal"/>
    <w:uiPriority w:val="39"/>
    <w:rsid w:val="00CD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246B9"/>
    <w:pPr>
      <w:spacing w:before="120" w:after="120"/>
      <w:jc w:val="center"/>
    </w:pPr>
    <w:rPr>
      <w:b/>
      <w:iCs/>
      <w:szCs w:val="18"/>
    </w:rPr>
  </w:style>
  <w:style w:type="paragraph" w:styleId="TableofFigures">
    <w:name w:val="table of figures"/>
    <w:basedOn w:val="Normal"/>
    <w:next w:val="Normal"/>
    <w:uiPriority w:val="99"/>
    <w:unhideWhenUsed/>
    <w:rsid w:val="00DF5D92"/>
  </w:style>
  <w:style w:type="character" w:styleId="PlaceholderText">
    <w:name w:val="Placeholder Text"/>
    <w:basedOn w:val="DefaultParagraphFont"/>
    <w:uiPriority w:val="99"/>
    <w:semiHidden/>
    <w:rsid w:val="00714BC6"/>
    <w:rPr>
      <w:color w:val="808080"/>
    </w:rPr>
  </w:style>
  <w:style w:type="character" w:customStyle="1" w:styleId="Style1">
    <w:name w:val="Style1"/>
    <w:basedOn w:val="DefaultParagraphFont"/>
    <w:uiPriority w:val="1"/>
    <w:rsid w:val="00B73639"/>
    <w:rPr>
      <w:b/>
    </w:rPr>
  </w:style>
  <w:style w:type="character" w:customStyle="1" w:styleId="Style2">
    <w:name w:val="Style2"/>
    <w:basedOn w:val="DefaultParagraphFont"/>
    <w:uiPriority w:val="1"/>
    <w:rsid w:val="000D33A8"/>
    <w:rPr>
      <w:b/>
    </w:rPr>
  </w:style>
  <w:style w:type="character" w:customStyle="1" w:styleId="UnresolvedMention1">
    <w:name w:val="Unresolved Mention1"/>
    <w:basedOn w:val="DefaultParagraphFont"/>
    <w:uiPriority w:val="99"/>
    <w:semiHidden/>
    <w:unhideWhenUsed/>
    <w:rsid w:val="00CE3E23"/>
    <w:rPr>
      <w:color w:val="605E5C"/>
      <w:shd w:val="clear" w:color="auto" w:fill="E1DFDD"/>
    </w:rPr>
  </w:style>
  <w:style w:type="character" w:styleId="CommentReference">
    <w:name w:val="annotation reference"/>
    <w:basedOn w:val="DefaultParagraphFont"/>
    <w:uiPriority w:val="99"/>
    <w:semiHidden/>
    <w:unhideWhenUsed/>
    <w:rsid w:val="00CD6E03"/>
    <w:rPr>
      <w:sz w:val="16"/>
      <w:szCs w:val="16"/>
    </w:rPr>
  </w:style>
  <w:style w:type="paragraph" w:styleId="CommentText">
    <w:name w:val="annotation text"/>
    <w:basedOn w:val="Normal"/>
    <w:link w:val="CommentTextChar"/>
    <w:uiPriority w:val="99"/>
    <w:unhideWhenUsed/>
    <w:rsid w:val="00CD6E03"/>
    <w:pPr>
      <w:spacing w:line="240" w:lineRule="auto"/>
    </w:pPr>
    <w:rPr>
      <w:sz w:val="20"/>
      <w:szCs w:val="20"/>
    </w:rPr>
  </w:style>
  <w:style w:type="character" w:customStyle="1" w:styleId="CommentTextChar">
    <w:name w:val="Comment Text Char"/>
    <w:basedOn w:val="DefaultParagraphFont"/>
    <w:link w:val="CommentText"/>
    <w:uiPriority w:val="99"/>
    <w:rsid w:val="00CD6E03"/>
    <w:rPr>
      <w:sz w:val="20"/>
      <w:szCs w:val="20"/>
    </w:rPr>
  </w:style>
  <w:style w:type="paragraph" w:styleId="CommentSubject">
    <w:name w:val="annotation subject"/>
    <w:basedOn w:val="CommentText"/>
    <w:next w:val="CommentText"/>
    <w:link w:val="CommentSubjectChar"/>
    <w:uiPriority w:val="99"/>
    <w:semiHidden/>
    <w:unhideWhenUsed/>
    <w:rsid w:val="00CD6E03"/>
    <w:rPr>
      <w:b/>
      <w:bCs w:val="0"/>
    </w:rPr>
  </w:style>
  <w:style w:type="character" w:customStyle="1" w:styleId="CommentSubjectChar">
    <w:name w:val="Comment Subject Char"/>
    <w:basedOn w:val="CommentTextChar"/>
    <w:link w:val="CommentSubject"/>
    <w:uiPriority w:val="99"/>
    <w:semiHidden/>
    <w:rsid w:val="00CD6E03"/>
    <w:rPr>
      <w:b/>
      <w:bCs w:val="0"/>
      <w:sz w:val="20"/>
      <w:szCs w:val="20"/>
    </w:rPr>
  </w:style>
  <w:style w:type="paragraph" w:customStyle="1" w:styleId="CornishLithium-title">
    <w:name w:val="Cornish Lithium - title"/>
    <w:qFormat/>
    <w:rsid w:val="0055660F"/>
    <w:pPr>
      <w:spacing w:before="120" w:after="120" w:line="300" w:lineRule="atLeast"/>
    </w:pPr>
    <w:rPr>
      <w:rFonts w:eastAsia="Times New Roman" w:cs="Arial"/>
      <w:b/>
      <w:color w:val="46AFB2"/>
      <w:sz w:val="24"/>
      <w:szCs w:val="23"/>
    </w:rPr>
  </w:style>
  <w:style w:type="paragraph" w:styleId="NoSpacing">
    <w:name w:val="No Spacing"/>
    <w:uiPriority w:val="1"/>
    <w:qFormat/>
    <w:rsid w:val="00453E94"/>
    <w:pPr>
      <w:spacing w:before="120" w:after="120" w:line="300" w:lineRule="atLeast"/>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1.tif" /></Relationships>
</file>

<file path=word/_rels/foot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21518234EC4B41A817A4D949991099"/>
        <w:category>
          <w:name w:val="General"/>
          <w:gallery w:val="placeholder"/>
        </w:category>
        <w:types>
          <w:type w:val="bbPlcHdr"/>
        </w:types>
        <w:behaviors>
          <w:behavior w:val="content"/>
        </w:behaviors>
        <w:guid w:val="{C9C1C312-51D1-4F1E-944F-EF2D517A61DD}"/>
      </w:docPartPr>
      <w:docPartBody>
        <w:p w:rsidR="00072D86">
          <w:pPr>
            <w:pStyle w:val="7C21518234EC4B41A817A4D949991099"/>
          </w:pPr>
          <w:r w:rsidRPr="00A12BB2">
            <w:rPr>
              <w:rStyle w:val="PlaceholderText"/>
            </w:rPr>
            <w:t>Salutation</w:t>
          </w:r>
        </w:p>
      </w:docPartBody>
    </w:docPart>
    <w:docPart>
      <w:docPartPr>
        <w:name w:val="87B5096756184851BB1E6FA9CE733005"/>
        <w:category>
          <w:name w:val="General"/>
          <w:gallery w:val="placeholder"/>
        </w:category>
        <w:types>
          <w:type w:val="bbPlcHdr"/>
        </w:types>
        <w:behaviors>
          <w:behavior w:val="content"/>
        </w:behaviors>
        <w:guid w:val="{C088D32B-59E5-4926-9AB7-2B2D28705A5E}"/>
      </w:docPartPr>
      <w:docPartBody>
        <w:p w:rsidR="00072D86" w:rsidP="00072D86">
          <w:pPr>
            <w:pStyle w:val="87B5096756184851BB1E6FA9CE73300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C21518234EC4B41A817A4D949991099">
    <w:name w:val="7C21518234EC4B41A817A4D949991099"/>
  </w:style>
  <w:style w:type="paragraph" w:customStyle="1" w:styleId="87B5096756184851BB1E6FA9CE733005">
    <w:name w:val="87B5096756184851BB1E6FA9CE733005"/>
    <w:rsid w:val="00072D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1E7701496EDF4A80E98A483BBE18C9" ma:contentTypeVersion="4" ma:contentTypeDescription="Create a new document." ma:contentTypeScope="" ma:versionID="476c8db567bdc7a6566d300248080cff">
  <xsd:schema xmlns:xsd="http://www.w3.org/2001/XMLSchema" xmlns:xs="http://www.w3.org/2001/XMLSchema" xmlns:p="http://schemas.microsoft.com/office/2006/metadata/properties" xmlns:ns2="98c58343-7ddc-43cd-ab2c-948937623265" targetNamespace="http://schemas.microsoft.com/office/2006/metadata/properties" ma:root="true" ma:fieldsID="e49d8ff57554fa32275caa1258cd336d" ns2:_="">
    <xsd:import namespace="98c58343-7ddc-43cd-ab2c-9489376232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58343-7ddc-43cd-ab2c-948937623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54168-5A6C-410A-B0F8-73A2D2DA99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652474-8A5E-4223-97FA-78CF90BD5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c58343-7ddc-43cd-ab2c-948937623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EA128D-7CD7-41DA-8290-7863EB400F94}">
  <ds:schemaRefs>
    <ds:schemaRef ds:uri="http://schemas.microsoft.com/sharepoint/v3/contenttype/forms"/>
  </ds:schemaRefs>
</ds:datastoreItem>
</file>

<file path=customXml/itemProps4.xml><?xml version="1.0" encoding="utf-8"?>
<ds:datastoreItem xmlns:ds="http://schemas.openxmlformats.org/officeDocument/2006/customXml" ds:itemID="{7C975075-3449-4640-AD8F-7845C89F6607}">
  <ds:schemaRefs>
    <ds:schemaRef ds:uri="http://schemas.openxmlformats.org/officeDocument/2006/bibliography"/>
  </ds:schemaRefs>
</ds:datastoreItem>
</file>

<file path=docMetadata/LabelInfo.xml><?xml version="1.0" encoding="utf-8"?>
<clbl:labelList xmlns:clbl="http://schemas.microsoft.com/office/2020/mipLabelMetadata">
  <clbl:label id="{1ce6dd9e-b337-4088-be5e-8dbbec04b34a}" enabled="0" method="" siteId="{1ce6dd9e-b337-4088-be5e-8dbbec04b34a}"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CRM0015</dc:title>
  <cp:revision>0</cp:revision>
</cp:coreProperties>
</file>