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43CBD" w:rsidRPr="00343CBD" w:rsidP="00343CBD">
      <w:pPr>
        <w:jc w:val="center"/>
        <w:rPr>
          <w:rFonts w:ascii="Calibri" w:hAnsi="Calibri" w:cs="Calibri"/>
          <w:b/>
          <w:bCs/>
          <w:sz w:val="22"/>
        </w:rPr>
      </w:pPr>
      <w:r w:rsidRPr="00343CBD">
        <w:rPr>
          <w:rFonts w:ascii="Calibri" w:hAnsi="Calibri" w:cs="Calibri"/>
          <w:b/>
          <w:bCs/>
          <w:sz w:val="22"/>
        </w:rPr>
        <w:t xml:space="preserve">Written evidence by </w:t>
      </w:r>
      <w:r w:rsidRPr="00343CBD">
        <w:rPr>
          <w:rFonts w:ascii="Calibri" w:hAnsi="Calibri" w:cs="Calibri"/>
          <w:b/>
          <w:bCs/>
          <w:sz w:val="22"/>
        </w:rPr>
        <w:t>Dr. Fabio Tollon</w:t>
      </w:r>
      <w:r w:rsidRPr="00343CBD">
        <w:rPr>
          <w:rFonts w:ascii="Calibri" w:hAnsi="Calibri" w:cs="Calibri"/>
          <w:b/>
          <w:bCs/>
          <w:sz w:val="22"/>
        </w:rPr>
        <w:t xml:space="preserve"> and </w:t>
      </w:r>
      <w:r w:rsidRPr="00343CBD">
        <w:rPr>
          <w:rFonts w:ascii="Calibri" w:hAnsi="Calibri" w:cs="Calibri"/>
          <w:b/>
          <w:bCs/>
          <w:sz w:val="22"/>
        </w:rPr>
        <w:t>Dr. Michał Wieczorek</w:t>
      </w:r>
      <w:r w:rsidRPr="00343CBD">
        <w:rPr>
          <w:rFonts w:ascii="Calibri" w:hAnsi="Calibri" w:cs="Calibri"/>
          <w:b/>
          <w:bCs/>
          <w:sz w:val="22"/>
        </w:rPr>
        <w:t xml:space="preserve"> (</w:t>
      </w:r>
      <w:r w:rsidRPr="00343CBD">
        <w:rPr>
          <w:rFonts w:ascii="Calibri" w:hAnsi="Calibri" w:cs="Calibri"/>
          <w:b/>
          <w:bCs/>
          <w:sz w:val="22"/>
        </w:rPr>
        <w:t>AIE0099</w:t>
      </w:r>
      <w:r w:rsidRPr="00343CBD">
        <w:rPr>
          <w:rFonts w:ascii="Calibri" w:hAnsi="Calibri" w:cs="Calibri"/>
          <w:b/>
          <w:bCs/>
          <w:sz w:val="22"/>
        </w:rPr>
        <w:t>)</w:t>
      </w:r>
    </w:p>
    <w:p w:rsidR="00343CBD" w:rsidRPr="00343CBD" w:rsidP="00343CBD">
      <w:pPr>
        <w:spacing w:after="0" w:line="240" w:lineRule="auto"/>
        <w:jc w:val="left"/>
        <w:rPr>
          <w:rFonts w:ascii="Calibri" w:eastAsia="Aptos" w:hAnsi="Calibri" w:cs="Calibri"/>
          <w:b/>
          <w:bCs/>
          <w:sz w:val="22"/>
        </w:rPr>
      </w:pPr>
      <w:r w:rsidRPr="00343CBD">
        <w:rPr>
          <w:rFonts w:ascii="Calibri" w:eastAsia="Aptos" w:hAnsi="Calibri" w:cs="Calibri"/>
          <w:b/>
          <w:bCs/>
          <w:sz w:val="22"/>
        </w:rPr>
        <w:t>Education Committee</w:t>
      </w:r>
    </w:p>
    <w:p w:rsidR="00343CBD" w:rsidRPr="00343CBD" w:rsidP="00343CBD">
      <w:pPr>
        <w:spacing w:after="0" w:line="240" w:lineRule="auto"/>
        <w:jc w:val="left"/>
        <w:rPr>
          <w:rFonts w:ascii="Calibri" w:eastAsia="Aptos" w:hAnsi="Calibri" w:cs="Calibri"/>
          <w:sz w:val="22"/>
        </w:rPr>
      </w:pPr>
      <w:r w:rsidRPr="00343CBD">
        <w:rPr>
          <w:rFonts w:ascii="Calibri" w:eastAsia="Aptos" w:hAnsi="Calibri" w:cs="Calibri"/>
          <w:b/>
          <w:bCs/>
          <w:sz w:val="22"/>
        </w:rPr>
        <w:t>The</w:t>
      </w:r>
      <w:r w:rsidRPr="00343CBD">
        <w:rPr>
          <w:rFonts w:ascii="Calibri" w:eastAsia="Aptos" w:hAnsi="Calibri" w:cs="Calibri"/>
          <w:sz w:val="22"/>
        </w:rPr>
        <w:t xml:space="preserve"> </w:t>
      </w:r>
      <w:r w:rsidRPr="00343CBD">
        <w:rPr>
          <w:rFonts w:ascii="Calibri" w:eastAsia="Aptos" w:hAnsi="Calibri" w:cs="Calibri"/>
          <w:b/>
          <w:bCs/>
          <w:sz w:val="22"/>
        </w:rPr>
        <w:t>use of Artificial Intelligence and EdTech in Education inquiry</w:t>
      </w:r>
    </w:p>
    <w:p w:rsidR="00343CBD" w:rsidRPr="00343CBD" w:rsidP="00343CBD">
      <w:pPr>
        <w:jc w:val="left"/>
        <w:rPr>
          <w:rFonts w:ascii="Calibri" w:hAnsi="Calibri" w:cs="Calibri"/>
          <w:b/>
          <w:bCs/>
          <w:sz w:val="22"/>
        </w:rPr>
      </w:pPr>
    </w:p>
    <w:p w:rsidR="00343CBD" w:rsidRPr="00343CBD" w:rsidP="00EF1BFA">
      <w:pPr>
        <w:rPr>
          <w:rFonts w:ascii="Calibri" w:hAnsi="Calibri" w:cs="Calibri"/>
          <w:b/>
          <w:bCs/>
          <w:sz w:val="22"/>
        </w:rPr>
      </w:pPr>
      <w:r w:rsidRPr="00343CBD">
        <w:rPr>
          <w:rFonts w:ascii="Calibri" w:hAnsi="Calibri" w:cs="Calibri"/>
          <w:b/>
          <w:bCs/>
          <w:sz w:val="22"/>
        </w:rPr>
        <w:t xml:space="preserve">Introduction </w:t>
      </w:r>
    </w:p>
    <w:p w:rsidR="00343CBD" w:rsidRPr="00343CBD" w:rsidP="00EF1BFA">
      <w:pPr>
        <w:rPr>
          <w:rFonts w:ascii="Calibri" w:hAnsi="Calibri" w:cs="Calibri"/>
          <w:sz w:val="22"/>
        </w:rPr>
      </w:pPr>
      <w:r w:rsidRPr="00343CBD">
        <w:rPr>
          <w:rFonts w:ascii="Calibri" w:hAnsi="Calibri" w:cs="Calibri"/>
          <w:sz w:val="22"/>
        </w:rPr>
        <w:t>The Bridging Responsible AI Divides (BRAID) programme</w:t>
      </w:r>
      <w:r w:rsidRPr="00343CBD">
        <w:rPr>
          <w:rFonts w:ascii="Calibri" w:hAnsi="Calibri" w:cs="Calibri"/>
          <w:sz w:val="22"/>
        </w:rPr>
        <w:t>, based at the University of Edinburgh,</w:t>
      </w:r>
      <w:r w:rsidRPr="00343CBD">
        <w:rPr>
          <w:rFonts w:ascii="Calibri" w:hAnsi="Calibri" w:cs="Calibri"/>
          <w:sz w:val="22"/>
        </w:rPr>
        <w:t xml:space="preserve"> </w:t>
      </w:r>
      <w:r w:rsidRPr="00343CBD">
        <w:rPr>
          <w:rFonts w:ascii="Calibri" w:hAnsi="Calibri" w:cs="Calibri"/>
          <w:sz w:val="22"/>
        </w:rPr>
        <w:t>is dedicated to integrating Arts and Humanities research more fully into the Responsible AI ecosystem, as well as bridging the divides between academic, industry, policy and regulatory work on responsible AI. Funded by the Arts and Humanities Research Council (AHRC) it represents a six-year, £15.9 million investment in enabling responsible AI in the UK. The Programme runs from 2022 to 2028. Working in partnership with the Ada Lovelace Institute and BBC, the team brings together expertise in human-computer i</w:t>
      </w:r>
      <w:r w:rsidRPr="00343CBD">
        <w:rPr>
          <w:rFonts w:ascii="Calibri" w:hAnsi="Calibri" w:cs="Calibri"/>
          <w:sz w:val="22"/>
        </w:rPr>
        <w:t>nteraction, moral philosophy, arts, design, law, social sciences, journalism, and AI</w:t>
      </w:r>
    </w:p>
    <w:p w:rsidR="00343CBD" w:rsidRPr="00343CBD" w:rsidP="00EF1BFA">
      <w:pPr>
        <w:rPr>
          <w:rFonts w:ascii="Calibri" w:hAnsi="Calibri" w:cs="Calibri"/>
          <w:sz w:val="22"/>
        </w:rPr>
      </w:pPr>
      <w:r w:rsidRPr="00343CBD">
        <w:rPr>
          <w:rFonts w:ascii="Calibri" w:hAnsi="Calibri" w:cs="Calibri"/>
          <w:sz w:val="22"/>
        </w:rPr>
        <w:t xml:space="preserve">Fabio Tollon is a postdoctoral researcher on the BRAID program. He is a philosopher with expertise in the ethics of AI, and has written extensively on issues and questions concerning responsibility in technological contexts. More recently, he has worked with Wieczorek on developing an account of ‘moral entanglement’ which captures the ways in which edtech may disrupt or foreclose teachers’ ability to engage students in learning. </w:t>
      </w:r>
    </w:p>
    <w:p w:rsidR="00343CBD" w:rsidRPr="00343CBD" w:rsidP="00EF1BFA">
      <w:pPr>
        <w:rPr>
          <w:rFonts w:ascii="Calibri" w:hAnsi="Calibri" w:cs="Calibri"/>
          <w:sz w:val="22"/>
        </w:rPr>
      </w:pPr>
      <w:r w:rsidRPr="00343CBD">
        <w:rPr>
          <w:rFonts w:ascii="Calibri" w:hAnsi="Calibri" w:cs="Calibri"/>
          <w:sz w:val="22"/>
        </w:rPr>
        <w:t>Michał Wieczorek is an Ad Astra Fellow – Assistant Professor in AI-Driven Educational Innovation in the School of Education, University College Dublin. He has expertise in philosophy of education, applied ethics and futures studies, which he combines to examine how new technologies shape the goals, values and practices of education. In addition to his research, he teaches in UCD’s Initial Teacher Education programmes and engages the public with the ethics of educational AI, for example through the AI Litera</w:t>
      </w:r>
      <w:r w:rsidRPr="00343CBD">
        <w:rPr>
          <w:rFonts w:ascii="Calibri" w:hAnsi="Calibri" w:cs="Calibri"/>
          <w:sz w:val="22"/>
        </w:rPr>
        <w:t>cy in the Classroom project which delivers continuing professional development workshops for teachers.</w:t>
      </w:r>
    </w:p>
    <w:p w:rsidR="00343CBD" w:rsidRPr="00343CBD" w:rsidP="00EF1BFA">
      <w:pPr>
        <w:rPr>
          <w:rFonts w:ascii="Calibri" w:hAnsi="Calibri" w:cs="Calibri"/>
          <w:b/>
          <w:bCs/>
          <w:sz w:val="22"/>
        </w:rPr>
      </w:pPr>
      <w:r w:rsidRPr="00343CBD">
        <w:rPr>
          <w:rFonts w:ascii="Calibri" w:hAnsi="Calibri" w:cs="Calibri"/>
          <w:b/>
          <w:bCs/>
          <w:sz w:val="22"/>
        </w:rPr>
        <w:t xml:space="preserve">The Use of Artificial Intelligence and edtech in Education </w:t>
      </w:r>
    </w:p>
    <w:p w:rsidR="00343CBD" w:rsidRPr="00343CBD" w:rsidP="00EF1BFA">
      <w:pPr>
        <w:rPr>
          <w:rFonts w:ascii="Calibri" w:hAnsi="Calibri" w:cs="Calibri"/>
          <w:sz w:val="22"/>
        </w:rPr>
      </w:pPr>
      <w:r w:rsidRPr="00343CBD">
        <w:rPr>
          <w:rFonts w:ascii="Calibri" w:hAnsi="Calibri" w:cs="Calibri"/>
          <w:sz w:val="22"/>
        </w:rPr>
        <w:t>Bridget Phillipson, the Education Secretary, believes that AI-tutors will help ensure that individually-tailored learning support is no longer reserved for “the lucky few”</w:t>
      </w:r>
      <w:r>
        <w:rPr>
          <w:rStyle w:val="FootnoteReference"/>
          <w:rFonts w:ascii="Calibri" w:hAnsi="Calibri" w:cs="Calibri"/>
          <w:sz w:val="22"/>
        </w:rPr>
        <w:footnoteReference w:id="2"/>
      </w:r>
      <w:r w:rsidRPr="00343CBD">
        <w:rPr>
          <w:rFonts w:ascii="Calibri" w:hAnsi="Calibri" w:cs="Calibri"/>
          <w:sz w:val="22"/>
        </w:rPr>
        <w:t xml:space="preserve">. In our evidence we will demonstrate that such ideas fail to appreciate that human relationships are at the centre of teaching and learning. While it is possible to evaluate the impact of AI and other technologies used in education only through the lens of learning gains or efficiency, policymakers would do well to consider how such </w:t>
      </w:r>
      <w:r w:rsidRPr="00343CBD">
        <w:rPr>
          <w:rFonts w:ascii="Calibri" w:hAnsi="Calibri" w:cs="Calibri"/>
          <w:sz w:val="22"/>
        </w:rPr>
        <w:t>technologies fundamentally transform the pedagogical relationship between teachers and students, the impact they have on students’ interpersonal development, and the changes th</w:t>
      </w:r>
      <w:r w:rsidRPr="00343CBD">
        <w:rPr>
          <w:rFonts w:ascii="Calibri" w:hAnsi="Calibri" w:cs="Calibri"/>
          <w:sz w:val="22"/>
        </w:rPr>
        <w:t xml:space="preserve">ey would introduce to teachers’ professional roles. </w:t>
      </w:r>
    </w:p>
    <w:p w:rsidR="00343CBD" w:rsidRPr="00343CBD" w:rsidP="00EF1BFA">
      <w:pPr>
        <w:rPr>
          <w:rFonts w:ascii="Calibri" w:hAnsi="Calibri" w:cs="Calibri"/>
          <w:sz w:val="22"/>
        </w:rPr>
      </w:pPr>
      <w:r w:rsidRPr="00343CBD">
        <w:rPr>
          <w:rFonts w:ascii="Calibri" w:hAnsi="Calibri" w:cs="Calibri"/>
          <w:sz w:val="22"/>
        </w:rPr>
        <w:t>This pedagogical relationship — the dynamic between a teacher who knows a child, and a child who feels known — is fundamental to any learning environment. When a teacher notices that a student is struggling not with the material but with something at home, or celebrates a small breakthrough that a standardised metric would overlook, they are doing something at once qualitatively different from instruction and fundamental to educational success. AI systems might one day be capable of delivering content to st</w:t>
      </w:r>
      <w:r w:rsidRPr="00343CBD">
        <w:rPr>
          <w:rFonts w:ascii="Calibri" w:hAnsi="Calibri" w:cs="Calibri"/>
          <w:sz w:val="22"/>
        </w:rPr>
        <w:t>udents, but a perspective evaluating their impact solely in such terms misrepresents what schools and learning are actually for. Education is an interpersonal practice and attempts to delegate its fundamental aspects to automated systems risk enshrining an impoverished vision of education into infrastructure in a way that will be very difficult to reverse.</w:t>
      </w:r>
    </w:p>
    <w:p w:rsidR="00343CBD" w:rsidRPr="00343CBD" w:rsidP="00EF1BFA">
      <w:pPr>
        <w:rPr>
          <w:rFonts w:ascii="Calibri" w:hAnsi="Calibri" w:cs="Calibri"/>
          <w:b/>
          <w:bCs/>
          <w:sz w:val="22"/>
        </w:rPr>
      </w:pPr>
      <w:r w:rsidRPr="00343CBD">
        <w:rPr>
          <w:rFonts w:ascii="Calibri" w:hAnsi="Calibri" w:cs="Calibri"/>
          <w:b/>
          <w:bCs/>
          <w:sz w:val="22"/>
        </w:rPr>
        <w:t xml:space="preserve">Ethical and Safeguarding Considerations </w:t>
      </w:r>
    </w:p>
    <w:p w:rsidR="00343CBD" w:rsidRPr="00343CBD" w:rsidP="00EF1BFA">
      <w:pPr>
        <w:rPr>
          <w:rFonts w:ascii="Calibri" w:hAnsi="Calibri" w:cs="Calibri"/>
          <w:color w:val="FF0000"/>
          <w:sz w:val="22"/>
        </w:rPr>
      </w:pPr>
      <w:r w:rsidRPr="00343CBD">
        <w:rPr>
          <w:rFonts w:ascii="Calibri" w:hAnsi="Calibri" w:cs="Calibri"/>
          <w:color w:val="000000" w:themeColor="text1"/>
          <w:sz w:val="22"/>
        </w:rPr>
        <w:t xml:space="preserve">Any discussion of the integration of AI and edtech tools into teaching and learning needs to foreground ethical and safeguarding considerations. </w:t>
      </w:r>
      <w:r w:rsidRPr="00343CBD">
        <w:rPr>
          <w:rFonts w:ascii="Calibri" w:hAnsi="Calibri" w:cs="Calibri"/>
          <w:sz w:val="22"/>
        </w:rPr>
        <w:t xml:space="preserve">There is no evidence for the beneficial impact of AI on learning, and even if there was, replacing human contact with machines for the sake of efficiency would undermine key aspects of learning </w:t>
      </w:r>
      <w:r w:rsidRPr="00343CBD">
        <w:rPr>
          <w:rFonts w:ascii="Calibri" w:hAnsi="Calibri" w:cs="Calibri"/>
          <w:sz w:val="22"/>
        </w:rPr>
        <w:fldChar w:fldCharType="begin"/>
      </w:r>
      <w:r w:rsidRPr="00343CBD">
        <w:rPr>
          <w:rFonts w:ascii="Calibri" w:hAnsi="Calibri" w:cs="Calibri"/>
          <w:sz w:val="22"/>
        </w:rPr>
        <w:instrText xml:space="preserve"> ADDIN ZOTERO_ITEM CSL_CITATION {"citationID":"FZwmLIgh","properties":{"formattedCitation":"(Wieczorek and Romele, 2025)","plainCitation":"(Wieczorek and Romele, 2025)","noteIndex":0},"citationItems":[{"id":7377,"uris":["http://zotero.org/users/12225498/items/J24MR6W4"],"itemData":{"id":7377,"type":"article-journal","abstract":"Abstract\n            \n              Recent advances in artificial intelligence (e.g., machine learning, generative AI) have led to increased interest in its application in educatio</w:instrText>
      </w:r>
      <w:r w:rsidRPr="00343CBD">
        <w:rPr>
          <w:rFonts w:ascii="Calibri" w:hAnsi="Calibri" w:cs="Calibri"/>
          <w:sz w:val="22"/>
        </w:rPr>
        <w:instrText>nal settings. AI companies hope to revolutionize teaching and learning by tailoring material to the individual needs of students, automating parts of teachers' jobs, or analyzing educational data to optimize the delivery of content. This article outlines the role of imaginaries in shaping concrete practices and understandings of educational AI. By building on an expanded notion of sociotechnical imaginaries, we show, through a review of science‐fiction narratives about technology and education, that the ima</w:instrText>
      </w:r>
      <w:r w:rsidRPr="00343CBD">
        <w:rPr>
          <w:rFonts w:ascii="Calibri" w:hAnsi="Calibri" w:cs="Calibri"/>
          <w:sz w:val="22"/>
        </w:rPr>
        <w:instrText>ginaries underlying educational AI are lacking or limited. When imagined, educational tools are most often depicted as systems for the efficient transmission of information. We contend that this poor imaginary affects why, how, and what educational AI systems are developed. As we demonstrate by analyzing the paradigmatic ideas espoused by Salman Khan, educational AI is designed to optimize the acquisition of knowledge and largely ignores other aspects of teaching and learning, such as care, play, or curiosi</w:instrText>
      </w:r>
      <w:r w:rsidRPr="00343CBD">
        <w:rPr>
          <w:rFonts w:ascii="Calibri" w:hAnsi="Calibri" w:cs="Calibri"/>
          <w:sz w:val="22"/>
        </w:rPr>
        <w:instrText>ty. We observe that educational AI is not an object of lively philosophical debate—unlike, for example, self‐driving cars or autonomous weapons, which are, incidentally, also much more present in the popular imaginary. We conclude by discussing imaginaries of educational AI that would offer an alternative to the dominant paradigm, focusing on Neal Stephenson's\n              The Diamond Age\n              , Kazuo Ishiguro's\n              Klara and The Sun\n              , and Ian McEwan's\n              Ma</w:instrText>
      </w:r>
      <w:r w:rsidRPr="00343CBD">
        <w:rPr>
          <w:rFonts w:ascii="Calibri" w:hAnsi="Calibri" w:cs="Calibri"/>
          <w:sz w:val="22"/>
        </w:rPr>
        <w:instrText>chines Like Me\n              . We argue that to develop socially beneficial and desirable educational technologies, we need to look beyond AI as an information system, and we point to three narratives that present alternative imaginaries of educational AI that can allow us to conceptualize new desirable forms of incorporating technology in teaching and learning, as well as point to its limitations.","container-title":"Educational Theory","DOI":"10.1111/edth.70070","ISSN":"0013-2004, 1741-5446","journalAbbr</w:instrText>
      </w:r>
      <w:r w:rsidRPr="00343CBD">
        <w:rPr>
          <w:rFonts w:ascii="Calibri" w:hAnsi="Calibri" w:cs="Calibri"/>
          <w:sz w:val="22"/>
        </w:rPr>
        <w:instrText xml:space="preserve">eviation":"Educational Theory","language":"en","page":"edth.70070","source":"DOI.org (Crossref)","title":"How to Imagine Educational AI: The Filling of a Pail or the Lighting of a Fire?","title-short":"How to Imagine Educational &lt;span style=\"font-variant","author":[{"family":"Wieczorek","given":"Michał"},{"family":"Romele","given":"Alberto"}],"issued":{"date-parts":[["2025",12,2]]}}}],"schema":"https://github.com/citation-style-language/schema/raw/master/csl-citation.json"} </w:instrText>
      </w:r>
      <w:r w:rsidRPr="00343CBD">
        <w:rPr>
          <w:rFonts w:ascii="Calibri" w:hAnsi="Calibri" w:cs="Calibri"/>
          <w:sz w:val="22"/>
        </w:rPr>
        <w:fldChar w:fldCharType="separate"/>
      </w:r>
      <w:r w:rsidRPr="00343CBD">
        <w:rPr>
          <w:rFonts w:ascii="Calibri" w:hAnsi="Calibri" w:cs="Calibri"/>
          <w:sz w:val="22"/>
        </w:rPr>
        <w:t>(Wieczorek and Romele, 2025)</w:t>
      </w:r>
      <w:r w:rsidRPr="00343CBD">
        <w:rPr>
          <w:rFonts w:ascii="Calibri" w:hAnsi="Calibri" w:cs="Calibri"/>
          <w:sz w:val="22"/>
        </w:rPr>
        <w:fldChar w:fldCharType="end"/>
      </w:r>
      <w:r w:rsidRPr="00343CBD">
        <w:rPr>
          <w:rFonts w:ascii="Calibri" w:hAnsi="Calibri" w:cs="Calibri"/>
          <w:sz w:val="22"/>
        </w:rPr>
        <w:t>.</w:t>
      </w:r>
      <w:r w:rsidRPr="00343CBD">
        <w:rPr>
          <w:rStyle w:val="CommentReference"/>
          <w:rFonts w:ascii="Calibri" w:hAnsi="Calibri" w:cs="Calibri"/>
          <w:sz w:val="22"/>
          <w:szCs w:val="22"/>
        </w:rPr>
        <w:t xml:space="preserve"> </w:t>
      </w:r>
      <w:r w:rsidRPr="00343CBD">
        <w:rPr>
          <w:rFonts w:ascii="Calibri" w:hAnsi="Calibri" w:cs="Calibri"/>
          <w:sz w:val="22"/>
        </w:rPr>
        <w:t>Children go to schools during their formative years and working with and learning from humans who care for them allows them to develop a positive sense of self, such as self-confidence from having their achievements recognised by another person that plays a significant role in their life and personal development.</w:t>
      </w:r>
    </w:p>
    <w:p w:rsidR="00343CBD" w:rsidRPr="00343CBD" w:rsidP="00EF1BFA">
      <w:pPr>
        <w:rPr>
          <w:rFonts w:ascii="Calibri" w:hAnsi="Calibri" w:cs="Calibri"/>
          <w:sz w:val="22"/>
        </w:rPr>
      </w:pPr>
      <w:r w:rsidRPr="00343CBD">
        <w:rPr>
          <w:rFonts w:ascii="Calibri" w:hAnsi="Calibri" w:cs="Calibri"/>
          <w:sz w:val="22"/>
        </w:rPr>
        <w:t xml:space="preserve">While the current educational system is under strain, it offers something that AI cannot replace (human contact). Attempts to delegate a large part of instruction to AI chatbots can deprive those already less privileged of care, mentorship, and role models that are fundamental to how and why we teach and learn. As such, policymakers considering the adoption of AI in schools need to think how the role of the teachers, and thus their relationship with the students, will change </w:t>
      </w:r>
      <w:r w:rsidRPr="00343CBD">
        <w:rPr>
          <w:rFonts w:ascii="Calibri" w:hAnsi="Calibri" w:cs="Calibri"/>
          <w:sz w:val="22"/>
        </w:rPr>
        <w:fldChar w:fldCharType="begin"/>
      </w:r>
      <w:r w:rsidRPr="00343CBD">
        <w:rPr>
          <w:rFonts w:ascii="Calibri" w:hAnsi="Calibri" w:cs="Calibri"/>
          <w:sz w:val="22"/>
        </w:rPr>
        <w:instrText xml:space="preserve"> ADDIN ZOTERO_ITEM CSL_CITATION {"citationID":"UcTRSyjY","properties":{"formattedCitation":"(Wieczorek, 2025a; Wieczorek, Hosseini and Gordijn, 2025)","plainCitation":"(Wieczorek, 2025a; Wieczorek, Hosseini and Gordijn, 2025)","noteIndex":0},"citationItems":[{"id":7373,"uris":["http://zotero.org/users/12225498/items/E7LSAZ27"],"itemData":{"id":7373,"type":"article-journal","container-title":"Learning, Media and Technology","DOI":"10.1080/17439884.2025.2517335","ISSN":"1743-9884, 1743-9892","journalAbbreviat</w:instrText>
      </w:r>
      <w:r w:rsidRPr="00343CBD">
        <w:rPr>
          <w:rFonts w:ascii="Calibri" w:hAnsi="Calibri" w:cs="Calibri"/>
          <w:sz w:val="22"/>
        </w:rPr>
        <w:instrText>ion":"Learning, Media and Technology","language":"en","page":"1-17","source":"DOI.org (Crossref)","title":"Using ethical scenarios to explore the future of artificial intelligence in primary and secondary education","author":[{"family":"Wieczorek","given":"Michał"}],"issued":{"date-parts":[["2025",6,11]]}}},{"id":7375,"uris":["http://zotero.org/users/12225498/items/6YE7QDD5"],"itemData":{"id":7375,"type":"article-journal","abstract":"Abstract\n            This paper provides a systematic review of the liter</w:instrText>
      </w:r>
      <w:r w:rsidRPr="00343CBD">
        <w:rPr>
          <w:rFonts w:ascii="Calibri" w:hAnsi="Calibri" w:cs="Calibri"/>
          <w:sz w:val="22"/>
        </w:rPr>
        <w:instrText>ature discussing the ethics of using artificial intelligence in primary and secondary education (AIPSED). Although recent advances in AI have led to increased interest in its use in education, discussions about the ethical implications of this new development are dispersed. Our literature review consolidates discussions that occurred in different epistemic communities interested in AIPSED and offers an ethical analysis of the debate. The review followed the PRISMA-Ethics guidelines and included 48 sources p</w:instrText>
      </w:r>
      <w:r w:rsidRPr="00343CBD">
        <w:rPr>
          <w:rFonts w:ascii="Calibri" w:hAnsi="Calibri" w:cs="Calibri"/>
          <w:sz w:val="22"/>
        </w:rPr>
        <w:instrText>ublished between 2016 and 2023. Using a thematic approach, we subsumed the ethical implications of AIPSED under seventeen categories, with four outlining potential positive developments and thirteen identifying perceived negative consequences. We argue that empirical research and in-depth engagement with ethical theory and philosophy of education is needed to adequately assess the challenges introduced by AIPSED.","container-title":"AI and Ethics","DOI":"10.1007/s43681-025-00770-0","ISSN":"2730-5953, 2730-5</w:instrText>
      </w:r>
      <w:r w:rsidRPr="00343CBD">
        <w:rPr>
          <w:rFonts w:ascii="Calibri" w:hAnsi="Calibri" w:cs="Calibri"/>
          <w:sz w:val="22"/>
        </w:rPr>
        <w:instrText>961","issue":"5","journalAbbreviation":"AI Ethics","language":"en","page":"4693-4711","source":"DOI.org (Crossref)","title":"Unpacking the ethics of using AI in primary and secondary education: a systematic literature review","title-short":"Unpacking the ethics of using AI in primary and secondary education","volume":"5","author":[{"family":"Wieczorek","given":"Michał"},{"family":"Hosseini","given":"Mohammad"},{"family":"Gordijn","given":"Bert"}],"issued":{"date-parts":[["2025",10]]}}}],"schema":"https://gi</w:instrText>
      </w:r>
      <w:r w:rsidRPr="00343CBD">
        <w:rPr>
          <w:rFonts w:ascii="Calibri" w:hAnsi="Calibri" w:cs="Calibri"/>
          <w:sz w:val="22"/>
        </w:rPr>
        <w:instrText xml:space="preserve">thub.com/citation-style-language/schema/raw/master/csl-citation.json"} </w:instrText>
      </w:r>
      <w:r w:rsidRPr="00343CBD">
        <w:rPr>
          <w:rFonts w:ascii="Calibri" w:hAnsi="Calibri" w:cs="Calibri"/>
          <w:sz w:val="22"/>
        </w:rPr>
        <w:fldChar w:fldCharType="separate"/>
      </w:r>
      <w:r w:rsidRPr="00343CBD">
        <w:rPr>
          <w:rFonts w:ascii="Calibri" w:hAnsi="Calibri" w:cs="Calibri"/>
          <w:sz w:val="22"/>
        </w:rPr>
        <w:t>(Wieczorek, 2025a; Wieczorek, Hosseini and Gordijn, 2025)</w:t>
      </w:r>
      <w:r w:rsidRPr="00343CBD">
        <w:rPr>
          <w:rFonts w:ascii="Calibri" w:hAnsi="Calibri" w:cs="Calibri"/>
          <w:sz w:val="22"/>
        </w:rPr>
        <w:fldChar w:fldCharType="end"/>
      </w:r>
      <w:r w:rsidRPr="00343CBD">
        <w:rPr>
          <w:rFonts w:ascii="Calibri" w:hAnsi="Calibri" w:cs="Calibri"/>
          <w:sz w:val="22"/>
        </w:rPr>
        <w:t>.</w:t>
      </w:r>
    </w:p>
    <w:p w:rsidR="00343CBD" w:rsidRPr="00343CBD" w:rsidP="00EF1BFA">
      <w:pPr>
        <w:rPr>
          <w:rFonts w:ascii="Calibri" w:hAnsi="Calibri" w:cs="Calibri"/>
          <w:color w:val="000000" w:themeColor="text1"/>
          <w:sz w:val="22"/>
        </w:rPr>
      </w:pPr>
      <w:r w:rsidRPr="00343CBD">
        <w:rPr>
          <w:rFonts w:ascii="Calibri" w:hAnsi="Calibri" w:cs="Calibri"/>
          <w:sz w:val="22"/>
        </w:rPr>
        <w:t xml:space="preserve">It is also worth noting that the evidentiary bar for introducing AI into classrooms appears to be considerably lower than that applied to other educational interventions </w:t>
      </w:r>
      <w:r w:rsidRPr="00343CBD">
        <w:rPr>
          <w:rFonts w:ascii="Calibri" w:hAnsi="Calibri" w:cs="Calibri"/>
          <w:sz w:val="22"/>
        </w:rPr>
        <w:fldChar w:fldCharType="begin"/>
      </w:r>
      <w:r w:rsidRPr="00343CBD">
        <w:rPr>
          <w:rFonts w:ascii="Calibri" w:hAnsi="Calibri" w:cs="Calibri"/>
          <w:sz w:val="22"/>
        </w:rPr>
        <w:instrText xml:space="preserve"> ADDIN ZOTERO_ITEM CSL_CITATION {"citationID":"7hWxnGFW","properties":{"formattedCitation":"(Tuomi, 2025)","plainCitation":"(Tuomi, 2025)","noteIndex":0},"citationItems":[{"id":7286,"uris":["http://zotero.org/users/12225498/items/NBGXIJ59"],"itemData":{"id":7286,"type":"article-journal","abstract":"Since the 1990s, there have been heated debates about how evidence should be used to guide teaching practice and education policy, and how educational research can generate robust and trustworthy evidence. This p</w:instrText>
      </w:r>
      <w:r w:rsidRPr="00343CBD">
        <w:rPr>
          <w:rFonts w:ascii="Calibri" w:hAnsi="Calibri" w:cs="Calibri"/>
          <w:sz w:val="22"/>
        </w:rPr>
        <w:instrText xml:space="preserve">aper reviews existing debates on evidence-based education and research on the impacts of AI in education and suggests a new conceptualisation of evidence aligned with an emerging learning-oriented model of science-for-policy, which we call S4P 3.0. Existing empirical evidence on AIED suggests some positive effects, but a closer look reveals methodological and conceptual problems and leads to the conclusion that existing evidence should not be used to guide policy or practice. AI is a new type of technology </w:instrText>
      </w:r>
      <w:r w:rsidRPr="00343CBD">
        <w:rPr>
          <w:rFonts w:ascii="Calibri" w:hAnsi="Calibri" w:cs="Calibri"/>
          <w:sz w:val="22"/>
        </w:rPr>
        <w:instrText>that interacts with human cognition, communication, and social knowledge infrastructures, and it requires rethinking what we mean by “learning outcomes” and policy and practice-relevant evidence. A common belief that AI-supported personalisation will “revolutionise” education is historically rooted in a methodological confusion that we call the Bloomian paradox in AIED, and based on a limited view on the social functions of education.","container-title":"European Journal of Education Policy and Practice","D</w:instrText>
      </w:r>
      <w:r w:rsidRPr="00343CBD">
        <w:rPr>
          <w:rFonts w:ascii="Calibri" w:hAnsi="Calibri" w:cs="Calibri"/>
          <w:sz w:val="22"/>
        </w:rPr>
        <w:instrText xml:space="preserve">OI":"10.5117/EJEP2025.1.001.TUOM","ISSN":"3051-1208","issue":"1","language":"en","page":"1-31","source":"DOI.org (Crossref)","title":"What counts as evidence in AI &amp; ED: Towards Science-for-Policy 3.0","title-short":"What counts as evidence in AI &amp; ED","volume":"1","author":[{"family":"Tuomi","given":"Ilkka"}],"issued":{"date-parts":[["2025",8,1]]}}}],"schema":"https://github.com/citation-style-language/schema/raw/master/csl-citation.json"} </w:instrText>
      </w:r>
      <w:r w:rsidRPr="00343CBD">
        <w:rPr>
          <w:rFonts w:ascii="Calibri" w:hAnsi="Calibri" w:cs="Calibri"/>
          <w:sz w:val="22"/>
        </w:rPr>
        <w:fldChar w:fldCharType="separate"/>
      </w:r>
      <w:r w:rsidRPr="00343CBD">
        <w:rPr>
          <w:rFonts w:ascii="Calibri" w:hAnsi="Calibri" w:cs="Calibri"/>
          <w:sz w:val="22"/>
        </w:rPr>
        <w:t>(Tuomi, 2025)</w:t>
      </w:r>
      <w:r w:rsidRPr="00343CBD">
        <w:rPr>
          <w:rFonts w:ascii="Calibri" w:hAnsi="Calibri" w:cs="Calibri"/>
          <w:sz w:val="22"/>
        </w:rPr>
        <w:fldChar w:fldCharType="end"/>
      </w:r>
      <w:r w:rsidRPr="00343CBD">
        <w:rPr>
          <w:rFonts w:ascii="Calibri" w:hAnsi="Calibri" w:cs="Calibri"/>
          <w:sz w:val="22"/>
        </w:rPr>
        <w:t xml:space="preserve">. Programmes affecting pedagogy, curriculum, or staffing are typically subject to rigorous piloting and evaluation before widespread adoption. AI tutoring tools, however, are being deployed at scale on the basis of commercial claims and a general enthusiasm for technological innovation. The absence of longitudinal evidence about how sustained AI-mediated learning affects children's development across affective </w:t>
      </w:r>
      <w:r w:rsidRPr="00343CBD">
        <w:rPr>
          <w:rFonts w:ascii="Calibri" w:hAnsi="Calibri" w:cs="Calibri"/>
          <w:sz w:val="22"/>
        </w:rPr>
        <w:t xml:space="preserve">and cognitive domains should give policymakers serious pause. An intervention that proves harmful </w:t>
      </w:r>
      <w:r w:rsidRPr="00343CBD">
        <w:rPr>
          <w:rFonts w:ascii="Calibri" w:hAnsi="Calibri" w:cs="Calibri"/>
          <w:sz w:val="22"/>
        </w:rPr>
        <w:t xml:space="preserve">to children's sense of self or </w:t>
      </w:r>
      <w:r w:rsidRPr="00343CBD">
        <w:rPr>
          <w:rFonts w:ascii="Calibri" w:hAnsi="Calibri" w:cs="Calibri"/>
          <w:color w:val="000000" w:themeColor="text1"/>
          <w:sz w:val="22"/>
        </w:rPr>
        <w:t>their capacity for human relationship cannot easily be undone once it has been normalised.</w:t>
      </w:r>
    </w:p>
    <w:p w:rsidR="00343CBD" w:rsidRPr="00343CBD" w:rsidP="00EF1BFA">
      <w:pPr>
        <w:rPr>
          <w:rFonts w:ascii="Calibri" w:hAnsi="Calibri" w:cs="Calibri"/>
          <w:b/>
          <w:bCs/>
          <w:color w:val="000000" w:themeColor="text1"/>
          <w:sz w:val="22"/>
        </w:rPr>
      </w:pPr>
      <w:r w:rsidRPr="00343CBD">
        <w:rPr>
          <w:rFonts w:ascii="Calibri" w:hAnsi="Calibri" w:cs="Calibri"/>
          <w:b/>
          <w:bCs/>
          <w:color w:val="000000" w:themeColor="text1"/>
          <w:sz w:val="22"/>
        </w:rPr>
        <w:t xml:space="preserve">Impact of AI on Teaching Practices </w:t>
      </w:r>
    </w:p>
    <w:p w:rsidR="00343CBD" w:rsidRPr="00343CBD" w:rsidP="00EF1BFA">
      <w:pPr>
        <w:rPr>
          <w:rFonts w:ascii="Calibri" w:hAnsi="Calibri" w:cs="Calibri"/>
          <w:sz w:val="22"/>
        </w:rPr>
      </w:pPr>
      <w:r w:rsidRPr="00343CBD">
        <w:rPr>
          <w:rFonts w:ascii="Calibri" w:hAnsi="Calibri" w:cs="Calibri"/>
          <w:color w:val="000000" w:themeColor="text1"/>
          <w:sz w:val="22"/>
        </w:rPr>
        <w:t xml:space="preserve">It is also important to reflect on the impact AI is having on teaching practices, and more specifically, on the role of ‘AI-tutors’, and the associated promises that such technologies can offer personalised learning for those who cannot afford it. </w:t>
      </w:r>
      <w:r w:rsidRPr="00343CBD">
        <w:rPr>
          <w:rFonts w:ascii="Calibri" w:hAnsi="Calibri" w:cs="Calibri"/>
          <w:sz w:val="22"/>
        </w:rPr>
        <w:t xml:space="preserve">However, beyond affecting the student-teacher relationship, the widespread introduction of these systems risks undermining the communal and collaborative aspects of learning which are fundamental to students’ interpersonal development. </w:t>
      </w:r>
    </w:p>
    <w:p w:rsidR="00343CBD" w:rsidRPr="00343CBD" w:rsidP="00EF1BFA">
      <w:pPr>
        <w:rPr>
          <w:rFonts w:ascii="Calibri" w:hAnsi="Calibri" w:cs="Calibri"/>
          <w:sz w:val="22"/>
        </w:rPr>
      </w:pPr>
      <w:r w:rsidRPr="00343CBD">
        <w:rPr>
          <w:rFonts w:ascii="Calibri" w:hAnsi="Calibri" w:cs="Calibri"/>
          <w:sz w:val="22"/>
        </w:rPr>
        <w:t xml:space="preserve">The learning model associated with the idea of AI tutors would lead to the individualisation of learning. Proponents of such tools assume that each child would learn most efficiently by working with their own personal tutor. But working together with and alongside peers and experiencing how other children deal with the same challenges is fundamental to social development </w:t>
      </w:r>
      <w:r w:rsidRPr="00343CBD">
        <w:rPr>
          <w:rFonts w:ascii="Calibri" w:hAnsi="Calibri" w:cs="Calibri"/>
          <w:sz w:val="22"/>
        </w:rPr>
        <w:fldChar w:fldCharType="begin"/>
      </w:r>
      <w:r w:rsidRPr="00343CBD">
        <w:rPr>
          <w:rFonts w:ascii="Calibri" w:hAnsi="Calibri" w:cs="Calibri"/>
          <w:sz w:val="22"/>
        </w:rPr>
        <w:instrText xml:space="preserve"> ADDIN ZOTERO_ITEM CSL_CITATION {"citationID":"JNVRelyM","properties":{"formattedCitation":"(Wieczorek, 2025b)","plainCitation":"(Wieczorek, 2025b)","noteIndex":0},"citationItems":[{"id":7371,"uris":["http://zotero.org/users/12225498/items/HUQ2YNX9"],"itemData":{"id":7371,"type":"article-journal","abstract":"Abstract\n            This paper builds on Dewey’s philosophy of education to argue that AI, at least in its current commercial form, is likely to have a negative impact on democratic education. AI and </w:instrText>
      </w:r>
      <w:r w:rsidRPr="00343CBD">
        <w:rPr>
          <w:rFonts w:ascii="Calibri" w:hAnsi="Calibri" w:cs="Calibri"/>
          <w:sz w:val="22"/>
        </w:rPr>
        <w:instrText>other digital technologies are currently being touted for their potential to “democratise” education, even if it is not clear what this would entail. Adopting Dewey’s notion of democratic education, I emphasise that education needs to provide children with skills and dispositions necessary for democratic living, experience in communication and cooperation, opportunities to codetermine the shape of democratic institutions and education itself, and equal opportunities to participate in learning. This allows m</w:instrText>
      </w:r>
      <w:r w:rsidRPr="00343CBD">
        <w:rPr>
          <w:rFonts w:ascii="Calibri" w:hAnsi="Calibri" w:cs="Calibri"/>
          <w:sz w:val="22"/>
        </w:rPr>
        <w:instrText>e to show that most of the voices discussing AI and democratisation of education, conceptualise it in a narrow sense, focusing primarily on the technology’s potential to increase access to quality education. Consequently, I develop an analysis that investigates the relationship of educational AI to the four aspects inherent to Dewey’s philosophy. By examining today’s commercial AI tools and focusing primarily on Intelligent Tutoring Systems, the most prominent kind of educational AI today, I argue that thei</w:instrText>
      </w:r>
      <w:r w:rsidRPr="00343CBD">
        <w:rPr>
          <w:rFonts w:ascii="Calibri" w:hAnsi="Calibri" w:cs="Calibri"/>
          <w:sz w:val="22"/>
        </w:rPr>
        <w:instrText>r emphasis on individualisation of learning, their narrow focus on the mastery of the curriculum, and the drive to automate teachers’ tasks are obstacles to democratic education. I demonstrate that AI deprives children from opportunities to gain experience in democratic living and acquire communicative and collaborative skills and dispositions, while also habituating them to an environment over which they have little or no control, potentially impacting how they will aproach shared problems as democratic ci</w:instrText>
      </w:r>
      <w:r w:rsidRPr="00343CBD">
        <w:rPr>
          <w:rFonts w:ascii="Calibri" w:hAnsi="Calibri" w:cs="Calibri"/>
          <w:sz w:val="22"/>
        </w:rPr>
        <w:instrText>tizens. I accompany my analysis with suggestions how AI could be used to better serve the goals and values of democratic education. I highlight the opportunities for experiential learning introduced through simulations and games, note how learning network orchestration could expose students to a wider variety of worldviews, reflect on the use of AI to augment rather than automate teachers’ work, and suggest public development of educational AI.","container-title":"Philosophy &amp; Technology","DOI":"10.1007/s13</w:instrText>
      </w:r>
      <w:r w:rsidRPr="00343CBD">
        <w:rPr>
          <w:rFonts w:ascii="Calibri" w:hAnsi="Calibri" w:cs="Calibri"/>
          <w:sz w:val="22"/>
        </w:rPr>
        <w:instrText xml:space="preserve">347-025-00883-8","ISSN":"2210-5433, 2210-5441","issue":"2","journalAbbreviation":"Philos. Technol.","language":"en","page":"53","source":"DOI.org (Crossref)","title":"Why AI will not Democratize Education: a Critical Pragmatist Perspective","title-short":"Why AI will not Democratize Education","volume":"38","author":[{"family":"Wieczorek","given":"Michał"}],"issued":{"date-parts":[["2025",6]]}}}],"schema":"https://github.com/citation-style-language/schema/raw/master/csl-citation.json"} </w:instrText>
      </w:r>
      <w:r w:rsidRPr="00343CBD">
        <w:rPr>
          <w:rFonts w:ascii="Calibri" w:hAnsi="Calibri" w:cs="Calibri"/>
          <w:sz w:val="22"/>
        </w:rPr>
        <w:fldChar w:fldCharType="separate"/>
      </w:r>
      <w:r w:rsidRPr="00343CBD">
        <w:rPr>
          <w:rFonts w:ascii="Calibri" w:hAnsi="Calibri" w:cs="Calibri"/>
          <w:sz w:val="22"/>
        </w:rPr>
        <w:t>(Wieczorek, 2025b)</w:t>
      </w:r>
      <w:r w:rsidRPr="00343CBD">
        <w:rPr>
          <w:rFonts w:ascii="Calibri" w:hAnsi="Calibri" w:cs="Calibri"/>
          <w:sz w:val="22"/>
        </w:rPr>
        <w:fldChar w:fldCharType="end"/>
      </w:r>
      <w:r w:rsidRPr="00343CBD">
        <w:rPr>
          <w:rFonts w:ascii="Calibri" w:hAnsi="Calibri" w:cs="Calibri"/>
          <w:sz w:val="22"/>
        </w:rPr>
        <w:t>. Collaborative learning and peer comparisons not only teach children to cooperate with others, but also accustom them to social differences, help them navigate conflicts, and acclimatise them to social roles that they will play out in democratic societies.</w:t>
      </w:r>
    </w:p>
    <w:p w:rsidR="00343CBD" w:rsidRPr="00343CBD" w:rsidP="00EF1BFA">
      <w:pPr>
        <w:rPr>
          <w:rFonts w:ascii="Calibri" w:hAnsi="Calibri" w:cs="Calibri"/>
          <w:sz w:val="22"/>
        </w:rPr>
      </w:pPr>
      <w:r w:rsidRPr="00343CBD">
        <w:rPr>
          <w:rFonts w:ascii="Calibri" w:hAnsi="Calibri" w:cs="Calibri"/>
          <w:sz w:val="22"/>
        </w:rPr>
        <w:t xml:space="preserve">The framing of AI tutors as a democratising force also assumes that private tuition is the gold standard to which we should aspire, even though there is no conclusive research to support </w:t>
      </w:r>
      <w:r w:rsidRPr="00343CBD">
        <w:rPr>
          <w:rFonts w:ascii="Calibri" w:hAnsi="Calibri" w:cs="Calibri"/>
          <w:sz w:val="22"/>
        </w:rPr>
        <w:t xml:space="preserve">the lofty claims made by edtech developers advocating for the tutoring model </w:t>
      </w:r>
      <w:r w:rsidRPr="00343CBD">
        <w:rPr>
          <w:rFonts w:ascii="Calibri" w:hAnsi="Calibri" w:cs="Calibri"/>
          <w:sz w:val="22"/>
        </w:rPr>
        <w:fldChar w:fldCharType="begin"/>
      </w:r>
      <w:r w:rsidRPr="00343CBD">
        <w:rPr>
          <w:rFonts w:ascii="Calibri" w:hAnsi="Calibri" w:cs="Calibri"/>
          <w:sz w:val="22"/>
        </w:rPr>
        <w:instrText xml:space="preserve"> ADDIN ZOTERO_ITEM CSL_CITATION {"citationID":"HHaPvfPL","properties":{"formattedCitation":"(Wieczorek and Romele, 2025)","plainCitation":"(Wieczorek and Romele, 2025)","noteIndex":0},"citationItems":[{"id":7377,"uris":["http://zotero.org/users/12225498/items/J24MR6W4"],"itemData":{"id":7377,"type":"article-journal","abstract":"Abstract\n            \n              Recent advances in artificial intelligence (e.g., machine learning, generative AI) have led to increased interest in its application in educatio</w:instrText>
      </w:r>
      <w:r w:rsidRPr="00343CBD">
        <w:rPr>
          <w:rFonts w:ascii="Calibri" w:hAnsi="Calibri" w:cs="Calibri"/>
          <w:sz w:val="22"/>
        </w:rPr>
        <w:instrText>nal settings. AI companies hope to revolutionize teaching and learning by tailoring material to the individual needs of students, automating parts of teachers' jobs, or analyzing educational data to optimize the delivery of content. This article outlines the role of imaginaries in shaping concrete practices and understandings of educational AI. By building on an expanded notion of sociotechnical imaginaries, we show, through a review of science‐fiction narratives about technology and education, that the ima</w:instrText>
      </w:r>
      <w:r w:rsidRPr="00343CBD">
        <w:rPr>
          <w:rFonts w:ascii="Calibri" w:hAnsi="Calibri" w:cs="Calibri"/>
          <w:sz w:val="22"/>
        </w:rPr>
        <w:instrText>ginaries underlying educational AI are lacking or limited. When imagined, educational tools are most often depicted as systems for the efficient transmission of information. We contend that this poor imaginary affects why, how, and what educational AI systems are developed. As we demonstrate by analyzing the paradigmatic ideas espoused by Salman Khan, educational AI is designed to optimize the acquisition of knowledge and largely ignores other aspects of teaching and learning, such as care, play, or curiosi</w:instrText>
      </w:r>
      <w:r w:rsidRPr="00343CBD">
        <w:rPr>
          <w:rFonts w:ascii="Calibri" w:hAnsi="Calibri" w:cs="Calibri"/>
          <w:sz w:val="22"/>
        </w:rPr>
        <w:instrText>ty. We observe that educational AI is not an object of lively philosophical debate—unlike, for example, self‐driving cars or autonomous weapons, which are, incidentally, also much more present in the popular imaginary. We conclude by discussing imaginaries of educational AI that would offer an alternative to the dominant paradigm, focusing on Neal Stephenson's\n              The Diamond Age\n              , Kazuo Ishiguro's\n              Klara and The Sun\n              , and Ian McEwan's\n              Ma</w:instrText>
      </w:r>
      <w:r w:rsidRPr="00343CBD">
        <w:rPr>
          <w:rFonts w:ascii="Calibri" w:hAnsi="Calibri" w:cs="Calibri"/>
          <w:sz w:val="22"/>
        </w:rPr>
        <w:instrText>chines Like Me\n              . We argue that to develop socially beneficial and desirable educational technologies, we need to look beyond AI as an information system, and we point to three narratives that present alternative imaginaries of educational AI that can allow us to conceptualize new desirable forms of incorporating technology in teaching and learning, as well as point to its limitations.","container-title":"Educational Theory","DOI":"10.1111/edth.70070","ISSN":"0013-2004, 1741-5446","journalAbbr</w:instrText>
      </w:r>
      <w:r w:rsidRPr="00343CBD">
        <w:rPr>
          <w:rFonts w:ascii="Calibri" w:hAnsi="Calibri" w:cs="Calibri"/>
          <w:sz w:val="22"/>
        </w:rPr>
        <w:instrText xml:space="preserve">eviation":"Educational Theory","language":"en","page":"edth.70070","source":"DOI.org (Crossref)","title":"How to Imagine Educational AI: The Filling of a Pail or the Lighting of a Fire?","title-short":"How to Imagine Educational &lt;span style=\"font-variant","author":[{"family":"Wieczorek","given":"Michał"},{"family":"Romele","given":"Alberto"}],"issued":{"date-parts":[["2025",12,2]]}}}],"schema":"https://github.com/citation-style-language/schema/raw/master/csl-citation.json"} </w:instrText>
      </w:r>
      <w:r w:rsidRPr="00343CBD">
        <w:rPr>
          <w:rFonts w:ascii="Calibri" w:hAnsi="Calibri" w:cs="Calibri"/>
          <w:sz w:val="22"/>
        </w:rPr>
        <w:fldChar w:fldCharType="separate"/>
      </w:r>
      <w:r w:rsidRPr="00343CBD">
        <w:rPr>
          <w:rFonts w:ascii="Calibri" w:hAnsi="Calibri" w:cs="Calibri"/>
          <w:sz w:val="22"/>
        </w:rPr>
        <w:t>(Wieczorek and Romele, 2025)</w:t>
      </w:r>
      <w:r w:rsidRPr="00343CBD">
        <w:rPr>
          <w:rFonts w:ascii="Calibri" w:hAnsi="Calibri" w:cs="Calibri"/>
          <w:sz w:val="22"/>
        </w:rPr>
        <w:fldChar w:fldCharType="end"/>
      </w:r>
      <w:r w:rsidRPr="00343CBD">
        <w:rPr>
          <w:rFonts w:ascii="Calibri" w:hAnsi="Calibri" w:cs="Calibri"/>
          <w:sz w:val="22"/>
        </w:rPr>
        <w:t>. But what affluent families are actually buying is not simply personalised instruction; it is the sustained attention of an educated adult who adapts to, challenges, and encourages a specific child. While AI products can mimic some aspects of good instruction, they cannot replicate such relational aspects of one-to-one tutoring, and to suggest otherwise risks offering poorer children a simulacrum of privilege while leaving the structural inequalities that produce educational disadvantage entirely unaddress</w:t>
      </w:r>
      <w:r w:rsidRPr="00343CBD">
        <w:rPr>
          <w:rFonts w:ascii="Calibri" w:hAnsi="Calibri" w:cs="Calibri"/>
          <w:sz w:val="22"/>
        </w:rPr>
        <w:t>ed. The promise of technological equity should not become a substitute for investment in the human resources: teachers, teaching assistants, counsellors, that disadvantaged schools most urgently need.</w:t>
      </w:r>
    </w:p>
    <w:p w:rsidR="00343CBD" w:rsidRPr="00343CBD" w:rsidP="00EF1BFA">
      <w:pPr>
        <w:rPr>
          <w:rFonts w:ascii="Calibri" w:hAnsi="Calibri" w:cs="Calibri"/>
          <w:b/>
          <w:bCs/>
          <w:sz w:val="22"/>
        </w:rPr>
      </w:pPr>
    </w:p>
    <w:p w:rsidR="00343CBD" w:rsidRPr="00343CBD" w:rsidP="00EF1BFA">
      <w:pPr>
        <w:rPr>
          <w:rFonts w:ascii="Calibri" w:hAnsi="Calibri" w:cs="Calibri"/>
          <w:b/>
          <w:bCs/>
          <w:sz w:val="22"/>
        </w:rPr>
      </w:pPr>
      <w:r w:rsidRPr="00343CBD">
        <w:rPr>
          <w:rFonts w:ascii="Calibri" w:hAnsi="Calibri" w:cs="Calibri"/>
          <w:b/>
          <w:bCs/>
          <w:sz w:val="22"/>
        </w:rPr>
        <w:t xml:space="preserve">The Impact of AI on Teaching Practices </w:t>
      </w:r>
    </w:p>
    <w:p w:rsidR="00343CBD" w:rsidRPr="00343CBD" w:rsidP="00EF1BFA">
      <w:pPr>
        <w:rPr>
          <w:rFonts w:ascii="Calibri" w:hAnsi="Calibri" w:cs="Calibri"/>
          <w:sz w:val="22"/>
        </w:rPr>
      </w:pPr>
      <w:r w:rsidRPr="00343CBD">
        <w:rPr>
          <w:rFonts w:ascii="Calibri" w:hAnsi="Calibri" w:cs="Calibri"/>
          <w:sz w:val="22"/>
        </w:rPr>
        <w:t xml:space="preserve">Finally, we consider the impact that AI is likely to have on teaching practices, and more specifically on the way that the automation of ‘mundane’ tasks often results in worse learner outcomes. Even mundane tasks can be a source of relational work for teachers. For example, feedback is meaningful if it is a result of sustained attention and investment in a student’s work –something machines cannot replicate </w:t>
      </w:r>
      <w:r w:rsidRPr="00343CBD">
        <w:rPr>
          <w:rFonts w:ascii="Calibri" w:hAnsi="Calibri" w:cs="Calibri"/>
          <w:sz w:val="22"/>
        </w:rPr>
        <w:fldChar w:fldCharType="begin"/>
      </w:r>
      <w:r w:rsidRPr="00343CBD">
        <w:rPr>
          <w:rFonts w:ascii="Calibri" w:hAnsi="Calibri" w:cs="Calibri"/>
          <w:sz w:val="22"/>
        </w:rPr>
        <w:instrText xml:space="preserve"> ADDIN ZOTERO_ITEM CSL_CITATION {"citationID":"5oE0zQf8","properties":{"formattedCitation":"(Corbin, Tai and Flenady, 2025)","plainCitation":"(Corbin, Tai and Flenady, 2025)","noteIndex":0},"citationItems":[{"id":7370,"uris":["http://zotero.org/users/12225498/items/3STUDMUX"],"itemData":{"id":7370,"type":"article-journal","container-title":"Assessment &amp; Evaluation in Higher Education","DOI":"10.1080/02602938.2025.2459641","ISSN":"0260-2938, 1469-297X","issue":"5","journalAbbreviation":"Assessment &amp; Evaluati</w:instrText>
      </w:r>
      <w:r w:rsidRPr="00343CBD">
        <w:rPr>
          <w:rFonts w:ascii="Calibri" w:hAnsi="Calibri" w:cs="Calibri"/>
          <w:sz w:val="22"/>
        </w:rPr>
        <w:instrText>on in Higher Education","language":"en","page":"718-731","source":"DOI.org (Crossref)","title":"Understanding the place and value of GenAI feedback: a recognition-based framework","title-short":"Understanding the place and value of GenAI feedback","volume":"50","author":[{"family":"Corbin","given":"Thomas"},{"family":"Tai","given":"Joanna"},{"family":"Flenady","given":"Gene"}],"issued":{"date-parts":[["2025",7,4]]}}}],"schema":"https://github.com/citation-style-language/schema/raw/master/csl-citation.json"}</w:instrText>
      </w:r>
      <w:r w:rsidRPr="00343CBD">
        <w:rPr>
          <w:rFonts w:ascii="Calibri" w:hAnsi="Calibri" w:cs="Calibri"/>
          <w:sz w:val="22"/>
        </w:rPr>
        <w:instrText xml:space="preserve"> </w:instrText>
      </w:r>
      <w:r w:rsidRPr="00343CBD">
        <w:rPr>
          <w:rFonts w:ascii="Calibri" w:hAnsi="Calibri" w:cs="Calibri"/>
          <w:sz w:val="22"/>
        </w:rPr>
        <w:fldChar w:fldCharType="separate"/>
      </w:r>
      <w:r w:rsidRPr="00343CBD">
        <w:rPr>
          <w:rFonts w:ascii="Calibri" w:hAnsi="Calibri" w:cs="Calibri"/>
          <w:sz w:val="22"/>
        </w:rPr>
        <w:t>(Corbin, Tai and Flenady, 2025)</w:t>
      </w:r>
      <w:r w:rsidRPr="00343CBD">
        <w:rPr>
          <w:rFonts w:ascii="Calibri" w:hAnsi="Calibri" w:cs="Calibri"/>
          <w:sz w:val="22"/>
        </w:rPr>
        <w:fldChar w:fldCharType="end"/>
      </w:r>
      <w:r w:rsidRPr="00343CBD">
        <w:rPr>
          <w:rFonts w:ascii="Calibri" w:hAnsi="Calibri" w:cs="Calibri"/>
          <w:sz w:val="22"/>
        </w:rPr>
        <w:t>.</w:t>
      </w:r>
    </w:p>
    <w:p w:rsidR="00343CBD" w:rsidRPr="00343CBD" w:rsidP="00EF1BFA">
      <w:pPr>
        <w:rPr>
          <w:rFonts w:ascii="Calibri" w:hAnsi="Calibri" w:cs="Calibri"/>
          <w:sz w:val="22"/>
        </w:rPr>
      </w:pPr>
      <w:r w:rsidRPr="00343CBD">
        <w:rPr>
          <w:rFonts w:ascii="Calibri" w:hAnsi="Calibri" w:cs="Calibri"/>
          <w:sz w:val="22"/>
        </w:rPr>
        <w:t>Beyond feedback, the broader pattern of automating teacher tasks carries a further risk: the deskilling of the profession itself. When teachers are relieved of the routine work of marking, planning, and assessment, they lose opportunities for the close, repeated engagement with student work that sharpens professional judgement. It is through the accumulation of these small acts of attention that teachers come to understand how individual children think, where they falter, and what they need next. If these p</w:t>
      </w:r>
      <w:r w:rsidRPr="00343CBD">
        <w:rPr>
          <w:rFonts w:ascii="Calibri" w:hAnsi="Calibri" w:cs="Calibri"/>
          <w:sz w:val="22"/>
        </w:rPr>
        <w:t xml:space="preserve">rocesses are handed over to automated systems, teachers may find themselves increasingly dependent on algorithmic summaries of student progress rather than their own informed knowledge of the children in their care. Over time, this risks producing a profession that is less autonomous, less skilled in the craft of knowing students, and ultimately less able to provide the kind of human relationship that underpins morally appropriate pedagogical practice (Wieczorek &amp; Tollon, under review). </w:t>
      </w:r>
    </w:p>
    <w:p w:rsidR="00343CBD" w:rsidRPr="00343CBD" w:rsidP="00EF1BFA">
      <w:pPr>
        <w:rPr>
          <w:rFonts w:ascii="Calibri" w:hAnsi="Calibri" w:cs="Calibri"/>
          <w:b/>
          <w:bCs/>
          <w:sz w:val="22"/>
        </w:rPr>
      </w:pPr>
      <w:r w:rsidRPr="00343CBD">
        <w:rPr>
          <w:rFonts w:ascii="Calibri" w:hAnsi="Calibri" w:cs="Calibri"/>
          <w:sz w:val="22"/>
        </w:rPr>
        <w:t>Significantly, many of these ‘timesaving’ claims have</w:t>
      </w:r>
      <w:r w:rsidRPr="00343CBD">
        <w:rPr>
          <w:rFonts w:ascii="Calibri" w:hAnsi="Calibri" w:cs="Calibri"/>
          <w:sz w:val="22"/>
        </w:rPr>
        <w:t xml:space="preserve"> </w:t>
      </w:r>
      <w:r w:rsidRPr="00343CBD">
        <w:rPr>
          <w:rFonts w:ascii="Calibri" w:hAnsi="Calibri" w:cs="Calibri"/>
          <w:sz w:val="22"/>
        </w:rPr>
        <w:t xml:space="preserve">become a mantra </w:t>
      </w:r>
      <w:r w:rsidRPr="00343CBD">
        <w:rPr>
          <w:rFonts w:ascii="Calibri" w:hAnsi="Calibri" w:cs="Calibri"/>
          <w:sz w:val="22"/>
        </w:rPr>
        <w:t>for p</w:t>
      </w:r>
      <w:r w:rsidRPr="00343CBD">
        <w:rPr>
          <w:rFonts w:ascii="Calibri" w:hAnsi="Calibri" w:cs="Calibri"/>
          <w:sz w:val="22"/>
        </w:rPr>
        <w:t>oliticians and policymakers (see, e.g., Adams, 2025; European Commission, 2022).</w:t>
      </w:r>
      <w:r>
        <w:rPr>
          <w:rStyle w:val="FootnoteReference"/>
          <w:rFonts w:ascii="Calibri" w:hAnsi="Calibri" w:cs="Calibri"/>
          <w:sz w:val="22"/>
        </w:rPr>
        <w:footnoteReference w:id="3"/>
      </w:r>
      <w:r w:rsidRPr="00343CBD">
        <w:rPr>
          <w:rFonts w:ascii="Calibri" w:hAnsi="Calibri" w:cs="Calibri"/>
          <w:sz w:val="22"/>
        </w:rPr>
        <w:t xml:space="preserve"> However, we are sceptical that </w:t>
      </w:r>
      <w:r w:rsidRPr="00343CBD">
        <w:rPr>
          <w:rFonts w:ascii="Calibri" w:hAnsi="Calibri" w:cs="Calibri"/>
          <w:sz w:val="22"/>
        </w:rPr>
        <w:t>the promised time savings will materialise and suggest that AI is likely to increase rather than reduce teachers’ responsibilities. We base this argument on the idea that the changes to teachers’ roles introduced by AI will shift how time needs to be allocated rather than reduce overall time commitments. There is already early evidence that AI, like other edtech tools, is placing new demands and burdens on the teachers</w:t>
      </w:r>
      <w:r w:rsidRPr="00343CBD">
        <w:rPr>
          <w:rFonts w:ascii="Calibri" w:hAnsi="Calibri" w:cs="Calibri"/>
          <w:sz w:val="22"/>
        </w:rPr>
        <w:t xml:space="preserve"> who need to review AI output and decisions, guide student</w:t>
      </w:r>
      <w:r w:rsidRPr="00343CBD">
        <w:rPr>
          <w:rFonts w:ascii="Calibri" w:hAnsi="Calibri" w:cs="Calibri"/>
          <w:sz w:val="22"/>
        </w:rPr>
        <w:t xml:space="preserve">s to use the tools in an appropriate manner, and troubleshoot when the technology malfunctions </w:t>
      </w:r>
      <w:r w:rsidRPr="00343CBD">
        <w:rPr>
          <w:rFonts w:ascii="Calibri" w:hAnsi="Calibri" w:cs="Calibri"/>
          <w:sz w:val="22"/>
        </w:rPr>
        <w:fldChar w:fldCharType="begin"/>
      </w:r>
      <w:r w:rsidRPr="00343CBD">
        <w:rPr>
          <w:rFonts w:ascii="Calibri" w:hAnsi="Calibri" w:cs="Calibri"/>
          <w:sz w:val="22"/>
        </w:rPr>
        <w:instrText xml:space="preserve"> ADDIN ZOTERO_ITEM CSL_CITATION {"citationID":"9xswYFIt","properties":{"formattedCitation":"(Selwyn, Ljungqvist and Sonesson, 2025)","plainCitation":"(Selwyn, Ljungqvist and Sonesson, 2025)","noteIndex":0},"citationItems":[{"id":7394,"uris":["http://zotero.org/users/12225498/items/DKF325DJ"],"itemData":{"id":7394,"type":"article-journal","container-title":"Learning, Media and Technology","DOI":"10.1080/17439884.2025.2537959","ISSN":"1743-9884, 1743-9892","issue":"3","journalAbbreviation":"Learning, Media an</w:instrText>
      </w:r>
      <w:r w:rsidRPr="00343CBD">
        <w:rPr>
          <w:rFonts w:ascii="Calibri" w:hAnsi="Calibri" w:cs="Calibri"/>
          <w:sz w:val="22"/>
        </w:rPr>
        <w:instrText>d Technology","language":"en","page":"310-323","source":"DOI.org (Crossref)","title":"When the prompting stops: exploring teachers’ work around the educational frailties of generative AI tools","title-short":"When the prompting stops","volume":"50","author":[{"family":"Selwyn","given":"Neil"},{"family":"Ljungqvist","given":"Marita"},{"family":"Sonesson","given":"Anders"}],"issued":{"date-parts":[["2025",7,3]]}},"label":"page"}],"schema":"https://github.com/citation-style-language/schema/raw/master/csl-citat</w:instrText>
      </w:r>
      <w:r w:rsidRPr="00343CBD">
        <w:rPr>
          <w:rFonts w:ascii="Calibri" w:hAnsi="Calibri" w:cs="Calibri"/>
          <w:sz w:val="22"/>
        </w:rPr>
        <w:instrText xml:space="preserve">ion.json"} </w:instrText>
      </w:r>
      <w:r w:rsidRPr="00343CBD">
        <w:rPr>
          <w:rFonts w:ascii="Calibri" w:hAnsi="Calibri" w:cs="Calibri"/>
          <w:sz w:val="22"/>
        </w:rPr>
        <w:fldChar w:fldCharType="separate"/>
      </w:r>
      <w:r w:rsidRPr="00343CBD">
        <w:rPr>
          <w:rFonts w:ascii="Calibri" w:hAnsi="Calibri" w:cs="Calibri"/>
          <w:sz w:val="22"/>
        </w:rPr>
        <w:t>(Selwyn, Ljungqvist and Sonesson, 2025</w:t>
      </w:r>
      <w:r w:rsidRPr="00343CBD">
        <w:rPr>
          <w:rFonts w:ascii="Calibri" w:hAnsi="Calibri" w:cs="Calibri"/>
          <w:sz w:val="22"/>
        </w:rPr>
        <w:t xml:space="preserve">; </w:t>
      </w:r>
      <w:r w:rsidRPr="00343CBD">
        <w:rPr>
          <w:rFonts w:ascii="Calibri" w:hAnsi="Calibri" w:cs="Calibri"/>
          <w:sz w:val="22"/>
        </w:rPr>
        <w:t>Wieczorek &amp; Tollon, under review</w:t>
      </w:r>
      <w:r w:rsidRPr="00343CBD">
        <w:rPr>
          <w:rFonts w:ascii="Calibri" w:hAnsi="Calibri" w:cs="Calibri"/>
          <w:sz w:val="22"/>
        </w:rPr>
        <w:t>)</w:t>
      </w:r>
      <w:r w:rsidRPr="00343CBD">
        <w:rPr>
          <w:rFonts w:ascii="Calibri" w:hAnsi="Calibri" w:cs="Calibri"/>
          <w:sz w:val="22"/>
        </w:rPr>
        <w:fldChar w:fldCharType="end"/>
      </w:r>
      <w:r w:rsidRPr="00343CBD">
        <w:rPr>
          <w:rFonts w:ascii="Calibri" w:hAnsi="Calibri" w:cs="Calibri"/>
          <w:b/>
          <w:bCs/>
          <w:sz w:val="22"/>
        </w:rPr>
        <w:t xml:space="preserve"> </w:t>
      </w:r>
    </w:p>
    <w:p w:rsidR="00343CBD" w:rsidRPr="00343CBD" w:rsidP="00EF1BFA">
      <w:pPr>
        <w:rPr>
          <w:rFonts w:ascii="Calibri" w:hAnsi="Calibri" w:cs="Calibri"/>
          <w:sz w:val="22"/>
        </w:rPr>
      </w:pPr>
      <w:r w:rsidRPr="00343CBD">
        <w:rPr>
          <w:rFonts w:ascii="Calibri" w:hAnsi="Calibri" w:cs="Calibri"/>
          <w:b/>
          <w:bCs/>
          <w:sz w:val="22"/>
        </w:rPr>
        <w:t>C</w:t>
      </w:r>
      <w:r w:rsidRPr="00343CBD">
        <w:rPr>
          <w:rFonts w:ascii="Calibri" w:hAnsi="Calibri" w:cs="Calibri"/>
          <w:b/>
          <w:bCs/>
          <w:sz w:val="22"/>
        </w:rPr>
        <w:t>onclusion</w:t>
      </w:r>
    </w:p>
    <w:p w:rsidR="00343CBD" w:rsidRPr="00343CBD" w:rsidP="00EF1BFA">
      <w:pPr>
        <w:rPr>
          <w:rFonts w:ascii="Calibri" w:hAnsi="Calibri" w:cs="Calibri"/>
          <w:sz w:val="22"/>
        </w:rPr>
      </w:pPr>
      <w:r w:rsidRPr="00343CBD">
        <w:rPr>
          <w:rFonts w:ascii="Calibri" w:hAnsi="Calibri" w:cs="Calibri"/>
          <w:sz w:val="22"/>
        </w:rPr>
        <w:t>The case for AI tutors in schools rests on a compelling but ultimately misleading analogy: that what disadvantaged children lack is access to personalised instruction, and that technology can provide this at scale. Our ongoing work suggests that even if AI tools were capable of providing quality instruction to everyone, there is so much more about good teaching, schools and learning that many edtech interventions overlook. Teaching is more than just efficient delivery of content to individual learners. It i</w:t>
      </w:r>
      <w:r w:rsidRPr="00343CBD">
        <w:rPr>
          <w:rFonts w:ascii="Calibri" w:hAnsi="Calibri" w:cs="Calibri"/>
          <w:sz w:val="22"/>
        </w:rPr>
        <w:t>s a relational practice, conducted between people who know and care for one another. AI systems, however sophisticated, operate outside this relational framework entirely.</w:t>
      </w:r>
    </w:p>
    <w:p w:rsidR="00343CBD" w:rsidRPr="00343CBD" w:rsidP="00EF1BFA">
      <w:pPr>
        <w:rPr>
          <w:rFonts w:ascii="Calibri" w:hAnsi="Calibri" w:cs="Calibri"/>
          <w:sz w:val="22"/>
        </w:rPr>
      </w:pPr>
      <w:r w:rsidRPr="00343CBD">
        <w:rPr>
          <w:rFonts w:ascii="Calibri" w:hAnsi="Calibri" w:cs="Calibri"/>
          <w:sz w:val="22"/>
        </w:rPr>
        <w:t>We therefore urge the government to resist the pressure — much of it commercially driven — to deploy AI tutoring tools at scale before the evidence base exists to justify doing so. Where AI is piloted in educational settings, evaluation frameworks should extend beyond mere impact on learning to include effects on children's social development, their relationship with teachers, and their broader sense of themselves as learners – factors that are currently not accounted for in the Government’s proposal to dev</w:t>
      </w:r>
      <w:r w:rsidRPr="00343CBD">
        <w:rPr>
          <w:rFonts w:ascii="Calibri" w:hAnsi="Calibri" w:cs="Calibri"/>
          <w:sz w:val="22"/>
        </w:rPr>
        <w:t>elop an edtech impact testbed.</w:t>
      </w:r>
      <w:r>
        <w:rPr>
          <w:rStyle w:val="FootnoteReference"/>
          <w:rFonts w:ascii="Calibri" w:hAnsi="Calibri" w:cs="Calibri"/>
          <w:sz w:val="22"/>
        </w:rPr>
        <w:footnoteReference w:id="4"/>
      </w:r>
      <w:r w:rsidRPr="00343CBD">
        <w:rPr>
          <w:rFonts w:ascii="Calibri" w:hAnsi="Calibri" w:cs="Calibri"/>
          <w:sz w:val="22"/>
        </w:rPr>
        <w:t xml:space="preserve"> And where efficiency savings are sought, policymakers should consider whether the same investment directed toward recruiting and retaining teachers, and reducing the workload that </w:t>
      </w:r>
      <w:r w:rsidRPr="00343CBD">
        <w:rPr>
          <w:rFonts w:ascii="Calibri" w:hAnsi="Calibri" w:cs="Calibri"/>
          <w:sz w:val="22"/>
        </w:rPr>
        <w:t>drives so many from the profession, would not better serve the children whose educational futures are at stake.</w:t>
      </w:r>
    </w:p>
    <w:p w:rsidR="00343CBD" w:rsidRPr="00343CBD" w:rsidP="00EF1BFA">
      <w:pPr>
        <w:rPr>
          <w:rFonts w:ascii="Calibri" w:hAnsi="Calibri" w:cs="Calibri"/>
          <w:b/>
          <w:bCs/>
          <w:color w:val="000000" w:themeColor="text1"/>
          <w:sz w:val="22"/>
        </w:rPr>
      </w:pPr>
      <w:r w:rsidRPr="00343CBD">
        <w:rPr>
          <w:rFonts w:ascii="Calibri" w:hAnsi="Calibri" w:cs="Calibri"/>
          <w:b/>
          <w:bCs/>
          <w:color w:val="000000" w:themeColor="text1"/>
          <w:sz w:val="22"/>
        </w:rPr>
        <w:t>References</w:t>
      </w:r>
    </w:p>
    <w:p w:rsidR="00343CBD" w:rsidRPr="00343CBD" w:rsidP="00EF1BFA">
      <w:pPr>
        <w:pStyle w:val="Bibliography"/>
        <w:rPr>
          <w:rFonts w:ascii="Calibri" w:hAnsi="Calibri" w:cs="Calibri"/>
          <w:sz w:val="22"/>
        </w:rPr>
      </w:pPr>
      <w:r w:rsidRPr="00343CBD">
        <w:rPr>
          <w:rFonts w:ascii="Calibri" w:hAnsi="Calibri" w:cs="Calibri"/>
          <w:b/>
          <w:bCs/>
          <w:color w:val="000000" w:themeColor="text1"/>
          <w:sz w:val="22"/>
        </w:rPr>
        <w:fldChar w:fldCharType="begin"/>
      </w:r>
      <w:r w:rsidRPr="00343CBD">
        <w:rPr>
          <w:rFonts w:ascii="Calibri" w:hAnsi="Calibri" w:cs="Calibri"/>
          <w:b/>
          <w:bCs/>
          <w:color w:val="000000" w:themeColor="text1"/>
          <w:sz w:val="22"/>
        </w:rPr>
        <w:instrText xml:space="preserve"> ADDIN ZOTERO_BIBL {"uncited":[],"omitted":[],"custom":[]} CSL_BIBLIOGRAPHY </w:instrText>
      </w:r>
      <w:r w:rsidRPr="00343CBD">
        <w:rPr>
          <w:rFonts w:ascii="Calibri" w:hAnsi="Calibri" w:cs="Calibri"/>
          <w:b/>
          <w:bCs/>
          <w:color w:val="000000" w:themeColor="text1"/>
          <w:sz w:val="22"/>
        </w:rPr>
        <w:fldChar w:fldCharType="separate"/>
      </w:r>
      <w:r w:rsidRPr="00343CBD">
        <w:rPr>
          <w:rFonts w:ascii="Calibri" w:hAnsi="Calibri" w:cs="Calibri"/>
          <w:sz w:val="22"/>
        </w:rPr>
        <w:t xml:space="preserve">Corbin, T., Tai, J. and Flenady, G. (2025) “Understanding the place and value of GenAI feedback: a recognition-based framework,” </w:t>
      </w:r>
      <w:r w:rsidRPr="00343CBD">
        <w:rPr>
          <w:rFonts w:ascii="Calibri" w:hAnsi="Calibri" w:cs="Calibri"/>
          <w:i/>
          <w:iCs/>
          <w:sz w:val="22"/>
        </w:rPr>
        <w:t>Assessment &amp; Evaluation in Higher Education</w:t>
      </w:r>
      <w:r w:rsidRPr="00343CBD">
        <w:rPr>
          <w:rFonts w:ascii="Calibri" w:hAnsi="Calibri" w:cs="Calibri"/>
          <w:sz w:val="22"/>
        </w:rPr>
        <w:t>, 50(5), pp. 718–731. Available at: https://doi.org/10.1080/02602938.2025.2459641.</w:t>
      </w:r>
    </w:p>
    <w:p w:rsidR="00343CBD" w:rsidRPr="00343CBD" w:rsidP="00EF1BFA">
      <w:pPr>
        <w:pStyle w:val="Bibliography"/>
        <w:rPr>
          <w:rFonts w:ascii="Calibri" w:hAnsi="Calibri" w:cs="Calibri"/>
          <w:sz w:val="22"/>
        </w:rPr>
      </w:pPr>
      <w:r w:rsidRPr="00343CBD">
        <w:rPr>
          <w:rFonts w:ascii="Calibri" w:hAnsi="Calibri" w:cs="Calibri"/>
          <w:sz w:val="22"/>
        </w:rPr>
        <w:t xml:space="preserve">Selwyn, N., Ljungqvist, M. and Sonesson, A. (2025) “When the prompting stops: exploring teachers’ work around the educational frailties of generative AI tools,” </w:t>
      </w:r>
      <w:r w:rsidRPr="00343CBD">
        <w:rPr>
          <w:rFonts w:ascii="Calibri" w:hAnsi="Calibri" w:cs="Calibri"/>
          <w:i/>
          <w:iCs/>
          <w:sz w:val="22"/>
        </w:rPr>
        <w:t>Learning, Media and Technology</w:t>
      </w:r>
      <w:r w:rsidRPr="00343CBD">
        <w:rPr>
          <w:rFonts w:ascii="Calibri" w:hAnsi="Calibri" w:cs="Calibri"/>
          <w:sz w:val="22"/>
        </w:rPr>
        <w:t>, 50(3), pp. 310–323. Available at: https://doi.org/10.1080/17439884.2025.2537959.</w:t>
      </w:r>
    </w:p>
    <w:p w:rsidR="00343CBD" w:rsidRPr="00343CBD" w:rsidP="00EF1BFA">
      <w:pPr>
        <w:pStyle w:val="Bibliography"/>
        <w:rPr>
          <w:rFonts w:ascii="Calibri" w:hAnsi="Calibri" w:cs="Calibri"/>
          <w:sz w:val="22"/>
        </w:rPr>
      </w:pPr>
      <w:r w:rsidRPr="00343CBD">
        <w:rPr>
          <w:rFonts w:ascii="Calibri" w:hAnsi="Calibri" w:cs="Calibri"/>
          <w:sz w:val="22"/>
        </w:rPr>
        <w:t xml:space="preserve">Tuomi, I. (2025) “What counts as evidence in AI &amp; ED: Towards Science-for-Policy 3.0,” </w:t>
      </w:r>
      <w:r w:rsidRPr="00343CBD">
        <w:rPr>
          <w:rFonts w:ascii="Calibri" w:hAnsi="Calibri" w:cs="Calibri"/>
          <w:i/>
          <w:iCs/>
          <w:sz w:val="22"/>
        </w:rPr>
        <w:t>European Journal of Education Policy and Practice</w:t>
      </w:r>
      <w:r w:rsidRPr="00343CBD">
        <w:rPr>
          <w:rFonts w:ascii="Calibri" w:hAnsi="Calibri" w:cs="Calibri"/>
          <w:sz w:val="22"/>
        </w:rPr>
        <w:t>, 1(1), pp. 1–31. Available at: https://doi.org/10.5117/EJEP2025.1.001.TUOM.</w:t>
      </w:r>
    </w:p>
    <w:p w:rsidR="00343CBD" w:rsidRPr="00343CBD" w:rsidP="00EF1BFA">
      <w:pPr>
        <w:pStyle w:val="Bibliography"/>
        <w:rPr>
          <w:rFonts w:ascii="Calibri" w:hAnsi="Calibri" w:cs="Calibri"/>
          <w:sz w:val="22"/>
        </w:rPr>
      </w:pPr>
      <w:r w:rsidRPr="00343CBD">
        <w:rPr>
          <w:rFonts w:ascii="Calibri" w:hAnsi="Calibri" w:cs="Calibri"/>
          <w:sz w:val="22"/>
        </w:rPr>
        <w:t xml:space="preserve">Wieczorek, M. (2025a) “Using ethical scenarios to explore the future of artificial intelligence in primary and secondary education,” </w:t>
      </w:r>
      <w:r w:rsidRPr="00343CBD">
        <w:rPr>
          <w:rFonts w:ascii="Calibri" w:hAnsi="Calibri" w:cs="Calibri"/>
          <w:i/>
          <w:iCs/>
          <w:sz w:val="22"/>
        </w:rPr>
        <w:t>Learning, Media and Technology</w:t>
      </w:r>
      <w:r w:rsidRPr="00343CBD">
        <w:rPr>
          <w:rFonts w:ascii="Calibri" w:hAnsi="Calibri" w:cs="Calibri"/>
          <w:sz w:val="22"/>
        </w:rPr>
        <w:t>, pp. 1–17. Available at: https://doi.org/10.1080/17439884.2025.2517335.</w:t>
      </w:r>
    </w:p>
    <w:p w:rsidR="00343CBD" w:rsidRPr="00343CBD" w:rsidP="00EF1BFA">
      <w:pPr>
        <w:pStyle w:val="Bibliography"/>
        <w:rPr>
          <w:rFonts w:ascii="Calibri" w:hAnsi="Calibri" w:cs="Calibri"/>
          <w:sz w:val="22"/>
        </w:rPr>
      </w:pPr>
      <w:r w:rsidRPr="00343CBD">
        <w:rPr>
          <w:rFonts w:ascii="Calibri" w:hAnsi="Calibri" w:cs="Calibri"/>
          <w:sz w:val="22"/>
        </w:rPr>
        <w:t xml:space="preserve">Wieczorek, M. (2025b) “Why AI will not Democratize Education: a Critical Pragmatist Perspective,” </w:t>
      </w:r>
      <w:r w:rsidRPr="00343CBD">
        <w:rPr>
          <w:rFonts w:ascii="Calibri" w:hAnsi="Calibri" w:cs="Calibri"/>
          <w:i/>
          <w:iCs/>
          <w:sz w:val="22"/>
        </w:rPr>
        <w:t>Philosophy &amp; Technology</w:t>
      </w:r>
      <w:r w:rsidRPr="00343CBD">
        <w:rPr>
          <w:rFonts w:ascii="Calibri" w:hAnsi="Calibri" w:cs="Calibri"/>
          <w:sz w:val="22"/>
        </w:rPr>
        <w:t>, 38(2), p. 53. Available at: https://doi.org/10.1007/s13347-025-00883-8.</w:t>
      </w:r>
    </w:p>
    <w:p w:rsidR="00343CBD" w:rsidRPr="00343CBD" w:rsidP="00EF1BFA">
      <w:pPr>
        <w:pStyle w:val="Bibliography"/>
        <w:rPr>
          <w:rFonts w:ascii="Calibri" w:hAnsi="Calibri" w:cs="Calibri"/>
          <w:sz w:val="22"/>
        </w:rPr>
      </w:pPr>
      <w:r w:rsidRPr="00343CBD">
        <w:rPr>
          <w:rFonts w:ascii="Calibri" w:hAnsi="Calibri" w:cs="Calibri"/>
          <w:sz w:val="22"/>
        </w:rPr>
        <w:t xml:space="preserve">Wieczorek, M., Hosseini, M. and Gordijn, B. (2025) “Unpacking the ethics of using AI in primary and secondary education: a systematic literature review,” </w:t>
      </w:r>
      <w:r w:rsidRPr="00343CBD">
        <w:rPr>
          <w:rFonts w:ascii="Calibri" w:hAnsi="Calibri" w:cs="Calibri"/>
          <w:i/>
          <w:iCs/>
          <w:sz w:val="22"/>
        </w:rPr>
        <w:t>AI and Ethics</w:t>
      </w:r>
      <w:r w:rsidRPr="00343CBD">
        <w:rPr>
          <w:rFonts w:ascii="Calibri" w:hAnsi="Calibri" w:cs="Calibri"/>
          <w:sz w:val="22"/>
        </w:rPr>
        <w:t>, 5(5), pp. 4693–4711. Available at: https://doi.org/10.1007/s43681-025-00770-0.</w:t>
      </w:r>
    </w:p>
    <w:p w:rsidR="00343CBD" w:rsidRPr="00343CBD" w:rsidP="00EF1BFA">
      <w:pPr>
        <w:pStyle w:val="Bibliography"/>
        <w:rPr>
          <w:rFonts w:ascii="Calibri" w:hAnsi="Calibri" w:cs="Calibri"/>
          <w:sz w:val="22"/>
        </w:rPr>
      </w:pPr>
      <w:r w:rsidRPr="00343CBD">
        <w:rPr>
          <w:rFonts w:ascii="Calibri" w:hAnsi="Calibri" w:cs="Calibri"/>
          <w:sz w:val="22"/>
        </w:rPr>
        <w:t xml:space="preserve">Wieczorek, M. and Romele, A. (2025) “How to Imagine Educational AI: The Filling of a Pail or the Lighting of a Fire?,” </w:t>
      </w:r>
      <w:r w:rsidRPr="00343CBD">
        <w:rPr>
          <w:rFonts w:ascii="Calibri" w:hAnsi="Calibri" w:cs="Calibri"/>
          <w:i/>
          <w:iCs/>
          <w:sz w:val="22"/>
        </w:rPr>
        <w:t>Educational Theory</w:t>
      </w:r>
      <w:r w:rsidRPr="00343CBD">
        <w:rPr>
          <w:rFonts w:ascii="Calibri" w:hAnsi="Calibri" w:cs="Calibri"/>
          <w:sz w:val="22"/>
        </w:rPr>
        <w:t>, p. edth.70070. Available at: https://doi.org/10.1111/edth.70070.</w:t>
      </w:r>
    </w:p>
    <w:p w:rsidR="00343CBD" w:rsidRPr="00343CBD" w:rsidP="00EF1BFA">
      <w:pPr>
        <w:rPr>
          <w:rFonts w:ascii="Calibri" w:hAnsi="Calibri" w:cs="Calibri"/>
          <w:b/>
          <w:bCs/>
          <w:color w:val="000000" w:themeColor="text1"/>
          <w:sz w:val="22"/>
        </w:rPr>
      </w:pPr>
      <w:r w:rsidRPr="00343CBD">
        <w:rPr>
          <w:rFonts w:ascii="Calibri" w:hAnsi="Calibri" w:cs="Calibri"/>
          <w:b/>
          <w:bCs/>
          <w:color w:val="000000" w:themeColor="text1"/>
          <w:sz w:val="22"/>
        </w:rPr>
        <w:fldChar w:fldCharType="end"/>
      </w:r>
    </w:p>
    <w:p w:rsidR="00343CBD" w:rsidRPr="00343CBD">
      <w:pPr>
        <w:rPr>
          <w:rFonts w:ascii="Calibri" w:hAnsi="Calibri" w:cs="Calibri"/>
          <w:i/>
          <w:iCs/>
          <w:sz w:val="22"/>
        </w:rPr>
      </w:pPr>
      <w:r w:rsidRPr="00343CBD">
        <w:rPr>
          <w:rFonts w:ascii="Calibri" w:hAnsi="Calibri" w:cs="Calibri"/>
          <w:i/>
          <w:iCs/>
          <w:sz w:val="22"/>
        </w:rPr>
        <w:t>May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343CBD" w:rsidP="00EF1BFA">
      <w:pPr>
        <w:spacing w:after="0" w:line="240" w:lineRule="auto"/>
      </w:pPr>
      <w:r>
        <w:separator/>
      </w:r>
    </w:p>
  </w:footnote>
  <w:footnote w:type="continuationSeparator" w:id="1">
    <w:p w:rsidR="00343CBD" w:rsidP="00EF1BFA">
      <w:pPr>
        <w:spacing w:after="0" w:line="240" w:lineRule="auto"/>
      </w:pPr>
      <w:r>
        <w:continuationSeparator/>
      </w:r>
    </w:p>
  </w:footnote>
  <w:footnote w:id="2">
    <w:p w:rsidR="00343CBD" w:rsidRPr="00B046CC" w:rsidP="00EF1BFA">
      <w:pPr>
        <w:pStyle w:val="FootnoteText"/>
        <w:rPr>
          <w:rFonts w:ascii="Times New Roman" w:hAnsi="Times New Roman" w:cs="Times New Roman"/>
        </w:rPr>
      </w:pPr>
      <w:r w:rsidRPr="00B046CC">
        <w:rPr>
          <w:rStyle w:val="FootnoteReference"/>
          <w:rFonts w:ascii="Times New Roman" w:hAnsi="Times New Roman" w:cs="Times New Roman"/>
        </w:rPr>
        <w:footnoteRef/>
      </w:r>
      <w:r w:rsidRPr="00B046CC">
        <w:rPr>
          <w:rFonts w:ascii="Times New Roman" w:hAnsi="Times New Roman" w:cs="Times New Roman"/>
        </w:rPr>
        <w:t xml:space="preserve"> </w:t>
      </w:r>
      <w:r>
        <w:fldChar w:fldCharType="begin"/>
      </w:r>
      <w:r>
        <w:instrText xml:space="preserve"> HYPERLINK "https://www.telegraph.co.uk/news/2026/01/26/poorest-pupils-to-be-given-ai-tutors/?ICID=continue_without_subscribing_reg_first" </w:instrText>
      </w:r>
      <w:r>
        <w:fldChar w:fldCharType="separate"/>
      </w:r>
      <w:r w:rsidRPr="00B046CC">
        <w:rPr>
          <w:rStyle w:val="Hyperlink"/>
          <w:rFonts w:ascii="Times New Roman" w:hAnsi="Times New Roman" w:cs="Times New Roman"/>
        </w:rPr>
        <w:t>https://www.telegraph.co.uk/news/2026/01/26/poorest-pupils-to-be-given-ai-tutors/?ICID=continue_without_subscribing_reg_first</w:t>
      </w:r>
      <w:r>
        <w:fldChar w:fldCharType="end"/>
      </w:r>
      <w:r w:rsidRPr="00B046CC">
        <w:rPr>
          <w:rFonts w:ascii="Times New Roman" w:hAnsi="Times New Roman" w:cs="Times New Roman"/>
        </w:rPr>
        <w:t xml:space="preserve"> (accessed 1 April 2026).</w:t>
      </w:r>
    </w:p>
  </w:footnote>
  <w:footnote w:id="3">
    <w:p w:rsidR="00343CBD" w:rsidRPr="00875D82" w:rsidP="00EF1BFA">
      <w:pPr>
        <w:pStyle w:val="FootnoteText"/>
        <w:rPr>
          <w:rFonts w:ascii="Times New Roman" w:hAnsi="Times New Roman" w:cs="Times New Roman"/>
        </w:rPr>
      </w:pPr>
      <w:r w:rsidRPr="00875D82">
        <w:rPr>
          <w:rStyle w:val="FootnoteReference"/>
          <w:rFonts w:ascii="Times New Roman" w:hAnsi="Times New Roman" w:cs="Times New Roman"/>
        </w:rPr>
        <w:footnoteRef/>
      </w:r>
      <w:r w:rsidRPr="00875D82">
        <w:rPr>
          <w:rFonts w:ascii="Times New Roman" w:hAnsi="Times New Roman" w:cs="Times New Roman"/>
        </w:rPr>
        <w:t xml:space="preserve"> Interestingly, UNESCO, arguably the leader in educational AI policy does not discuss AI’s timesaving potential in its key documents (Beijing Consensus on Artificial Intelligence and Education, Guidance on Generative AI in Education and Research, and AI Competency Framework for Teachers).</w:t>
      </w:r>
    </w:p>
  </w:footnote>
  <w:footnote w:id="4">
    <w:p w:rsidR="00343CBD" w:rsidP="00EF1BFA">
      <w:pPr>
        <w:pStyle w:val="FootnoteText"/>
      </w:pPr>
      <w:r>
        <w:rPr>
          <w:rStyle w:val="FootnoteReference"/>
        </w:rPr>
        <w:footnoteRef/>
      </w:r>
      <w:r>
        <w:t xml:space="preserve"> </w:t>
      </w:r>
      <w:r>
        <w:fldChar w:fldCharType="begin"/>
      </w:r>
      <w:r>
        <w:instrText xml:space="preserve"> HYPERLINK "https://assets.publishing.service.gov.uk/media/69396067cfacd5e888491d13/approaches-to-developing-the-education-techology-edtech-impact-testbed-scoping-report.pdf" </w:instrText>
      </w:r>
      <w:r>
        <w:fldChar w:fldCharType="separate"/>
      </w:r>
      <w:r w:rsidRPr="00ED6A0A">
        <w:rPr>
          <w:rStyle w:val="Hyperlink"/>
          <w:rFonts w:ascii="Times New Roman" w:hAnsi="Times New Roman" w:cs="Times New Roman"/>
        </w:rPr>
        <w:t>https://assets.publishing.service.gov.uk/media/69396067cfacd5e888491d13/approaches-to-developing-the-education-techology-edtech-impact-testbed-scoping-report.pdf</w:t>
      </w:r>
      <w:r>
        <w:fldChar w:fldCharType="end"/>
      </w:r>
      <w:r w:rsidRPr="00ED6A0A">
        <w:rPr>
          <w:rFonts w:ascii="Times New Roman" w:hAnsi="Times New Roman" w:cs="Times New Roman"/>
        </w:rPr>
        <w:t xml:space="preserve"> (accessed 1 April 2026).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F1BFA"/>
    <w:pPr>
      <w:spacing w:line="360" w:lineRule="auto"/>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semiHidden/>
    <w:unhideWhenUsed/>
    <w:rsid w:val="00EF1BFA"/>
  </w:style>
  <w:style w:type="character" w:styleId="Hyperlink">
    <w:name w:val="Hyperlink"/>
    <w:basedOn w:val="DefaultParagraphFont"/>
    <w:uiPriority w:val="99"/>
    <w:unhideWhenUsed/>
    <w:rsid w:val="00EF1BFA"/>
    <w:rPr>
      <w:color w:val="0000FF"/>
      <w:u w:val="single"/>
    </w:rPr>
  </w:style>
  <w:style w:type="character" w:styleId="CommentReference">
    <w:name w:val="annotation reference"/>
    <w:basedOn w:val="DefaultParagraphFont"/>
    <w:uiPriority w:val="99"/>
    <w:semiHidden/>
    <w:unhideWhenUsed/>
    <w:rsid w:val="00EF1BFA"/>
    <w:rPr>
      <w:sz w:val="16"/>
      <w:szCs w:val="16"/>
    </w:rPr>
  </w:style>
  <w:style w:type="paragraph" w:styleId="FootnoteText">
    <w:name w:val="footnote text"/>
    <w:basedOn w:val="Normal"/>
    <w:link w:val="FootnoteTextChar"/>
    <w:uiPriority w:val="99"/>
    <w:semiHidden/>
    <w:unhideWhenUsed/>
    <w:rsid w:val="00EF1BFA"/>
    <w:pPr>
      <w:spacing w:after="0" w:line="240" w:lineRule="auto"/>
      <w:jc w:val="left"/>
    </w:pPr>
    <w:rPr>
      <w:rFonts w:asciiTheme="minorHAnsi" w:hAnsiTheme="minorHAnsi"/>
      <w:kern w:val="2"/>
      <w:sz w:val="20"/>
      <w:szCs w:val="20"/>
    </w:rPr>
  </w:style>
  <w:style w:type="character" w:customStyle="1" w:styleId="FootnoteTextChar">
    <w:name w:val="Footnote Text Char"/>
    <w:basedOn w:val="DefaultParagraphFont"/>
    <w:link w:val="FootnoteText"/>
    <w:uiPriority w:val="99"/>
    <w:semiHidden/>
    <w:rsid w:val="00EF1BFA"/>
    <w:rPr>
      <w:kern w:val="2"/>
      <w:sz w:val="20"/>
      <w:szCs w:val="20"/>
    </w:rPr>
  </w:style>
  <w:style w:type="character" w:styleId="FootnoteReference">
    <w:name w:val="footnote reference"/>
    <w:basedOn w:val="DefaultParagraphFont"/>
    <w:uiPriority w:val="99"/>
    <w:semiHidden/>
    <w:unhideWhenUsed/>
    <w:rsid w:val="00EF1B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AIE0099</dc:title>
  <cp:revision>0</cp:revision>
</cp:coreProperties>
</file>