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8628B">
      <w:pPr>
        <w:pStyle w:val="Heading1"/>
        <w:spacing w:line="276" w:lineRule="auto"/>
        <w:rPr>
          <w:rFonts w:ascii="Verdana" w:hAnsi="Verdana"/>
          <w:color w:val="212121"/>
        </w:rPr>
      </w:pPr>
      <w:r>
        <w:rPr>
          <w:rFonts w:ascii="Verdana" w:hAnsi="Verdana"/>
          <w:color w:val="212121"/>
        </w:rPr>
        <w:t>Innovate Finance – Supplementary written evidence (STA0071)</w:t>
      </w:r>
    </w:p>
    <w:p w:rsidR="00FF7EEB" w:rsidRPr="0038628B">
      <w:pPr>
        <w:pStyle w:val="BodyText"/>
        <w:spacing w:before="364"/>
        <w:rPr>
          <w:rFonts w:ascii="Verdana" w:hAnsi="Verdana"/>
          <w:b/>
          <w:i/>
          <w:sz w:val="28"/>
        </w:rPr>
      </w:pPr>
    </w:p>
    <w:p w:rsidR="00FF7EEB" w:rsidRPr="0038628B">
      <w:pPr>
        <w:pStyle w:val="Heading3"/>
        <w:spacing w:before="1"/>
        <w:ind w:left="23" w:firstLine="0"/>
        <w:rPr>
          <w:rFonts w:ascii="Verdana" w:hAnsi="Verdana"/>
        </w:rPr>
      </w:pPr>
      <w:r w:rsidRPr="0038628B">
        <w:rPr>
          <w:rFonts w:ascii="Verdana" w:hAnsi="Verdana"/>
          <w:color w:val="212121"/>
        </w:rPr>
        <w:t xml:space="preserve">About Innovate </w:t>
      </w:r>
      <w:r w:rsidRPr="0038628B">
        <w:rPr>
          <w:rFonts w:ascii="Verdana" w:hAnsi="Verdana"/>
          <w:color w:val="212121"/>
          <w:spacing w:val="-2"/>
        </w:rPr>
        <w:t>Finance</w:t>
      </w:r>
    </w:p>
    <w:p w:rsidR="00FF7EEB" w:rsidRPr="0038628B">
      <w:pPr>
        <w:pStyle w:val="BodyText"/>
        <w:spacing w:before="49" w:line="276" w:lineRule="auto"/>
        <w:ind w:left="22" w:right="41"/>
        <w:jc w:val="both"/>
        <w:rPr>
          <w:rFonts w:ascii="Verdana" w:hAnsi="Verdana"/>
        </w:rPr>
      </w:pPr>
      <w:r w:rsidRPr="0038628B">
        <w:rPr>
          <w:rFonts w:ascii="Verdana" w:hAnsi="Verdana"/>
          <w:color w:val="212121"/>
          <w:w w:val="105"/>
        </w:rPr>
        <w:t>Innovate</w:t>
      </w:r>
      <w:r w:rsidRPr="0038628B">
        <w:rPr>
          <w:rFonts w:ascii="Verdana" w:hAnsi="Verdana"/>
          <w:color w:val="212121"/>
          <w:w w:val="105"/>
        </w:rPr>
        <w:t xml:space="preserve"> Finance is the independent industry body that represents and advances the global FinTech community in the UK. Our mission is to accelerate the UK’s leading role in the ﬁnancial services sector by directly supporting the next generation of</w:t>
      </w:r>
      <w:r w:rsidRPr="0038628B">
        <w:rPr>
          <w:rFonts w:ascii="Verdana" w:hAnsi="Verdana"/>
          <w:color w:val="212121"/>
          <w:spacing w:val="40"/>
          <w:w w:val="105"/>
        </w:rPr>
        <w:t xml:space="preserve"> </w:t>
      </w:r>
      <w:r w:rsidRPr="0038628B">
        <w:rPr>
          <w:rFonts w:ascii="Verdana" w:hAnsi="Verdana"/>
          <w:color w:val="212121"/>
          <w:w w:val="105"/>
        </w:rPr>
        <w:t>technology-led innovators.</w:t>
      </w:r>
    </w:p>
    <w:p w:rsidR="00FF7EEB" w:rsidRPr="0038628B">
      <w:pPr>
        <w:pStyle w:val="BodyText"/>
        <w:spacing w:before="44"/>
        <w:rPr>
          <w:rFonts w:ascii="Verdana" w:hAnsi="Verdana"/>
        </w:rPr>
      </w:pPr>
    </w:p>
    <w:p w:rsidR="00FF7EEB" w:rsidRPr="0038628B">
      <w:pPr>
        <w:spacing w:before="1" w:line="276" w:lineRule="auto"/>
        <w:ind w:left="22" w:right="38"/>
        <w:jc w:val="both"/>
        <w:rPr>
          <w:rFonts w:ascii="Verdana" w:hAnsi="Verdana"/>
          <w:b/>
        </w:rPr>
      </w:pPr>
      <w:r w:rsidRPr="0038628B">
        <w:rPr>
          <w:rFonts w:ascii="Verdana" w:hAnsi="Verdana"/>
          <w:color w:val="212121"/>
          <w:w w:val="105"/>
        </w:rPr>
        <w:t xml:space="preserve">Our members include a wide range of ﬁrms interested in digital assets, digital money and payments including blockchain infrastructure providers, payment systems and services, digital wallets, global stablecoin services, GBP stablecoin issuers, challenger banks and advisory ﬁrms. </w:t>
      </w:r>
      <w:r w:rsidRPr="0038628B">
        <w:rPr>
          <w:rFonts w:ascii="Verdana" w:hAnsi="Verdana"/>
          <w:color w:val="212121"/>
          <w:w w:val="105"/>
        </w:rPr>
        <w:t>In particular our</w:t>
      </w:r>
      <w:r w:rsidRPr="0038628B">
        <w:rPr>
          <w:rFonts w:ascii="Verdana" w:hAnsi="Verdana"/>
          <w:color w:val="212121"/>
          <w:w w:val="105"/>
        </w:rPr>
        <w:t xml:space="preserve"> membership includes global stablecoin issuers and services, UK GBP stablecoin </w:t>
      </w:r>
      <w:r w:rsidRPr="0038628B">
        <w:rPr>
          <w:rFonts w:ascii="Verdana" w:hAnsi="Verdana"/>
          <w:color w:val="212121"/>
          <w:w w:val="105"/>
        </w:rPr>
        <w:t>start ups</w:t>
      </w:r>
      <w:r w:rsidRPr="0038628B">
        <w:rPr>
          <w:rFonts w:ascii="Verdana" w:hAnsi="Verdana"/>
          <w:color w:val="212121"/>
          <w:w w:val="105"/>
        </w:rPr>
        <w:t xml:space="preserve">, and payments ﬁrms and challenger banks (including UK ﬁntech unicorns) who are already providing stablecoin services in other markets. </w:t>
      </w:r>
      <w:r w:rsidRPr="0038628B">
        <w:rPr>
          <w:rFonts w:ascii="Verdana" w:hAnsi="Verdana"/>
          <w:b/>
          <w:color w:val="212121"/>
          <w:w w:val="105"/>
        </w:rPr>
        <w:t xml:space="preserve">We therefore represent the full ecosystem of potential GBP </w:t>
      </w:r>
      <w:r w:rsidRPr="0038628B">
        <w:rPr>
          <w:rFonts w:ascii="Verdana" w:hAnsi="Verdana"/>
          <w:b/>
          <w:color w:val="212121"/>
        </w:rPr>
        <w:t>stablecoin issuers and providers and have a unique</w:t>
      </w:r>
      <w:r w:rsidRPr="0038628B">
        <w:rPr>
          <w:rFonts w:ascii="Verdana" w:hAnsi="Verdana"/>
          <w:b/>
          <w:color w:val="212121"/>
          <w:spacing w:val="-3"/>
        </w:rPr>
        <w:t xml:space="preserve"> </w:t>
      </w:r>
      <w:r w:rsidRPr="0038628B">
        <w:rPr>
          <w:rFonts w:ascii="Verdana" w:hAnsi="Verdana"/>
          <w:b/>
          <w:color w:val="212121"/>
        </w:rPr>
        <w:t>end-to-end</w:t>
      </w:r>
      <w:r w:rsidRPr="0038628B">
        <w:rPr>
          <w:rFonts w:ascii="Verdana" w:hAnsi="Verdana"/>
          <w:b/>
          <w:color w:val="212121"/>
          <w:spacing w:val="-3"/>
        </w:rPr>
        <w:t xml:space="preserve"> </w:t>
      </w:r>
      <w:r w:rsidRPr="0038628B">
        <w:rPr>
          <w:rFonts w:ascii="Verdana" w:hAnsi="Verdana"/>
          <w:b/>
          <w:color w:val="212121"/>
        </w:rPr>
        <w:t>view</w:t>
      </w:r>
      <w:r w:rsidRPr="0038628B">
        <w:rPr>
          <w:rFonts w:ascii="Verdana" w:hAnsi="Verdana"/>
          <w:b/>
          <w:color w:val="212121"/>
          <w:spacing w:val="-3"/>
        </w:rPr>
        <w:t xml:space="preserve"> </w:t>
      </w:r>
      <w:r w:rsidRPr="0038628B">
        <w:rPr>
          <w:rFonts w:ascii="Verdana" w:hAnsi="Verdana"/>
          <w:b/>
          <w:color w:val="212121"/>
        </w:rPr>
        <w:t>of</w:t>
      </w:r>
      <w:r w:rsidRPr="0038628B">
        <w:rPr>
          <w:rFonts w:ascii="Verdana" w:hAnsi="Verdana"/>
          <w:b/>
          <w:color w:val="212121"/>
          <w:spacing w:val="-3"/>
        </w:rPr>
        <w:t xml:space="preserve"> </w:t>
      </w:r>
      <w:r w:rsidRPr="0038628B">
        <w:rPr>
          <w:rFonts w:ascii="Verdana" w:hAnsi="Verdana"/>
          <w:b/>
          <w:color w:val="212121"/>
        </w:rPr>
        <w:t xml:space="preserve">stablecoin </w:t>
      </w:r>
      <w:r w:rsidRPr="0038628B">
        <w:rPr>
          <w:rFonts w:ascii="Verdana" w:hAnsi="Verdana"/>
          <w:b/>
          <w:color w:val="212121"/>
          <w:w w:val="105"/>
        </w:rPr>
        <w:t>business models.</w:t>
      </w:r>
    </w:p>
    <w:p w:rsidR="00FF7EEB" w:rsidRPr="0038628B">
      <w:pPr>
        <w:pStyle w:val="BodyText"/>
        <w:spacing w:before="44"/>
        <w:rPr>
          <w:rFonts w:ascii="Verdana" w:hAnsi="Verdana"/>
          <w:b/>
        </w:rPr>
      </w:pPr>
    </w:p>
    <w:p w:rsidR="00FF7EEB" w:rsidRPr="0038628B">
      <w:pPr>
        <w:pStyle w:val="BodyText"/>
        <w:spacing w:before="1" w:line="276" w:lineRule="auto"/>
        <w:ind w:left="22" w:right="42"/>
        <w:jc w:val="both"/>
        <w:rPr>
          <w:rFonts w:ascii="Verdana" w:hAnsi="Verdana"/>
        </w:rPr>
      </w:pPr>
      <w:r w:rsidRPr="0038628B">
        <w:rPr>
          <w:rFonts w:ascii="Verdana" w:hAnsi="Verdana"/>
          <w:color w:val="212121"/>
          <w:w w:val="105"/>
        </w:rPr>
        <w:t>Our Chief Strategy Oﬃcer Adam Jackson gave oral evidence to the</w:t>
      </w:r>
      <w:r w:rsidRPr="0038628B">
        <w:rPr>
          <w:rFonts w:ascii="Verdana" w:hAnsi="Verdana"/>
          <w:color w:val="212121"/>
          <w:w w:val="105"/>
        </w:rPr>
        <w:t xml:space="preserve"> House of Lords Financial Services Regulation Committee inquiry on 4 March.</w:t>
      </w:r>
    </w:p>
    <w:p w:rsidR="00FF7EEB" w:rsidRPr="0038628B">
      <w:pPr>
        <w:pStyle w:val="BodyText"/>
        <w:spacing w:before="44"/>
        <w:rPr>
          <w:rFonts w:ascii="Verdana" w:hAnsi="Verdana"/>
        </w:rPr>
      </w:pPr>
    </w:p>
    <w:p w:rsidR="00FF7EEB" w:rsidRPr="0038628B">
      <w:pPr>
        <w:pStyle w:val="BodyText"/>
        <w:spacing w:before="1"/>
        <w:ind w:left="23"/>
        <w:rPr>
          <w:rFonts w:ascii="Verdana" w:hAnsi="Verdana"/>
        </w:rPr>
      </w:pPr>
      <w:r w:rsidRPr="0038628B">
        <w:rPr>
          <w:rFonts w:ascii="Verdana" w:hAnsi="Verdana"/>
          <w:color w:val="212121"/>
          <w:w w:val="105"/>
        </w:rPr>
        <w:t>In this</w:t>
      </w:r>
      <w:r w:rsidRPr="0038628B">
        <w:rPr>
          <w:rFonts w:ascii="Verdana" w:hAnsi="Verdana"/>
          <w:color w:val="212121"/>
          <w:spacing w:val="1"/>
          <w:w w:val="105"/>
        </w:rPr>
        <w:t xml:space="preserve"> </w:t>
      </w:r>
      <w:r w:rsidRPr="0038628B">
        <w:rPr>
          <w:rFonts w:ascii="Verdana" w:hAnsi="Verdana"/>
          <w:color w:val="212121"/>
          <w:w w:val="105"/>
        </w:rPr>
        <w:t>supplementary</w:t>
      </w:r>
      <w:r w:rsidRPr="0038628B">
        <w:rPr>
          <w:rFonts w:ascii="Verdana" w:hAnsi="Verdana"/>
          <w:color w:val="212121"/>
          <w:spacing w:val="1"/>
          <w:w w:val="105"/>
        </w:rPr>
        <w:t xml:space="preserve"> </w:t>
      </w:r>
      <w:r w:rsidRPr="0038628B">
        <w:rPr>
          <w:rFonts w:ascii="Verdana" w:hAnsi="Verdana"/>
          <w:color w:val="212121"/>
          <w:w w:val="105"/>
        </w:rPr>
        <w:t>evidence we provide further</w:t>
      </w:r>
      <w:r w:rsidRPr="0038628B">
        <w:rPr>
          <w:rFonts w:ascii="Verdana" w:hAnsi="Verdana"/>
          <w:color w:val="212121"/>
          <w:spacing w:val="1"/>
          <w:w w:val="105"/>
        </w:rPr>
        <w:t xml:space="preserve"> </w:t>
      </w:r>
      <w:r w:rsidRPr="0038628B">
        <w:rPr>
          <w:rFonts w:ascii="Verdana" w:hAnsi="Verdana"/>
          <w:color w:val="212121"/>
          <w:w w:val="105"/>
        </w:rPr>
        <w:t>details</w:t>
      </w:r>
      <w:r w:rsidRPr="0038628B">
        <w:rPr>
          <w:rFonts w:ascii="Verdana" w:hAnsi="Verdana"/>
          <w:color w:val="212121"/>
          <w:spacing w:val="1"/>
          <w:w w:val="105"/>
        </w:rPr>
        <w:t xml:space="preserve"> </w:t>
      </w:r>
      <w:r w:rsidRPr="0038628B">
        <w:rPr>
          <w:rFonts w:ascii="Verdana" w:hAnsi="Verdana"/>
          <w:color w:val="212121"/>
          <w:w w:val="105"/>
        </w:rPr>
        <w:t xml:space="preserve">on </w:t>
      </w:r>
      <w:r w:rsidRPr="0038628B">
        <w:rPr>
          <w:rFonts w:ascii="Verdana" w:hAnsi="Verdana"/>
          <w:color w:val="212121"/>
          <w:w w:val="105"/>
        </w:rPr>
        <w:t>a four</w:t>
      </w:r>
      <w:r w:rsidRPr="0038628B">
        <w:rPr>
          <w:rFonts w:ascii="Verdana" w:hAnsi="Verdana"/>
          <w:color w:val="212121"/>
          <w:spacing w:val="1"/>
          <w:w w:val="105"/>
        </w:rPr>
        <w:t xml:space="preserve"> </w:t>
      </w:r>
      <w:r w:rsidRPr="0038628B">
        <w:rPr>
          <w:rFonts w:ascii="Verdana" w:hAnsi="Verdana"/>
          <w:color w:val="212121"/>
          <w:w w:val="105"/>
        </w:rPr>
        <w:t>issues</w:t>
      </w:r>
      <w:r w:rsidRPr="0038628B">
        <w:rPr>
          <w:rFonts w:ascii="Verdana" w:hAnsi="Verdana"/>
          <w:color w:val="212121"/>
          <w:spacing w:val="1"/>
          <w:w w:val="105"/>
        </w:rPr>
        <w:t xml:space="preserve"> </w:t>
      </w:r>
      <w:r w:rsidRPr="0038628B">
        <w:rPr>
          <w:rFonts w:ascii="Verdana" w:hAnsi="Verdana"/>
          <w:color w:val="212121"/>
          <w:spacing w:val="-2"/>
          <w:w w:val="105"/>
        </w:rPr>
        <w:t>raised:</w:t>
      </w:r>
    </w:p>
    <w:p w:rsidR="00FF7EEB" w:rsidRPr="0038628B">
      <w:pPr>
        <w:pStyle w:val="ListParagraph"/>
        <w:numPr>
          <w:ilvl w:val="0"/>
          <w:numId w:val="3"/>
        </w:numPr>
        <w:tabs>
          <w:tab w:val="left" w:pos="1461"/>
          <w:tab w:val="left" w:pos="1463"/>
        </w:tabs>
        <w:spacing w:before="44" w:line="276" w:lineRule="auto"/>
        <w:ind w:right="38"/>
        <w:rPr>
          <w:rFonts w:ascii="Verdana" w:hAnsi="Verdana"/>
        </w:rPr>
      </w:pPr>
      <w:r w:rsidRPr="0038628B">
        <w:rPr>
          <w:rFonts w:ascii="Verdana" w:hAnsi="Verdana"/>
          <w:color w:val="212121"/>
          <w:w w:val="105"/>
        </w:rPr>
        <w:t>The</w:t>
      </w:r>
      <w:r w:rsidRPr="0038628B">
        <w:rPr>
          <w:rFonts w:ascii="Verdana" w:hAnsi="Verdana"/>
          <w:color w:val="212121"/>
          <w:spacing w:val="80"/>
          <w:w w:val="105"/>
        </w:rPr>
        <w:t xml:space="preserve"> </w:t>
      </w:r>
      <w:r w:rsidRPr="0038628B">
        <w:rPr>
          <w:rFonts w:ascii="Verdana" w:hAnsi="Verdana"/>
          <w:color w:val="212121"/>
          <w:w w:val="105"/>
        </w:rPr>
        <w:t>diﬀerence</w:t>
      </w:r>
      <w:r w:rsidRPr="0038628B">
        <w:rPr>
          <w:rFonts w:ascii="Verdana" w:hAnsi="Verdana"/>
          <w:color w:val="212121"/>
          <w:spacing w:val="80"/>
          <w:w w:val="105"/>
        </w:rPr>
        <w:t xml:space="preserve"> </w:t>
      </w:r>
      <w:r w:rsidRPr="0038628B">
        <w:rPr>
          <w:rFonts w:ascii="Verdana" w:hAnsi="Verdana"/>
          <w:color w:val="212121"/>
          <w:w w:val="105"/>
        </w:rPr>
        <w:t>between</w:t>
      </w:r>
      <w:r w:rsidRPr="0038628B">
        <w:rPr>
          <w:rFonts w:ascii="Verdana" w:hAnsi="Verdana"/>
          <w:color w:val="212121"/>
          <w:spacing w:val="80"/>
          <w:w w:val="105"/>
        </w:rPr>
        <w:t xml:space="preserve"> </w:t>
      </w:r>
      <w:r w:rsidRPr="0038628B">
        <w:rPr>
          <w:rFonts w:ascii="Verdana" w:hAnsi="Verdana"/>
          <w:color w:val="212121"/>
          <w:w w:val="105"/>
        </w:rPr>
        <w:t>tokenised</w:t>
      </w:r>
      <w:r w:rsidRPr="0038628B">
        <w:rPr>
          <w:rFonts w:ascii="Verdana" w:hAnsi="Verdana"/>
          <w:color w:val="212121"/>
          <w:spacing w:val="80"/>
          <w:w w:val="105"/>
        </w:rPr>
        <w:t xml:space="preserve"> </w:t>
      </w:r>
      <w:r w:rsidRPr="0038628B">
        <w:rPr>
          <w:rFonts w:ascii="Verdana" w:hAnsi="Verdana"/>
          <w:color w:val="212121"/>
          <w:w w:val="105"/>
        </w:rPr>
        <w:t>deposit</w:t>
      </w:r>
      <w:r w:rsidRPr="0038628B">
        <w:rPr>
          <w:rFonts w:ascii="Verdana" w:hAnsi="Verdana"/>
          <w:color w:val="212121"/>
          <w:spacing w:val="80"/>
          <w:w w:val="105"/>
        </w:rPr>
        <w:t xml:space="preserve"> </w:t>
      </w:r>
      <w:r w:rsidRPr="0038628B">
        <w:rPr>
          <w:rFonts w:ascii="Verdana" w:hAnsi="Verdana"/>
          <w:color w:val="212121"/>
          <w:w w:val="105"/>
        </w:rPr>
        <w:t>and</w:t>
      </w:r>
      <w:r w:rsidRPr="0038628B">
        <w:rPr>
          <w:rFonts w:ascii="Verdana" w:hAnsi="Verdana"/>
          <w:color w:val="212121"/>
          <w:spacing w:val="80"/>
          <w:w w:val="105"/>
        </w:rPr>
        <w:t xml:space="preserve"> </w:t>
      </w:r>
      <w:r w:rsidRPr="0038628B">
        <w:rPr>
          <w:rFonts w:ascii="Verdana" w:hAnsi="Verdana"/>
          <w:color w:val="212121"/>
          <w:w w:val="105"/>
        </w:rPr>
        <w:t>stablecoin</w:t>
      </w:r>
      <w:r w:rsidRPr="0038628B">
        <w:rPr>
          <w:rFonts w:ascii="Verdana" w:hAnsi="Verdana"/>
          <w:color w:val="212121"/>
          <w:spacing w:val="80"/>
          <w:w w:val="105"/>
        </w:rPr>
        <w:t xml:space="preserve"> </w:t>
      </w:r>
      <w:r w:rsidRPr="0038628B">
        <w:rPr>
          <w:rFonts w:ascii="Verdana" w:hAnsi="Verdana"/>
          <w:color w:val="212121"/>
          <w:w w:val="105"/>
        </w:rPr>
        <w:t>and</w:t>
      </w:r>
      <w:r w:rsidRPr="0038628B">
        <w:rPr>
          <w:rFonts w:ascii="Verdana" w:hAnsi="Verdana"/>
          <w:color w:val="212121"/>
          <w:spacing w:val="80"/>
          <w:w w:val="105"/>
        </w:rPr>
        <w:t xml:space="preserve"> </w:t>
      </w:r>
      <w:r w:rsidRPr="0038628B">
        <w:rPr>
          <w:rFonts w:ascii="Verdana" w:hAnsi="Verdana"/>
          <w:color w:val="212121"/>
          <w:w w:val="105"/>
        </w:rPr>
        <w:t>the diﬀerent use cases of these</w:t>
      </w:r>
    </w:p>
    <w:p w:rsidR="00FF7EEB" w:rsidRPr="0038628B">
      <w:pPr>
        <w:pStyle w:val="ListParagraph"/>
        <w:numPr>
          <w:ilvl w:val="0"/>
          <w:numId w:val="3"/>
        </w:numPr>
        <w:tabs>
          <w:tab w:val="left" w:pos="1461"/>
        </w:tabs>
        <w:ind w:left="1461" w:hanging="358"/>
        <w:rPr>
          <w:rFonts w:ascii="Verdana" w:hAnsi="Verdana"/>
        </w:rPr>
      </w:pPr>
      <w:r w:rsidRPr="0038628B">
        <w:rPr>
          <w:rFonts w:ascii="Verdana" w:hAnsi="Verdana"/>
          <w:color w:val="212121"/>
          <w:w w:val="105"/>
        </w:rPr>
        <w:t>Potential</w:t>
      </w:r>
      <w:r w:rsidRPr="0038628B">
        <w:rPr>
          <w:rFonts w:ascii="Verdana" w:hAnsi="Verdana"/>
          <w:color w:val="212121"/>
          <w:spacing w:val="-3"/>
          <w:w w:val="105"/>
        </w:rPr>
        <w:t xml:space="preserve"> </w:t>
      </w:r>
      <w:r w:rsidRPr="0038628B">
        <w:rPr>
          <w:rFonts w:ascii="Verdana" w:hAnsi="Verdana"/>
          <w:color w:val="212121"/>
          <w:w w:val="105"/>
        </w:rPr>
        <w:t>economic</w:t>
      </w:r>
      <w:r w:rsidRPr="0038628B">
        <w:rPr>
          <w:rFonts w:ascii="Verdana" w:hAnsi="Verdana"/>
          <w:color w:val="212121"/>
          <w:spacing w:val="-2"/>
          <w:w w:val="105"/>
        </w:rPr>
        <w:t xml:space="preserve"> </w:t>
      </w:r>
      <w:r w:rsidRPr="0038628B">
        <w:rPr>
          <w:rFonts w:ascii="Verdana" w:hAnsi="Verdana"/>
          <w:color w:val="212121"/>
          <w:w w:val="105"/>
        </w:rPr>
        <w:t>beneﬁts</w:t>
      </w:r>
      <w:r w:rsidRPr="0038628B">
        <w:rPr>
          <w:rFonts w:ascii="Verdana" w:hAnsi="Verdana"/>
          <w:color w:val="212121"/>
          <w:spacing w:val="-1"/>
          <w:w w:val="105"/>
        </w:rPr>
        <w:t xml:space="preserve"> </w:t>
      </w:r>
      <w:r w:rsidRPr="0038628B">
        <w:rPr>
          <w:rFonts w:ascii="Verdana" w:hAnsi="Verdana"/>
          <w:color w:val="212121"/>
          <w:w w:val="105"/>
        </w:rPr>
        <w:t>of</w:t>
      </w:r>
      <w:r w:rsidRPr="0038628B">
        <w:rPr>
          <w:rFonts w:ascii="Verdana" w:hAnsi="Verdana"/>
          <w:color w:val="212121"/>
          <w:spacing w:val="-1"/>
          <w:w w:val="105"/>
        </w:rPr>
        <w:t xml:space="preserve"> </w:t>
      </w:r>
      <w:r w:rsidRPr="0038628B">
        <w:rPr>
          <w:rFonts w:ascii="Verdana" w:hAnsi="Verdana"/>
          <w:color w:val="212121"/>
          <w:w w:val="105"/>
        </w:rPr>
        <w:t>GBP</w:t>
      </w:r>
      <w:r w:rsidRPr="0038628B">
        <w:rPr>
          <w:rFonts w:ascii="Verdana" w:hAnsi="Verdana"/>
          <w:color w:val="212121"/>
          <w:spacing w:val="-1"/>
          <w:w w:val="105"/>
        </w:rPr>
        <w:t xml:space="preserve"> </w:t>
      </w:r>
      <w:r w:rsidRPr="0038628B">
        <w:rPr>
          <w:rFonts w:ascii="Verdana" w:hAnsi="Verdana"/>
          <w:color w:val="212121"/>
          <w:w w:val="105"/>
        </w:rPr>
        <w:t>stablecoin</w:t>
      </w:r>
      <w:r w:rsidRPr="0038628B">
        <w:rPr>
          <w:rFonts w:ascii="Verdana" w:hAnsi="Verdana"/>
          <w:color w:val="212121"/>
          <w:spacing w:val="-2"/>
          <w:w w:val="105"/>
        </w:rPr>
        <w:t xml:space="preserve"> </w:t>
      </w:r>
      <w:r w:rsidRPr="0038628B">
        <w:rPr>
          <w:rFonts w:ascii="Verdana" w:hAnsi="Verdana"/>
          <w:color w:val="212121"/>
          <w:w w:val="105"/>
        </w:rPr>
        <w:t>adoption</w:t>
      </w:r>
      <w:r w:rsidRPr="0038628B">
        <w:rPr>
          <w:rFonts w:ascii="Verdana" w:hAnsi="Verdana"/>
          <w:color w:val="212121"/>
          <w:spacing w:val="-3"/>
          <w:w w:val="105"/>
        </w:rPr>
        <w:t xml:space="preserve"> </w:t>
      </w:r>
      <w:r w:rsidRPr="0038628B">
        <w:rPr>
          <w:rFonts w:ascii="Verdana" w:hAnsi="Verdana"/>
          <w:color w:val="212121"/>
          <w:w w:val="105"/>
        </w:rPr>
        <w:t>in</w:t>
      </w:r>
      <w:r w:rsidRPr="0038628B">
        <w:rPr>
          <w:rFonts w:ascii="Verdana" w:hAnsi="Verdana"/>
          <w:color w:val="212121"/>
          <w:spacing w:val="-2"/>
          <w:w w:val="105"/>
        </w:rPr>
        <w:t xml:space="preserve"> </w:t>
      </w:r>
      <w:r w:rsidRPr="0038628B">
        <w:rPr>
          <w:rFonts w:ascii="Verdana" w:hAnsi="Verdana"/>
          <w:color w:val="212121"/>
          <w:w w:val="105"/>
        </w:rPr>
        <w:t>the</w:t>
      </w:r>
      <w:r w:rsidRPr="0038628B">
        <w:rPr>
          <w:rFonts w:ascii="Verdana" w:hAnsi="Verdana"/>
          <w:color w:val="212121"/>
          <w:spacing w:val="-2"/>
          <w:w w:val="105"/>
        </w:rPr>
        <w:t xml:space="preserve"> </w:t>
      </w:r>
      <w:r w:rsidRPr="0038628B">
        <w:rPr>
          <w:rFonts w:ascii="Verdana" w:hAnsi="Verdana"/>
          <w:color w:val="212121"/>
          <w:spacing w:val="-5"/>
          <w:w w:val="105"/>
        </w:rPr>
        <w:t>UK</w:t>
      </w:r>
    </w:p>
    <w:p w:rsidR="00FF7EEB" w:rsidRPr="0038628B">
      <w:pPr>
        <w:pStyle w:val="ListParagraph"/>
        <w:numPr>
          <w:ilvl w:val="0"/>
          <w:numId w:val="3"/>
        </w:numPr>
        <w:tabs>
          <w:tab w:val="left" w:pos="1461"/>
          <w:tab w:val="left" w:pos="1463"/>
        </w:tabs>
        <w:spacing w:before="45" w:line="276" w:lineRule="auto"/>
        <w:ind w:right="49"/>
        <w:rPr>
          <w:rFonts w:ascii="Verdana" w:hAnsi="Verdana"/>
        </w:rPr>
      </w:pPr>
      <w:r w:rsidRPr="0038628B">
        <w:rPr>
          <w:rFonts w:ascii="Verdana" w:hAnsi="Verdana"/>
          <w:color w:val="212121"/>
          <w:w w:val="105"/>
        </w:rPr>
        <w:t>The Bank of England</w:t>
      </w:r>
      <w:r w:rsidRPr="0038628B">
        <w:rPr>
          <w:rFonts w:ascii="Verdana" w:hAnsi="Verdana"/>
          <w:color w:val="212121"/>
          <w:spacing w:val="80"/>
          <w:w w:val="105"/>
        </w:rPr>
        <w:t xml:space="preserve"> </w:t>
      </w:r>
      <w:r w:rsidRPr="0038628B">
        <w:rPr>
          <w:rFonts w:ascii="Verdana" w:hAnsi="Verdana"/>
          <w:color w:val="212121"/>
          <w:w w:val="105"/>
        </w:rPr>
        <w:t>approach to issuance of stablecoins by regulated commercial banks</w:t>
      </w:r>
    </w:p>
    <w:p w:rsidR="00FF7EEB" w:rsidRPr="0038628B">
      <w:pPr>
        <w:pStyle w:val="ListParagraph"/>
        <w:numPr>
          <w:ilvl w:val="0"/>
          <w:numId w:val="3"/>
        </w:numPr>
        <w:tabs>
          <w:tab w:val="left" w:pos="1461"/>
        </w:tabs>
        <w:ind w:left="1461" w:hanging="358"/>
        <w:rPr>
          <w:rFonts w:ascii="Verdana" w:hAnsi="Verdana"/>
        </w:rPr>
      </w:pPr>
      <w:r w:rsidRPr="0038628B">
        <w:rPr>
          <w:rFonts w:ascii="Verdana" w:hAnsi="Verdana"/>
          <w:w w:val="105"/>
        </w:rPr>
        <w:t>Cost of Bank of England’s refusal</w:t>
      </w:r>
      <w:r w:rsidRPr="0038628B">
        <w:rPr>
          <w:rFonts w:ascii="Verdana" w:hAnsi="Verdana"/>
          <w:spacing w:val="-1"/>
          <w:w w:val="105"/>
        </w:rPr>
        <w:t xml:space="preserve"> </w:t>
      </w:r>
      <w:r w:rsidRPr="0038628B">
        <w:rPr>
          <w:rFonts w:ascii="Verdana" w:hAnsi="Verdana"/>
          <w:w w:val="105"/>
        </w:rPr>
        <w:t>to</w:t>
      </w:r>
      <w:r w:rsidRPr="0038628B">
        <w:rPr>
          <w:rFonts w:ascii="Verdana" w:hAnsi="Verdana"/>
          <w:spacing w:val="1"/>
          <w:w w:val="105"/>
        </w:rPr>
        <w:t xml:space="preserve"> </w:t>
      </w:r>
      <w:r w:rsidRPr="0038628B">
        <w:rPr>
          <w:rFonts w:ascii="Verdana" w:hAnsi="Verdana"/>
          <w:w w:val="105"/>
        </w:rPr>
        <w:t>pay interest on</w:t>
      </w:r>
      <w:r w:rsidRPr="0038628B">
        <w:rPr>
          <w:rFonts w:ascii="Verdana" w:hAnsi="Verdana"/>
          <w:spacing w:val="-1"/>
          <w:w w:val="105"/>
        </w:rPr>
        <w:t xml:space="preserve"> </w:t>
      </w:r>
      <w:r w:rsidRPr="0038628B">
        <w:rPr>
          <w:rFonts w:ascii="Verdana" w:hAnsi="Verdana"/>
          <w:w w:val="105"/>
        </w:rPr>
        <w:t>stablecoin</w:t>
      </w:r>
      <w:r w:rsidRPr="0038628B">
        <w:rPr>
          <w:rFonts w:ascii="Verdana" w:hAnsi="Verdana"/>
          <w:spacing w:val="-1"/>
          <w:w w:val="105"/>
        </w:rPr>
        <w:t xml:space="preserve"> </w:t>
      </w:r>
      <w:r w:rsidRPr="0038628B">
        <w:rPr>
          <w:rFonts w:ascii="Verdana" w:hAnsi="Verdana"/>
          <w:spacing w:val="-2"/>
          <w:w w:val="105"/>
        </w:rPr>
        <w:t>reserves</w:t>
      </w:r>
    </w:p>
    <w:p w:rsidR="00FF7EEB" w:rsidRPr="0038628B">
      <w:pPr>
        <w:pStyle w:val="ListParagraph"/>
        <w:jc w:val="left"/>
        <w:rPr>
          <w:rFonts w:ascii="Verdana" w:hAnsi="Verdana"/>
        </w:rPr>
        <w:sectPr>
          <w:footerReference w:type="default" r:id="rId4"/>
          <w:type w:val="continuous"/>
          <w:pgSz w:w="11920" w:h="16840"/>
          <w:pgMar w:top="1360" w:right="1417" w:bottom="980" w:left="1417" w:header="0" w:footer="799" w:gutter="0"/>
          <w:pgNumType w:start="1"/>
          <w:cols w:space="720"/>
        </w:sectPr>
      </w:pPr>
    </w:p>
    <w:p w:rsidR="00FF7EEB" w:rsidRPr="0038628B">
      <w:pPr>
        <w:pStyle w:val="Heading3"/>
        <w:numPr>
          <w:ilvl w:val="0"/>
          <w:numId w:val="2"/>
        </w:numPr>
        <w:tabs>
          <w:tab w:val="left" w:pos="742"/>
        </w:tabs>
        <w:ind w:left="742" w:hanging="719"/>
        <w:rPr>
          <w:rFonts w:ascii="Verdana" w:hAnsi="Verdana"/>
          <w:color w:val="212121"/>
        </w:rPr>
      </w:pPr>
      <w:r w:rsidRPr="0038628B">
        <w:rPr>
          <w:rFonts w:ascii="Verdana" w:hAnsi="Verdana"/>
          <w:color w:val="212121"/>
        </w:rPr>
        <w:t>Tokenised</w:t>
      </w:r>
      <w:r w:rsidRPr="0038628B">
        <w:rPr>
          <w:rFonts w:ascii="Verdana" w:hAnsi="Verdana"/>
          <w:color w:val="212121"/>
        </w:rPr>
        <w:t xml:space="preserve"> deposits and </w:t>
      </w:r>
      <w:r w:rsidRPr="0038628B">
        <w:rPr>
          <w:rFonts w:ascii="Verdana" w:hAnsi="Verdana"/>
          <w:color w:val="212121"/>
          <w:spacing w:val="-2"/>
        </w:rPr>
        <w:t>stablecoins</w:t>
      </w:r>
    </w:p>
    <w:p w:rsidR="00FF7EEB" w:rsidRPr="0038628B">
      <w:pPr>
        <w:pStyle w:val="BodyText"/>
        <w:spacing w:before="20"/>
        <w:rPr>
          <w:rFonts w:ascii="Verdana" w:hAnsi="Verdana"/>
          <w:b/>
          <w:sz w:val="24"/>
        </w:rPr>
      </w:pPr>
    </w:p>
    <w:p w:rsidR="00FF7EEB" w:rsidRPr="0038628B">
      <w:pPr>
        <w:pStyle w:val="BodyText"/>
        <w:ind w:left="23"/>
        <w:jc w:val="both"/>
        <w:rPr>
          <w:rFonts w:ascii="Verdana" w:hAnsi="Verdana"/>
        </w:rPr>
      </w:pPr>
      <w:r w:rsidRPr="0038628B">
        <w:rPr>
          <w:rFonts w:ascii="Verdana" w:hAnsi="Verdana"/>
          <w:color w:val="090909"/>
          <w:w w:val="105"/>
          <w:u w:val="thick" w:color="090909"/>
        </w:rPr>
        <w:t>Key</w:t>
      </w:r>
      <w:r w:rsidRPr="0038628B">
        <w:rPr>
          <w:rFonts w:ascii="Verdana" w:hAnsi="Verdana"/>
          <w:color w:val="090909"/>
          <w:spacing w:val="1"/>
          <w:w w:val="105"/>
          <w:u w:val="thick" w:color="090909"/>
        </w:rPr>
        <w:t xml:space="preserve"> </w:t>
      </w:r>
      <w:r w:rsidRPr="0038628B">
        <w:rPr>
          <w:rFonts w:ascii="Verdana" w:hAnsi="Verdana"/>
          <w:color w:val="090909"/>
          <w:spacing w:val="-2"/>
          <w:w w:val="105"/>
          <w:u w:val="thick" w:color="090909"/>
        </w:rPr>
        <w:t>diﬀerences:</w:t>
      </w:r>
    </w:p>
    <w:p w:rsidR="00FF7EEB" w:rsidRPr="0038628B">
      <w:pPr>
        <w:pStyle w:val="BodyText"/>
        <w:spacing w:before="47"/>
        <w:rPr>
          <w:rFonts w:ascii="Verdana" w:hAnsi="Verdana"/>
        </w:rPr>
      </w:pPr>
    </w:p>
    <w:p w:rsidR="00FF7EEB" w:rsidRPr="0038628B">
      <w:pPr>
        <w:pStyle w:val="Heading4"/>
        <w:rPr>
          <w:rFonts w:ascii="Verdana" w:hAnsi="Verdana"/>
        </w:rPr>
      </w:pPr>
      <w:r w:rsidRPr="0038628B">
        <w:rPr>
          <w:rFonts w:ascii="Verdana" w:hAnsi="Verdana"/>
          <w:color w:val="090909"/>
        </w:rPr>
        <w:t>Blockchain</w:t>
      </w:r>
      <w:r w:rsidRPr="0038628B">
        <w:rPr>
          <w:rFonts w:ascii="Verdana" w:hAnsi="Verdana"/>
          <w:color w:val="090909"/>
          <w:spacing w:val="-9"/>
        </w:rPr>
        <w:t xml:space="preserve"> </w:t>
      </w:r>
      <w:r w:rsidRPr="0038628B">
        <w:rPr>
          <w:rFonts w:ascii="Verdana" w:hAnsi="Verdana"/>
          <w:color w:val="090909"/>
        </w:rPr>
        <w:t>Architecture</w:t>
      </w:r>
      <w:r w:rsidRPr="0038628B">
        <w:rPr>
          <w:rFonts w:ascii="Verdana" w:hAnsi="Verdana"/>
          <w:color w:val="090909"/>
          <w:spacing w:val="-8"/>
        </w:rPr>
        <w:t xml:space="preserve"> </w:t>
      </w:r>
      <w:r w:rsidRPr="0038628B">
        <w:rPr>
          <w:rFonts w:ascii="Verdana" w:hAnsi="Verdana"/>
          <w:color w:val="090909"/>
        </w:rPr>
        <w:t>and</w:t>
      </w:r>
      <w:r w:rsidRPr="0038628B">
        <w:rPr>
          <w:rFonts w:ascii="Verdana" w:hAnsi="Verdana"/>
          <w:color w:val="090909"/>
          <w:spacing w:val="-8"/>
        </w:rPr>
        <w:t xml:space="preserve"> </w:t>
      </w:r>
      <w:r w:rsidRPr="0038628B">
        <w:rPr>
          <w:rFonts w:ascii="Verdana" w:hAnsi="Verdana"/>
          <w:color w:val="090909"/>
          <w:spacing w:val="-2"/>
        </w:rPr>
        <w:t>transferability</w:t>
      </w:r>
    </w:p>
    <w:p w:rsidR="00FF7EEB" w:rsidRPr="0038628B">
      <w:pPr>
        <w:pStyle w:val="BodyText"/>
        <w:spacing w:before="24" w:line="259" w:lineRule="auto"/>
        <w:ind w:left="23" w:right="37"/>
        <w:jc w:val="both"/>
        <w:rPr>
          <w:rFonts w:ascii="Verdana" w:hAnsi="Verdana"/>
        </w:rPr>
      </w:pPr>
      <w:r w:rsidRPr="0038628B">
        <w:rPr>
          <w:rFonts w:ascii="Verdana" w:hAnsi="Verdana"/>
          <w:color w:val="090909"/>
          <w:w w:val="110"/>
        </w:rPr>
        <w:t>Tokenized</w:t>
      </w:r>
      <w:r w:rsidRPr="0038628B">
        <w:rPr>
          <w:rFonts w:ascii="Verdana" w:hAnsi="Verdana"/>
          <w:color w:val="090909"/>
          <w:spacing w:val="-11"/>
          <w:w w:val="110"/>
        </w:rPr>
        <w:t xml:space="preserve"> </w:t>
      </w:r>
      <w:r w:rsidRPr="0038628B">
        <w:rPr>
          <w:rFonts w:ascii="Verdana" w:hAnsi="Verdana"/>
          <w:color w:val="090909"/>
          <w:w w:val="110"/>
        </w:rPr>
        <w:t>deposits</w:t>
      </w:r>
      <w:r w:rsidRPr="0038628B">
        <w:rPr>
          <w:rFonts w:ascii="Verdana" w:hAnsi="Verdana"/>
          <w:color w:val="090909"/>
          <w:spacing w:val="-9"/>
          <w:w w:val="110"/>
        </w:rPr>
        <w:t xml:space="preserve"> </w:t>
      </w:r>
      <w:r w:rsidRPr="0038628B">
        <w:rPr>
          <w:rFonts w:ascii="Verdana" w:hAnsi="Verdana"/>
          <w:color w:val="090909"/>
          <w:w w:val="110"/>
        </w:rPr>
        <w:t>often</w:t>
      </w:r>
      <w:r w:rsidRPr="0038628B">
        <w:rPr>
          <w:rFonts w:ascii="Verdana" w:hAnsi="Verdana"/>
          <w:color w:val="090909"/>
          <w:spacing w:val="-9"/>
          <w:w w:val="110"/>
        </w:rPr>
        <w:t xml:space="preserve"> </w:t>
      </w:r>
      <w:r w:rsidRPr="0038628B">
        <w:rPr>
          <w:rFonts w:ascii="Verdana" w:hAnsi="Verdana"/>
          <w:color w:val="090909"/>
          <w:w w:val="110"/>
        </w:rPr>
        <w:t>operate</w:t>
      </w:r>
      <w:r w:rsidRPr="0038628B">
        <w:rPr>
          <w:rFonts w:ascii="Verdana" w:hAnsi="Verdana"/>
          <w:color w:val="090909"/>
          <w:spacing w:val="-9"/>
          <w:w w:val="110"/>
        </w:rPr>
        <w:t xml:space="preserve"> </w:t>
      </w:r>
      <w:r w:rsidRPr="0038628B">
        <w:rPr>
          <w:rFonts w:ascii="Verdana" w:hAnsi="Verdana"/>
          <w:color w:val="090909"/>
          <w:w w:val="110"/>
        </w:rPr>
        <w:t>on</w:t>
      </w:r>
      <w:r w:rsidRPr="0038628B">
        <w:rPr>
          <w:rFonts w:ascii="Verdana" w:hAnsi="Verdana"/>
          <w:color w:val="090909"/>
          <w:spacing w:val="-9"/>
          <w:w w:val="110"/>
        </w:rPr>
        <w:t xml:space="preserve"> </w:t>
      </w:r>
      <w:r w:rsidRPr="0038628B">
        <w:rPr>
          <w:rFonts w:ascii="Verdana" w:hAnsi="Verdana"/>
          <w:color w:val="090909"/>
          <w:w w:val="110"/>
        </w:rPr>
        <w:t>privately</w:t>
      </w:r>
      <w:r w:rsidRPr="0038628B">
        <w:rPr>
          <w:rFonts w:ascii="Verdana" w:hAnsi="Verdana"/>
          <w:color w:val="090909"/>
          <w:spacing w:val="-9"/>
          <w:w w:val="110"/>
        </w:rPr>
        <w:t xml:space="preserve"> </w:t>
      </w:r>
      <w:r w:rsidRPr="0038628B">
        <w:rPr>
          <w:rFonts w:ascii="Verdana" w:hAnsi="Verdana"/>
          <w:color w:val="090909"/>
          <w:w w:val="110"/>
        </w:rPr>
        <w:t>run</w:t>
      </w:r>
      <w:r w:rsidRPr="0038628B">
        <w:rPr>
          <w:rFonts w:ascii="Verdana" w:hAnsi="Verdana"/>
          <w:color w:val="090909"/>
          <w:spacing w:val="-9"/>
          <w:w w:val="110"/>
        </w:rPr>
        <w:t xml:space="preserve"> </w:t>
      </w:r>
      <w:r w:rsidRPr="0038628B">
        <w:rPr>
          <w:rFonts w:ascii="Verdana" w:hAnsi="Verdana"/>
          <w:color w:val="090909"/>
          <w:w w:val="110"/>
        </w:rPr>
        <w:t>permissioned</w:t>
      </w:r>
      <w:r w:rsidRPr="0038628B">
        <w:rPr>
          <w:rFonts w:ascii="Verdana" w:hAnsi="Verdana"/>
          <w:color w:val="090909"/>
          <w:spacing w:val="-9"/>
          <w:w w:val="110"/>
        </w:rPr>
        <w:t xml:space="preserve"> </w:t>
      </w:r>
      <w:r w:rsidRPr="0038628B">
        <w:rPr>
          <w:rFonts w:ascii="Verdana" w:hAnsi="Verdana"/>
          <w:color w:val="090909"/>
          <w:w w:val="110"/>
        </w:rPr>
        <w:t>ledgers</w:t>
      </w:r>
      <w:r w:rsidRPr="0038628B">
        <w:rPr>
          <w:rFonts w:ascii="Verdana" w:hAnsi="Verdana"/>
          <w:color w:val="090909"/>
          <w:spacing w:val="-9"/>
          <w:w w:val="110"/>
        </w:rPr>
        <w:t xml:space="preserve"> </w:t>
      </w:r>
      <w:r w:rsidRPr="0038628B">
        <w:rPr>
          <w:rFonts w:ascii="Verdana" w:hAnsi="Verdana"/>
          <w:color w:val="090909"/>
          <w:w w:val="110"/>
        </w:rPr>
        <w:t>tailored</w:t>
      </w:r>
      <w:r w:rsidRPr="0038628B">
        <w:rPr>
          <w:rFonts w:ascii="Verdana" w:hAnsi="Verdana"/>
          <w:color w:val="090909"/>
          <w:spacing w:val="-16"/>
          <w:w w:val="110"/>
        </w:rPr>
        <w:t xml:space="preserve"> </w:t>
      </w:r>
      <w:r w:rsidRPr="0038628B">
        <w:rPr>
          <w:rFonts w:ascii="Verdana" w:hAnsi="Verdana"/>
          <w:color w:val="090909"/>
          <w:w w:val="110"/>
        </w:rPr>
        <w:t xml:space="preserve">for bank security and often </w:t>
      </w:r>
      <w:r w:rsidRPr="0038628B">
        <w:rPr>
          <w:rFonts w:ascii="Verdana" w:hAnsi="Verdana"/>
          <w:color w:val="090909"/>
          <w:w w:val="110"/>
        </w:rPr>
        <w:t>forming</w:t>
      </w:r>
      <w:r w:rsidRPr="0038628B">
        <w:rPr>
          <w:rFonts w:ascii="Verdana" w:hAnsi="Verdana"/>
          <w:color w:val="090909"/>
          <w:w w:val="110"/>
        </w:rPr>
        <w:t xml:space="preserve"> part of</w:t>
      </w:r>
      <w:r w:rsidRPr="0038628B">
        <w:rPr>
          <w:rFonts w:ascii="Verdana" w:hAnsi="Verdana"/>
          <w:color w:val="090909"/>
          <w:w w:val="110"/>
        </w:rPr>
        <w:t xml:space="preserve"> banks' own treasury management infrastructure.</w:t>
      </w:r>
      <w:r w:rsidRPr="0038628B">
        <w:rPr>
          <w:rFonts w:ascii="Verdana" w:hAnsi="Verdana"/>
          <w:color w:val="090909"/>
          <w:spacing w:val="-4"/>
          <w:w w:val="110"/>
        </w:rPr>
        <w:t xml:space="preserve"> </w:t>
      </w:r>
      <w:r w:rsidRPr="0038628B">
        <w:rPr>
          <w:rFonts w:ascii="Verdana" w:hAnsi="Verdana"/>
          <w:color w:val="090909"/>
          <w:w w:val="110"/>
        </w:rPr>
        <w:t>In</w:t>
      </w:r>
      <w:r w:rsidRPr="0038628B">
        <w:rPr>
          <w:rFonts w:ascii="Verdana" w:hAnsi="Verdana"/>
          <w:color w:val="090909"/>
          <w:spacing w:val="-4"/>
          <w:w w:val="110"/>
        </w:rPr>
        <w:t xml:space="preserve"> </w:t>
      </w:r>
      <w:r w:rsidRPr="0038628B">
        <w:rPr>
          <w:rFonts w:ascii="Verdana" w:hAnsi="Verdana"/>
          <w:color w:val="090909"/>
          <w:w w:val="110"/>
        </w:rPr>
        <w:t>eﬀect,</w:t>
      </w:r>
      <w:r w:rsidRPr="0038628B">
        <w:rPr>
          <w:rFonts w:ascii="Verdana" w:hAnsi="Verdana"/>
          <w:color w:val="090909"/>
          <w:spacing w:val="-4"/>
          <w:w w:val="110"/>
        </w:rPr>
        <w:t xml:space="preserve"> </w:t>
      </w:r>
      <w:r w:rsidRPr="0038628B">
        <w:rPr>
          <w:rFonts w:ascii="Verdana" w:hAnsi="Verdana"/>
          <w:color w:val="090909"/>
          <w:w w:val="110"/>
        </w:rPr>
        <w:t>transactions</w:t>
      </w:r>
      <w:r w:rsidRPr="0038628B">
        <w:rPr>
          <w:rFonts w:ascii="Verdana" w:hAnsi="Verdana"/>
          <w:color w:val="090909"/>
          <w:spacing w:val="-4"/>
          <w:w w:val="110"/>
        </w:rPr>
        <w:t xml:space="preserve"> </w:t>
      </w:r>
      <w:r w:rsidRPr="0038628B">
        <w:rPr>
          <w:rFonts w:ascii="Verdana" w:hAnsi="Verdana"/>
          <w:color w:val="090909"/>
          <w:w w:val="110"/>
        </w:rPr>
        <w:t>are</w:t>
      </w:r>
      <w:r w:rsidRPr="0038628B">
        <w:rPr>
          <w:rFonts w:ascii="Verdana" w:hAnsi="Verdana"/>
          <w:color w:val="090909"/>
          <w:spacing w:val="-14"/>
          <w:w w:val="110"/>
        </w:rPr>
        <w:t xml:space="preserve"> </w:t>
      </w:r>
      <w:r w:rsidRPr="0038628B">
        <w:rPr>
          <w:rFonts w:ascii="Verdana" w:hAnsi="Verdana"/>
          <w:color w:val="090909"/>
          <w:w w:val="110"/>
        </w:rPr>
        <w:t>made</w:t>
      </w:r>
      <w:r w:rsidRPr="0038628B">
        <w:rPr>
          <w:rFonts w:ascii="Verdana" w:hAnsi="Verdana"/>
          <w:color w:val="090909"/>
          <w:spacing w:val="-14"/>
          <w:w w:val="110"/>
        </w:rPr>
        <w:t xml:space="preserve"> </w:t>
      </w:r>
      <w:r w:rsidRPr="0038628B">
        <w:rPr>
          <w:rFonts w:ascii="Verdana" w:hAnsi="Verdana"/>
          <w:color w:val="090909"/>
          <w:w w:val="110"/>
        </w:rPr>
        <w:t>by</w:t>
      </w:r>
      <w:r w:rsidRPr="0038628B">
        <w:rPr>
          <w:rFonts w:ascii="Verdana" w:hAnsi="Verdana"/>
          <w:color w:val="090909"/>
          <w:spacing w:val="-14"/>
          <w:w w:val="110"/>
        </w:rPr>
        <w:t xml:space="preserve"> </w:t>
      </w:r>
      <w:r w:rsidRPr="0038628B">
        <w:rPr>
          <w:rFonts w:ascii="Verdana" w:hAnsi="Verdana"/>
          <w:color w:val="090909"/>
          <w:w w:val="110"/>
        </w:rPr>
        <w:t>or</w:t>
      </w:r>
      <w:r w:rsidRPr="0038628B">
        <w:rPr>
          <w:rFonts w:ascii="Verdana" w:hAnsi="Verdana"/>
          <w:color w:val="090909"/>
          <w:spacing w:val="-14"/>
          <w:w w:val="110"/>
        </w:rPr>
        <w:t xml:space="preserve"> </w:t>
      </w:r>
      <w:r w:rsidRPr="0038628B">
        <w:rPr>
          <w:rFonts w:ascii="Verdana" w:hAnsi="Verdana"/>
          <w:color w:val="090909"/>
          <w:w w:val="110"/>
        </w:rPr>
        <w:t>between</w:t>
      </w:r>
      <w:r w:rsidRPr="0038628B">
        <w:rPr>
          <w:rFonts w:ascii="Verdana" w:hAnsi="Verdana"/>
          <w:color w:val="090909"/>
          <w:spacing w:val="-14"/>
          <w:w w:val="110"/>
        </w:rPr>
        <w:t xml:space="preserve"> </w:t>
      </w:r>
      <w:r w:rsidRPr="0038628B">
        <w:rPr>
          <w:rFonts w:ascii="Verdana" w:hAnsi="Verdana"/>
          <w:color w:val="090909"/>
          <w:w w:val="110"/>
        </w:rPr>
        <w:t>members</w:t>
      </w:r>
      <w:r w:rsidRPr="0038628B">
        <w:rPr>
          <w:rFonts w:ascii="Verdana" w:hAnsi="Verdana"/>
          <w:color w:val="090909"/>
          <w:spacing w:val="-14"/>
          <w:w w:val="110"/>
        </w:rPr>
        <w:t xml:space="preserve"> </w:t>
      </w:r>
      <w:r w:rsidRPr="0038628B">
        <w:rPr>
          <w:rFonts w:ascii="Verdana" w:hAnsi="Verdana"/>
          <w:color w:val="090909"/>
          <w:w w:val="110"/>
        </w:rPr>
        <w:t>of</w:t>
      </w:r>
      <w:r w:rsidRPr="0038628B">
        <w:rPr>
          <w:rFonts w:ascii="Verdana" w:hAnsi="Verdana"/>
          <w:color w:val="090909"/>
          <w:spacing w:val="-14"/>
          <w:w w:val="110"/>
        </w:rPr>
        <w:t xml:space="preserve"> </w:t>
      </w:r>
      <w:r w:rsidRPr="0038628B">
        <w:rPr>
          <w:rFonts w:ascii="Verdana" w:hAnsi="Verdana"/>
          <w:color w:val="090909"/>
          <w:w w:val="110"/>
        </w:rPr>
        <w:t>the</w:t>
      </w:r>
      <w:r w:rsidRPr="0038628B">
        <w:rPr>
          <w:rFonts w:ascii="Verdana" w:hAnsi="Verdana"/>
          <w:color w:val="090909"/>
          <w:spacing w:val="-14"/>
          <w:w w:val="110"/>
        </w:rPr>
        <w:t xml:space="preserve"> </w:t>
      </w:r>
      <w:r w:rsidRPr="0038628B">
        <w:rPr>
          <w:rFonts w:ascii="Verdana" w:hAnsi="Verdana"/>
          <w:color w:val="090909"/>
          <w:w w:val="110"/>
        </w:rPr>
        <w:t xml:space="preserve">same </w:t>
      </w:r>
      <w:r w:rsidRPr="0038628B">
        <w:rPr>
          <w:rFonts w:ascii="Verdana" w:hAnsi="Verdana"/>
          <w:color w:val="090909"/>
        </w:rPr>
        <w:t>private</w:t>
      </w:r>
      <w:r w:rsidRPr="0038628B">
        <w:rPr>
          <w:rFonts w:ascii="Verdana" w:hAnsi="Verdana"/>
          <w:color w:val="090909"/>
          <w:spacing w:val="40"/>
        </w:rPr>
        <w:t xml:space="preserve"> </w:t>
      </w:r>
      <w:r w:rsidRPr="0038628B">
        <w:rPr>
          <w:rFonts w:ascii="Verdana" w:hAnsi="Verdana"/>
          <w:color w:val="090909"/>
        </w:rPr>
        <w:t>blockchain</w:t>
      </w:r>
      <w:r w:rsidRPr="0038628B">
        <w:rPr>
          <w:rFonts w:ascii="Verdana" w:hAnsi="Verdana"/>
          <w:color w:val="090909"/>
          <w:spacing w:val="37"/>
        </w:rPr>
        <w:t xml:space="preserve"> </w:t>
      </w:r>
      <w:r w:rsidRPr="0038628B">
        <w:rPr>
          <w:rFonts w:ascii="Verdana" w:hAnsi="Verdana"/>
          <w:color w:val="090909"/>
        </w:rPr>
        <w:t>-</w:t>
      </w:r>
      <w:r w:rsidRPr="0038628B">
        <w:rPr>
          <w:rFonts w:ascii="Verdana" w:hAnsi="Verdana"/>
          <w:color w:val="090909"/>
          <w:spacing w:val="37"/>
        </w:rPr>
        <w:t xml:space="preserve"> </w:t>
      </w:r>
      <w:r w:rsidRPr="0038628B">
        <w:rPr>
          <w:rFonts w:ascii="Verdana" w:hAnsi="Verdana"/>
          <w:color w:val="090909"/>
        </w:rPr>
        <w:t>generally</w:t>
      </w:r>
      <w:r w:rsidRPr="0038628B">
        <w:rPr>
          <w:rFonts w:ascii="Verdana" w:hAnsi="Verdana"/>
          <w:color w:val="090909"/>
          <w:spacing w:val="37"/>
        </w:rPr>
        <w:t xml:space="preserve"> </w:t>
      </w:r>
      <w:r w:rsidRPr="0038628B">
        <w:rPr>
          <w:rFonts w:ascii="Verdana" w:hAnsi="Verdana"/>
          <w:color w:val="090909"/>
        </w:rPr>
        <w:t>banks.</w:t>
      </w:r>
      <w:r w:rsidRPr="0038628B">
        <w:rPr>
          <w:rFonts w:ascii="Verdana" w:hAnsi="Verdana"/>
          <w:color w:val="090909"/>
          <w:spacing w:val="37"/>
        </w:rPr>
        <w:t xml:space="preserve"> </w:t>
      </w:r>
      <w:r w:rsidRPr="0038628B">
        <w:rPr>
          <w:rFonts w:ascii="Verdana" w:hAnsi="Verdana"/>
          <w:color w:val="090909"/>
        </w:rPr>
        <w:t>A</w:t>
      </w:r>
      <w:r w:rsidRPr="0038628B">
        <w:rPr>
          <w:rFonts w:ascii="Verdana" w:hAnsi="Verdana"/>
          <w:color w:val="090909"/>
          <w:spacing w:val="37"/>
        </w:rPr>
        <w:t xml:space="preserve"> </w:t>
      </w:r>
      <w:r w:rsidRPr="0038628B">
        <w:rPr>
          <w:rFonts w:ascii="Verdana" w:hAnsi="Verdana"/>
          <w:color w:val="090909"/>
        </w:rPr>
        <w:t>private</w:t>
      </w:r>
      <w:r w:rsidRPr="0038628B">
        <w:rPr>
          <w:rFonts w:ascii="Verdana" w:hAnsi="Verdana"/>
          <w:color w:val="090909"/>
          <w:spacing w:val="37"/>
        </w:rPr>
        <w:t xml:space="preserve"> </w:t>
      </w:r>
      <w:r w:rsidRPr="0038628B">
        <w:rPr>
          <w:rFonts w:ascii="Verdana" w:hAnsi="Verdana"/>
          <w:color w:val="090909"/>
        </w:rPr>
        <w:t>shared</w:t>
      </w:r>
      <w:r w:rsidRPr="0038628B">
        <w:rPr>
          <w:rFonts w:ascii="Verdana" w:hAnsi="Verdana"/>
          <w:color w:val="090909"/>
          <w:spacing w:val="37"/>
        </w:rPr>
        <w:t xml:space="preserve"> </w:t>
      </w:r>
      <w:r w:rsidRPr="0038628B">
        <w:rPr>
          <w:rFonts w:ascii="Verdana" w:hAnsi="Verdana"/>
          <w:color w:val="090909"/>
        </w:rPr>
        <w:t>blockchain</w:t>
      </w:r>
      <w:r w:rsidRPr="0038628B">
        <w:rPr>
          <w:rFonts w:ascii="Verdana" w:hAnsi="Verdana"/>
          <w:color w:val="090909"/>
          <w:spacing w:val="37"/>
        </w:rPr>
        <w:t xml:space="preserve"> </w:t>
      </w:r>
      <w:r w:rsidRPr="0038628B">
        <w:rPr>
          <w:rFonts w:ascii="Verdana" w:hAnsi="Verdana"/>
          <w:color w:val="090909"/>
        </w:rPr>
        <w:t>ledger</w:t>
      </w:r>
      <w:r w:rsidRPr="0038628B">
        <w:rPr>
          <w:rFonts w:ascii="Verdana" w:hAnsi="Verdana"/>
          <w:color w:val="090909"/>
          <w:spacing w:val="37"/>
        </w:rPr>
        <w:t xml:space="preserve"> </w:t>
      </w:r>
      <w:r w:rsidRPr="0038628B">
        <w:rPr>
          <w:rFonts w:ascii="Verdana" w:hAnsi="Verdana"/>
          <w:color w:val="090909"/>
        </w:rPr>
        <w:t>has</w:t>
      </w:r>
      <w:r w:rsidRPr="0038628B">
        <w:rPr>
          <w:rFonts w:ascii="Verdana" w:hAnsi="Verdana"/>
          <w:color w:val="090909"/>
          <w:spacing w:val="37"/>
        </w:rPr>
        <w:t xml:space="preserve"> </w:t>
      </w:r>
      <w:r w:rsidRPr="0038628B">
        <w:rPr>
          <w:rFonts w:ascii="Verdana" w:hAnsi="Verdana"/>
          <w:color w:val="090909"/>
        </w:rPr>
        <w:t>to</w:t>
      </w:r>
      <w:r w:rsidRPr="0038628B">
        <w:rPr>
          <w:rFonts w:ascii="Verdana" w:hAnsi="Verdana"/>
          <w:color w:val="090909"/>
          <w:spacing w:val="37"/>
        </w:rPr>
        <w:t xml:space="preserve"> </w:t>
      </w:r>
      <w:r w:rsidRPr="0038628B">
        <w:rPr>
          <w:rFonts w:ascii="Verdana" w:hAnsi="Verdana"/>
          <w:color w:val="090909"/>
        </w:rPr>
        <w:t>be</w:t>
      </w:r>
      <w:r w:rsidRPr="0038628B">
        <w:rPr>
          <w:rFonts w:ascii="Verdana" w:hAnsi="Verdana"/>
          <w:color w:val="090909"/>
          <w:spacing w:val="37"/>
        </w:rPr>
        <w:t xml:space="preserve"> </w:t>
      </w:r>
      <w:r w:rsidRPr="0038628B">
        <w:rPr>
          <w:rFonts w:ascii="Verdana" w:hAnsi="Verdana"/>
          <w:color w:val="090909"/>
        </w:rPr>
        <w:t xml:space="preserve">built </w:t>
      </w:r>
      <w:r w:rsidRPr="0038628B">
        <w:rPr>
          <w:rFonts w:ascii="Verdana" w:hAnsi="Verdana"/>
          <w:color w:val="090909"/>
          <w:w w:val="110"/>
        </w:rPr>
        <w:t xml:space="preserve">to enable this. This is </w:t>
      </w:r>
      <w:r w:rsidRPr="0038628B">
        <w:rPr>
          <w:rFonts w:ascii="Verdana" w:hAnsi="Verdana"/>
          <w:color w:val="090909"/>
          <w:w w:val="110"/>
        </w:rPr>
        <w:t>similar to</w:t>
      </w:r>
      <w:r w:rsidRPr="0038628B">
        <w:rPr>
          <w:rFonts w:ascii="Verdana" w:hAnsi="Verdana"/>
          <w:color w:val="090909"/>
          <w:w w:val="110"/>
        </w:rPr>
        <w:t xml:space="preserve"> traditional types of inter-bank infrastructure: banks </w:t>
      </w:r>
      <w:r w:rsidRPr="0038628B">
        <w:rPr>
          <w:rFonts w:ascii="Verdana" w:hAnsi="Verdana"/>
          <w:color w:val="090909"/>
        </w:rPr>
        <w:t>design</w:t>
      </w:r>
      <w:r w:rsidRPr="0038628B">
        <w:rPr>
          <w:rFonts w:ascii="Verdana" w:hAnsi="Verdana"/>
          <w:color w:val="090909"/>
          <w:spacing w:val="40"/>
        </w:rPr>
        <w:t xml:space="preserve"> </w:t>
      </w:r>
      <w:r w:rsidRPr="0038628B">
        <w:rPr>
          <w:rFonts w:ascii="Verdana" w:hAnsi="Verdana"/>
          <w:color w:val="090909"/>
        </w:rPr>
        <w:t>and</w:t>
      </w:r>
      <w:r w:rsidRPr="0038628B">
        <w:rPr>
          <w:rFonts w:ascii="Verdana" w:hAnsi="Verdana"/>
          <w:color w:val="090909"/>
          <w:spacing w:val="40"/>
        </w:rPr>
        <w:t xml:space="preserve"> </w:t>
      </w:r>
      <w:r w:rsidRPr="0038628B">
        <w:rPr>
          <w:rFonts w:ascii="Verdana" w:hAnsi="Verdana"/>
          <w:color w:val="090909"/>
        </w:rPr>
        <w:t>build</w:t>
      </w:r>
      <w:r w:rsidRPr="0038628B">
        <w:rPr>
          <w:rFonts w:ascii="Verdana" w:hAnsi="Verdana"/>
          <w:color w:val="090909"/>
          <w:spacing w:val="40"/>
        </w:rPr>
        <w:t xml:space="preserve"> </w:t>
      </w:r>
      <w:r w:rsidRPr="0038628B">
        <w:rPr>
          <w:rFonts w:ascii="Verdana" w:hAnsi="Verdana"/>
          <w:color w:val="090909"/>
        </w:rPr>
        <w:t>and</w:t>
      </w:r>
      <w:r w:rsidRPr="0038628B">
        <w:rPr>
          <w:rFonts w:ascii="Verdana" w:hAnsi="Verdana"/>
          <w:color w:val="090909"/>
          <w:spacing w:val="29"/>
        </w:rPr>
        <w:t xml:space="preserve"> </w:t>
      </w:r>
      <w:r w:rsidRPr="0038628B">
        <w:rPr>
          <w:rFonts w:ascii="Verdana" w:hAnsi="Verdana"/>
          <w:color w:val="090909"/>
        </w:rPr>
        <w:t>run</w:t>
      </w:r>
      <w:r w:rsidRPr="0038628B">
        <w:rPr>
          <w:rFonts w:ascii="Verdana" w:hAnsi="Verdana"/>
          <w:color w:val="090909"/>
          <w:spacing w:val="29"/>
        </w:rPr>
        <w:t xml:space="preserve"> </w:t>
      </w:r>
      <w:r w:rsidRPr="0038628B">
        <w:rPr>
          <w:rFonts w:ascii="Verdana" w:hAnsi="Verdana"/>
          <w:color w:val="090909"/>
        </w:rPr>
        <w:t>it</w:t>
      </w:r>
      <w:r w:rsidRPr="0038628B">
        <w:rPr>
          <w:rFonts w:ascii="Verdana" w:hAnsi="Verdana"/>
          <w:color w:val="090909"/>
          <w:spacing w:val="29"/>
        </w:rPr>
        <w:t xml:space="preserve"> </w:t>
      </w:r>
      <w:r w:rsidRPr="0038628B">
        <w:rPr>
          <w:rFonts w:ascii="Verdana" w:hAnsi="Verdana"/>
          <w:color w:val="090909"/>
        </w:rPr>
        <w:t>as</w:t>
      </w:r>
      <w:r w:rsidRPr="0038628B">
        <w:rPr>
          <w:rFonts w:ascii="Verdana" w:hAnsi="Verdana"/>
          <w:color w:val="090909"/>
          <w:spacing w:val="29"/>
        </w:rPr>
        <w:t xml:space="preserve"> </w:t>
      </w:r>
      <w:r w:rsidRPr="0038628B">
        <w:rPr>
          <w:rFonts w:ascii="Verdana" w:hAnsi="Verdana"/>
          <w:color w:val="090909"/>
        </w:rPr>
        <w:t>a</w:t>
      </w:r>
      <w:r w:rsidRPr="0038628B">
        <w:rPr>
          <w:rFonts w:ascii="Verdana" w:hAnsi="Verdana"/>
          <w:color w:val="090909"/>
          <w:spacing w:val="29"/>
        </w:rPr>
        <w:t xml:space="preserve"> </w:t>
      </w:r>
      <w:r w:rsidRPr="0038628B">
        <w:rPr>
          <w:rFonts w:ascii="Verdana" w:hAnsi="Verdana"/>
          <w:color w:val="090909"/>
        </w:rPr>
        <w:t>closed</w:t>
      </w:r>
      <w:r w:rsidRPr="0038628B">
        <w:rPr>
          <w:rFonts w:ascii="Verdana" w:hAnsi="Verdana"/>
          <w:color w:val="090909"/>
          <w:spacing w:val="29"/>
        </w:rPr>
        <w:t xml:space="preserve"> </w:t>
      </w:r>
      <w:r w:rsidRPr="0038628B">
        <w:rPr>
          <w:rFonts w:ascii="Verdana" w:hAnsi="Verdana"/>
          <w:color w:val="090909"/>
        </w:rPr>
        <w:t>system.</w:t>
      </w:r>
      <w:r w:rsidRPr="0038628B">
        <w:rPr>
          <w:rFonts w:ascii="Verdana" w:hAnsi="Verdana"/>
          <w:color w:val="090909"/>
          <w:spacing w:val="29"/>
        </w:rPr>
        <w:t xml:space="preserve"> </w:t>
      </w:r>
      <w:r w:rsidRPr="0038628B">
        <w:rPr>
          <w:rFonts w:ascii="Verdana" w:hAnsi="Verdana"/>
          <w:color w:val="090909"/>
        </w:rPr>
        <w:t>This</w:t>
      </w:r>
      <w:r w:rsidRPr="0038628B">
        <w:rPr>
          <w:rFonts w:ascii="Verdana" w:hAnsi="Verdana"/>
          <w:color w:val="090909"/>
          <w:spacing w:val="29"/>
        </w:rPr>
        <w:t xml:space="preserve"> </w:t>
      </w:r>
      <w:r w:rsidRPr="0038628B">
        <w:rPr>
          <w:rFonts w:ascii="Verdana" w:hAnsi="Verdana"/>
          <w:color w:val="090909"/>
        </w:rPr>
        <w:t>makes</w:t>
      </w:r>
      <w:r w:rsidRPr="0038628B">
        <w:rPr>
          <w:rFonts w:ascii="Verdana" w:hAnsi="Verdana"/>
          <w:color w:val="090909"/>
          <w:spacing w:val="29"/>
        </w:rPr>
        <w:t xml:space="preserve"> </w:t>
      </w:r>
      <w:r w:rsidRPr="0038628B">
        <w:rPr>
          <w:rFonts w:ascii="Verdana" w:hAnsi="Verdana"/>
          <w:color w:val="090909"/>
        </w:rPr>
        <w:t>tokenised</w:t>
      </w:r>
      <w:r w:rsidRPr="0038628B">
        <w:rPr>
          <w:rFonts w:ascii="Verdana" w:hAnsi="Verdana"/>
          <w:color w:val="090909"/>
          <w:spacing w:val="29"/>
        </w:rPr>
        <w:t xml:space="preserve"> </w:t>
      </w:r>
      <w:r w:rsidRPr="0038628B">
        <w:rPr>
          <w:rFonts w:ascii="Verdana" w:hAnsi="Verdana"/>
          <w:color w:val="090909"/>
        </w:rPr>
        <w:t>deposits</w:t>
      </w:r>
      <w:r w:rsidRPr="0038628B">
        <w:rPr>
          <w:rFonts w:ascii="Verdana" w:hAnsi="Verdana"/>
          <w:color w:val="090909"/>
          <w:spacing w:val="29"/>
        </w:rPr>
        <w:t xml:space="preserve"> </w:t>
      </w:r>
      <w:r w:rsidRPr="0038628B">
        <w:rPr>
          <w:rFonts w:ascii="Verdana" w:hAnsi="Verdana"/>
          <w:color w:val="090909"/>
        </w:rPr>
        <w:t xml:space="preserve">suitable </w:t>
      </w:r>
      <w:r w:rsidRPr="0038628B">
        <w:rPr>
          <w:rFonts w:ascii="Verdana" w:hAnsi="Verdana"/>
          <w:color w:val="090909"/>
          <w:w w:val="110"/>
        </w:rPr>
        <w:t xml:space="preserve">for interbank transactions and retail payments between UK bank customers. </w:t>
      </w:r>
      <w:r w:rsidRPr="0038628B">
        <w:rPr>
          <w:rFonts w:ascii="Verdana" w:hAnsi="Verdana"/>
          <w:color w:val="212121"/>
          <w:w w:val="110"/>
        </w:rPr>
        <w:t>Tokenised</w:t>
      </w:r>
      <w:r w:rsidRPr="0038628B">
        <w:rPr>
          <w:rFonts w:ascii="Verdana" w:hAnsi="Verdana"/>
          <w:color w:val="212121"/>
          <w:w w:val="110"/>
        </w:rPr>
        <w:t xml:space="preserve"> deposits can only move between the banking system (crucially only between</w:t>
      </w:r>
      <w:r w:rsidRPr="0038628B">
        <w:rPr>
          <w:rFonts w:ascii="Verdana" w:hAnsi="Verdana"/>
          <w:color w:val="212121"/>
          <w:spacing w:val="-16"/>
          <w:w w:val="110"/>
        </w:rPr>
        <w:t xml:space="preserve"> </w:t>
      </w:r>
      <w:r w:rsidRPr="0038628B">
        <w:rPr>
          <w:rFonts w:ascii="Verdana" w:hAnsi="Verdana"/>
          <w:color w:val="212121"/>
          <w:w w:val="110"/>
        </w:rPr>
        <w:t>banks</w:t>
      </w:r>
      <w:r w:rsidRPr="0038628B">
        <w:rPr>
          <w:rFonts w:ascii="Verdana" w:hAnsi="Verdana"/>
          <w:color w:val="212121"/>
          <w:spacing w:val="-16"/>
          <w:w w:val="110"/>
        </w:rPr>
        <w:t xml:space="preserve"> </w:t>
      </w:r>
      <w:r w:rsidRPr="0038628B">
        <w:rPr>
          <w:rFonts w:ascii="Verdana" w:hAnsi="Verdana"/>
          <w:color w:val="212121"/>
          <w:w w:val="110"/>
        </w:rPr>
        <w:t>which</w:t>
      </w:r>
      <w:r w:rsidRPr="0038628B">
        <w:rPr>
          <w:rFonts w:ascii="Verdana" w:hAnsi="Verdana"/>
          <w:color w:val="212121"/>
          <w:spacing w:val="-16"/>
          <w:w w:val="110"/>
        </w:rPr>
        <w:t xml:space="preserve"> </w:t>
      </w:r>
      <w:r w:rsidRPr="0038628B">
        <w:rPr>
          <w:rFonts w:ascii="Verdana" w:hAnsi="Verdana"/>
          <w:color w:val="212121"/>
          <w:w w:val="110"/>
        </w:rPr>
        <w:t>agree</w:t>
      </w:r>
      <w:r w:rsidRPr="0038628B">
        <w:rPr>
          <w:rFonts w:ascii="Verdana" w:hAnsi="Verdana"/>
          <w:color w:val="212121"/>
          <w:spacing w:val="-15"/>
          <w:w w:val="110"/>
        </w:rPr>
        <w:t xml:space="preserve"> </w:t>
      </w:r>
      <w:r w:rsidRPr="0038628B">
        <w:rPr>
          <w:rFonts w:ascii="Verdana" w:hAnsi="Verdana"/>
          <w:color w:val="212121"/>
          <w:w w:val="110"/>
        </w:rPr>
        <w:t>to</w:t>
      </w:r>
      <w:r w:rsidRPr="0038628B">
        <w:rPr>
          <w:rFonts w:ascii="Verdana" w:hAnsi="Verdana"/>
          <w:color w:val="212121"/>
          <w:spacing w:val="-16"/>
          <w:w w:val="110"/>
        </w:rPr>
        <w:t xml:space="preserve"> </w:t>
      </w:r>
      <w:r w:rsidRPr="0038628B">
        <w:rPr>
          <w:rFonts w:ascii="Verdana" w:hAnsi="Verdana"/>
          <w:color w:val="212121"/>
          <w:w w:val="110"/>
        </w:rPr>
        <w:t>oﬀer</w:t>
      </w:r>
      <w:r w:rsidRPr="0038628B">
        <w:rPr>
          <w:rFonts w:ascii="Verdana" w:hAnsi="Verdana"/>
          <w:color w:val="212121"/>
          <w:spacing w:val="-16"/>
          <w:w w:val="110"/>
        </w:rPr>
        <w:t xml:space="preserve"> </w:t>
      </w:r>
      <w:r w:rsidRPr="0038628B">
        <w:rPr>
          <w:rFonts w:ascii="Verdana" w:hAnsi="Verdana"/>
          <w:color w:val="212121"/>
          <w:w w:val="110"/>
        </w:rPr>
        <w:t>tokenised</w:t>
      </w:r>
      <w:r w:rsidRPr="0038628B">
        <w:rPr>
          <w:rFonts w:ascii="Verdana" w:hAnsi="Verdana"/>
          <w:color w:val="212121"/>
          <w:spacing w:val="-16"/>
          <w:w w:val="110"/>
        </w:rPr>
        <w:t xml:space="preserve"> </w:t>
      </w:r>
      <w:r w:rsidRPr="0038628B">
        <w:rPr>
          <w:rFonts w:ascii="Verdana" w:hAnsi="Verdana"/>
          <w:color w:val="212121"/>
          <w:w w:val="110"/>
        </w:rPr>
        <w:t>deposits).</w:t>
      </w:r>
    </w:p>
    <w:p w:rsidR="00FF7EEB" w:rsidRPr="0038628B">
      <w:pPr>
        <w:pStyle w:val="BodyText"/>
        <w:spacing w:before="21"/>
        <w:rPr>
          <w:rFonts w:ascii="Verdana" w:hAnsi="Verdana"/>
        </w:rPr>
      </w:pPr>
    </w:p>
    <w:p w:rsidR="00FF7EEB" w:rsidRPr="0038628B">
      <w:pPr>
        <w:pStyle w:val="BodyText"/>
        <w:spacing w:line="259" w:lineRule="auto"/>
        <w:ind w:left="23" w:right="42"/>
        <w:jc w:val="both"/>
        <w:rPr>
          <w:rFonts w:ascii="Verdana" w:hAnsi="Verdana"/>
        </w:rPr>
      </w:pPr>
      <w:r w:rsidRPr="0038628B">
        <w:rPr>
          <w:rFonts w:ascii="Verdana" w:hAnsi="Verdana"/>
          <w:color w:val="090909"/>
          <w:spacing w:val="-2"/>
          <w:w w:val="110"/>
        </w:rPr>
        <w:t>Stablecoins primarily operate</w:t>
      </w:r>
      <w:r w:rsidRPr="0038628B">
        <w:rPr>
          <w:rFonts w:ascii="Verdana" w:hAnsi="Verdana"/>
          <w:color w:val="090909"/>
          <w:spacing w:val="-8"/>
          <w:w w:val="110"/>
        </w:rPr>
        <w:t xml:space="preserve"> </w:t>
      </w:r>
      <w:r w:rsidRPr="0038628B">
        <w:rPr>
          <w:rFonts w:ascii="Verdana" w:hAnsi="Verdana"/>
          <w:color w:val="090909"/>
          <w:spacing w:val="-2"/>
          <w:w w:val="110"/>
        </w:rPr>
        <w:t>on</w:t>
      </w:r>
      <w:r w:rsidRPr="0038628B">
        <w:rPr>
          <w:rFonts w:ascii="Verdana" w:hAnsi="Verdana"/>
          <w:color w:val="090909"/>
          <w:spacing w:val="-8"/>
          <w:w w:val="110"/>
        </w:rPr>
        <w:t xml:space="preserve"> </w:t>
      </w:r>
      <w:r w:rsidRPr="0038628B">
        <w:rPr>
          <w:rFonts w:ascii="Verdana" w:hAnsi="Verdana"/>
          <w:color w:val="090909"/>
          <w:spacing w:val="-2"/>
          <w:w w:val="110"/>
        </w:rPr>
        <w:t>public</w:t>
      </w:r>
      <w:r w:rsidRPr="0038628B">
        <w:rPr>
          <w:rFonts w:ascii="Verdana" w:hAnsi="Verdana"/>
          <w:color w:val="090909"/>
          <w:spacing w:val="-8"/>
          <w:w w:val="110"/>
        </w:rPr>
        <w:t xml:space="preserve"> </w:t>
      </w:r>
      <w:r w:rsidRPr="0038628B">
        <w:rPr>
          <w:rFonts w:ascii="Verdana" w:hAnsi="Verdana"/>
          <w:color w:val="090909"/>
          <w:spacing w:val="-2"/>
          <w:w w:val="110"/>
        </w:rPr>
        <w:t>blockchains,</w:t>
      </w:r>
      <w:r w:rsidRPr="0038628B">
        <w:rPr>
          <w:rFonts w:ascii="Verdana" w:hAnsi="Verdana"/>
          <w:color w:val="090909"/>
          <w:spacing w:val="-8"/>
          <w:w w:val="110"/>
        </w:rPr>
        <w:t xml:space="preserve"> </w:t>
      </w:r>
      <w:r w:rsidRPr="0038628B">
        <w:rPr>
          <w:rFonts w:ascii="Verdana" w:hAnsi="Verdana"/>
          <w:color w:val="090909"/>
          <w:spacing w:val="-2"/>
          <w:w w:val="110"/>
        </w:rPr>
        <w:t>oﬀering</w:t>
      </w:r>
      <w:r w:rsidRPr="0038628B">
        <w:rPr>
          <w:rFonts w:ascii="Verdana" w:hAnsi="Verdana"/>
          <w:color w:val="090909"/>
          <w:spacing w:val="-8"/>
          <w:w w:val="110"/>
        </w:rPr>
        <w:t xml:space="preserve"> </w:t>
      </w:r>
      <w:r w:rsidRPr="0038628B">
        <w:rPr>
          <w:rFonts w:ascii="Verdana" w:hAnsi="Verdana"/>
          <w:color w:val="090909"/>
          <w:spacing w:val="-2"/>
          <w:w w:val="110"/>
        </w:rPr>
        <w:t>broader</w:t>
      </w:r>
      <w:r w:rsidRPr="0038628B">
        <w:rPr>
          <w:rFonts w:ascii="Verdana" w:hAnsi="Verdana"/>
          <w:color w:val="090909"/>
          <w:spacing w:val="-8"/>
          <w:w w:val="110"/>
        </w:rPr>
        <w:t xml:space="preserve"> </w:t>
      </w:r>
      <w:r w:rsidRPr="0038628B">
        <w:rPr>
          <w:rFonts w:ascii="Verdana" w:hAnsi="Verdana"/>
          <w:color w:val="090909"/>
          <w:spacing w:val="-2"/>
          <w:w w:val="110"/>
        </w:rPr>
        <w:t xml:space="preserve">interoperability </w:t>
      </w:r>
      <w:r w:rsidRPr="0038628B">
        <w:rPr>
          <w:rFonts w:ascii="Verdana" w:hAnsi="Verdana"/>
          <w:color w:val="090909"/>
          <w:w w:val="110"/>
        </w:rPr>
        <w:t xml:space="preserve">and lower costs (because </w:t>
      </w:r>
      <w:r w:rsidRPr="0038628B">
        <w:rPr>
          <w:rFonts w:ascii="Verdana" w:hAnsi="Verdana"/>
          <w:color w:val="090909"/>
          <w:w w:val="110"/>
        </w:rPr>
        <w:t>it uses</w:t>
      </w:r>
      <w:r w:rsidRPr="0038628B">
        <w:rPr>
          <w:rFonts w:ascii="Verdana" w:hAnsi="Verdana"/>
          <w:color w:val="090909"/>
          <w:w w:val="110"/>
        </w:rPr>
        <w:t xml:space="preserve"> existing open blockchains). This also</w:t>
      </w:r>
      <w:r w:rsidRPr="0038628B">
        <w:rPr>
          <w:rFonts w:ascii="Verdana" w:hAnsi="Verdana"/>
          <w:color w:val="090909"/>
          <w:w w:val="110"/>
        </w:rPr>
        <w:t xml:space="preserve"> makes stablecoins cheaper and</w:t>
      </w:r>
      <w:r w:rsidRPr="0038628B">
        <w:rPr>
          <w:rFonts w:ascii="Verdana" w:hAnsi="Verdana"/>
          <w:color w:val="090909"/>
          <w:spacing w:val="40"/>
          <w:w w:val="110"/>
        </w:rPr>
        <w:t xml:space="preserve"> </w:t>
      </w:r>
      <w:r w:rsidRPr="0038628B">
        <w:rPr>
          <w:rFonts w:ascii="Verdana" w:hAnsi="Verdana"/>
          <w:color w:val="090909"/>
          <w:w w:val="110"/>
        </w:rPr>
        <w:t>better</w:t>
      </w:r>
      <w:r w:rsidRPr="0038628B">
        <w:rPr>
          <w:rFonts w:ascii="Verdana" w:hAnsi="Verdana"/>
          <w:color w:val="090909"/>
          <w:spacing w:val="-3"/>
          <w:w w:val="110"/>
        </w:rPr>
        <w:t xml:space="preserve"> </w:t>
      </w:r>
      <w:r w:rsidRPr="0038628B">
        <w:rPr>
          <w:rFonts w:ascii="Verdana" w:hAnsi="Verdana"/>
          <w:color w:val="090909"/>
          <w:w w:val="110"/>
        </w:rPr>
        <w:t>suited</w:t>
      </w:r>
      <w:r w:rsidRPr="0038628B">
        <w:rPr>
          <w:rFonts w:ascii="Verdana" w:hAnsi="Verdana"/>
          <w:color w:val="090909"/>
          <w:spacing w:val="-3"/>
          <w:w w:val="110"/>
        </w:rPr>
        <w:t xml:space="preserve"> </w:t>
      </w:r>
      <w:r w:rsidRPr="0038628B">
        <w:rPr>
          <w:rFonts w:ascii="Verdana" w:hAnsi="Verdana"/>
          <w:color w:val="090909"/>
          <w:w w:val="110"/>
        </w:rPr>
        <w:t>to</w:t>
      </w:r>
      <w:r w:rsidRPr="0038628B">
        <w:rPr>
          <w:rFonts w:ascii="Verdana" w:hAnsi="Verdana"/>
          <w:color w:val="090909"/>
          <w:spacing w:val="-3"/>
          <w:w w:val="110"/>
        </w:rPr>
        <w:t xml:space="preserve"> </w:t>
      </w:r>
      <w:r w:rsidRPr="0038628B">
        <w:rPr>
          <w:rFonts w:ascii="Verdana" w:hAnsi="Verdana"/>
          <w:color w:val="090909"/>
          <w:w w:val="110"/>
        </w:rPr>
        <w:t>cross</w:t>
      </w:r>
      <w:r w:rsidRPr="0038628B">
        <w:rPr>
          <w:rFonts w:ascii="Verdana" w:hAnsi="Verdana"/>
          <w:color w:val="090909"/>
          <w:spacing w:val="-3"/>
          <w:w w:val="110"/>
        </w:rPr>
        <w:t xml:space="preserve"> </w:t>
      </w:r>
      <w:r w:rsidRPr="0038628B">
        <w:rPr>
          <w:rFonts w:ascii="Verdana" w:hAnsi="Verdana"/>
          <w:color w:val="090909"/>
          <w:w w:val="110"/>
        </w:rPr>
        <w:t>border</w:t>
      </w:r>
      <w:r w:rsidRPr="0038628B">
        <w:rPr>
          <w:rFonts w:ascii="Verdana" w:hAnsi="Verdana"/>
          <w:color w:val="090909"/>
          <w:spacing w:val="-3"/>
          <w:w w:val="110"/>
        </w:rPr>
        <w:t xml:space="preserve"> </w:t>
      </w:r>
      <w:r w:rsidRPr="0038628B">
        <w:rPr>
          <w:rFonts w:ascii="Verdana" w:hAnsi="Verdana"/>
          <w:color w:val="090909"/>
          <w:w w:val="110"/>
        </w:rPr>
        <w:t>transactions,</w:t>
      </w:r>
      <w:r w:rsidRPr="0038628B">
        <w:rPr>
          <w:rFonts w:ascii="Verdana" w:hAnsi="Verdana"/>
          <w:color w:val="090909"/>
          <w:spacing w:val="-3"/>
          <w:w w:val="110"/>
        </w:rPr>
        <w:t xml:space="preserve"> </w:t>
      </w:r>
      <w:r w:rsidRPr="0038628B">
        <w:rPr>
          <w:rFonts w:ascii="Verdana" w:hAnsi="Verdana"/>
          <w:color w:val="090909"/>
          <w:w w:val="110"/>
        </w:rPr>
        <w:t>as</w:t>
      </w:r>
      <w:r w:rsidRPr="0038628B">
        <w:rPr>
          <w:rFonts w:ascii="Verdana" w:hAnsi="Verdana"/>
          <w:color w:val="090909"/>
          <w:spacing w:val="-3"/>
          <w:w w:val="110"/>
        </w:rPr>
        <w:t xml:space="preserve"> </w:t>
      </w:r>
      <w:r w:rsidRPr="0038628B">
        <w:rPr>
          <w:rFonts w:ascii="Verdana" w:hAnsi="Verdana"/>
          <w:color w:val="090909"/>
          <w:w w:val="110"/>
        </w:rPr>
        <w:t>they</w:t>
      </w:r>
      <w:r w:rsidRPr="0038628B">
        <w:rPr>
          <w:rFonts w:ascii="Verdana" w:hAnsi="Verdana"/>
          <w:color w:val="090909"/>
          <w:spacing w:val="-3"/>
          <w:w w:val="110"/>
        </w:rPr>
        <w:t xml:space="preserve"> </w:t>
      </w:r>
      <w:r w:rsidRPr="0038628B">
        <w:rPr>
          <w:rFonts w:ascii="Verdana" w:hAnsi="Verdana"/>
          <w:color w:val="090909"/>
          <w:w w:val="110"/>
        </w:rPr>
        <w:t>can</w:t>
      </w:r>
      <w:r w:rsidRPr="0038628B">
        <w:rPr>
          <w:rFonts w:ascii="Verdana" w:hAnsi="Verdana"/>
          <w:color w:val="090909"/>
          <w:spacing w:val="-3"/>
          <w:w w:val="110"/>
        </w:rPr>
        <w:t xml:space="preserve"> </w:t>
      </w:r>
      <w:r w:rsidRPr="0038628B">
        <w:rPr>
          <w:rFonts w:ascii="Verdana" w:hAnsi="Verdana"/>
          <w:color w:val="090909"/>
          <w:w w:val="110"/>
        </w:rPr>
        <w:t xml:space="preserve">be settled on public blockchain and between any </w:t>
      </w:r>
      <w:r w:rsidRPr="0038628B">
        <w:rPr>
          <w:rFonts w:ascii="Verdana" w:hAnsi="Verdana"/>
          <w:color w:val="090909"/>
          <w:w w:val="110"/>
        </w:rPr>
        <w:t>entities</w:t>
      </w:r>
      <w:r w:rsidRPr="0038628B">
        <w:rPr>
          <w:rFonts w:ascii="Verdana" w:hAnsi="Verdana"/>
          <w:color w:val="090909"/>
          <w:w w:val="110"/>
        </w:rPr>
        <w:t xml:space="preserve"> (bank or non-bank) in any </w:t>
      </w:r>
      <w:r w:rsidRPr="0038628B">
        <w:rPr>
          <w:rFonts w:ascii="Verdana" w:hAnsi="Verdana"/>
          <w:color w:val="090909"/>
          <w:spacing w:val="-2"/>
          <w:w w:val="110"/>
        </w:rPr>
        <w:t>country.</w:t>
      </w:r>
    </w:p>
    <w:p w:rsidR="00FF7EEB" w:rsidRPr="0038628B">
      <w:pPr>
        <w:pStyle w:val="BodyText"/>
        <w:spacing w:before="23"/>
        <w:rPr>
          <w:rFonts w:ascii="Verdana" w:hAnsi="Verdana"/>
        </w:rPr>
      </w:pPr>
    </w:p>
    <w:p w:rsidR="00FF7EEB" w:rsidRPr="0038628B">
      <w:pPr>
        <w:pStyle w:val="BodyText"/>
        <w:spacing w:line="259" w:lineRule="auto"/>
        <w:ind w:left="23" w:right="44"/>
        <w:jc w:val="both"/>
        <w:rPr>
          <w:rFonts w:ascii="Verdana" w:hAnsi="Verdana"/>
        </w:rPr>
      </w:pPr>
      <w:r w:rsidRPr="0038628B">
        <w:rPr>
          <w:rFonts w:ascii="Verdana" w:hAnsi="Verdana"/>
          <w:color w:val="212121"/>
          <w:w w:val="105"/>
        </w:rPr>
        <w:t xml:space="preserve">Stablecoins are free to be exchanged much more widely than </w:t>
      </w:r>
      <w:r w:rsidRPr="0038628B">
        <w:rPr>
          <w:rFonts w:ascii="Verdana" w:hAnsi="Verdana"/>
          <w:color w:val="212121"/>
          <w:w w:val="105"/>
        </w:rPr>
        <w:t>tokenised</w:t>
      </w:r>
      <w:r w:rsidRPr="0038628B">
        <w:rPr>
          <w:rFonts w:ascii="Verdana" w:hAnsi="Verdana"/>
          <w:color w:val="212121"/>
          <w:w w:val="105"/>
        </w:rPr>
        <w:t xml:space="preserve"> deposits. Stablecoins can be used without </w:t>
      </w:r>
      <w:r w:rsidRPr="0038628B">
        <w:rPr>
          <w:rFonts w:ascii="Verdana" w:hAnsi="Verdana"/>
          <w:color w:val="212121"/>
          <w:w w:val="105"/>
        </w:rPr>
        <w:t>organised</w:t>
      </w:r>
      <w:r w:rsidRPr="0038628B">
        <w:rPr>
          <w:rFonts w:ascii="Verdana" w:hAnsi="Verdana"/>
          <w:color w:val="212121"/>
          <w:w w:val="105"/>
        </w:rPr>
        <w:t xml:space="preserve"> bank collaboration, in cross-border transactions and used as on and oﬀ ramps in the </w:t>
      </w:r>
      <w:r w:rsidRPr="0038628B">
        <w:rPr>
          <w:rFonts w:ascii="Verdana" w:hAnsi="Verdana"/>
          <w:color w:val="212121"/>
          <w:w w:val="105"/>
        </w:rPr>
        <w:t>tokenisation</w:t>
      </w:r>
      <w:r w:rsidRPr="0038628B">
        <w:rPr>
          <w:rFonts w:ascii="Verdana" w:hAnsi="Verdana"/>
          <w:color w:val="212121"/>
          <w:w w:val="105"/>
        </w:rPr>
        <w:t xml:space="preserve"> of </w:t>
      </w:r>
      <w:r w:rsidRPr="0038628B">
        <w:rPr>
          <w:rFonts w:ascii="Verdana" w:hAnsi="Verdana"/>
          <w:color w:val="212121"/>
          <w:w w:val="105"/>
        </w:rPr>
        <w:t>real world</w:t>
      </w:r>
      <w:r w:rsidRPr="0038628B">
        <w:rPr>
          <w:rFonts w:ascii="Verdana" w:hAnsi="Verdana"/>
          <w:color w:val="212121"/>
          <w:w w:val="105"/>
        </w:rPr>
        <w:t xml:space="preserve"> assets.</w:t>
      </w:r>
    </w:p>
    <w:p w:rsidR="00FF7EEB" w:rsidRPr="0038628B">
      <w:pPr>
        <w:pStyle w:val="BodyText"/>
        <w:spacing w:before="52"/>
        <w:rPr>
          <w:rFonts w:ascii="Verdana" w:hAnsi="Verdana"/>
        </w:rPr>
      </w:pPr>
    </w:p>
    <w:p w:rsidR="00FF7EEB" w:rsidRPr="0038628B">
      <w:pPr>
        <w:pStyle w:val="Heading4"/>
        <w:rPr>
          <w:rFonts w:ascii="Verdana" w:hAnsi="Verdana"/>
        </w:rPr>
      </w:pPr>
      <w:r w:rsidRPr="0038628B">
        <w:rPr>
          <w:rFonts w:ascii="Verdana" w:hAnsi="Verdana"/>
          <w:color w:val="090909"/>
        </w:rPr>
        <w:t>Credit</w:t>
      </w:r>
      <w:r w:rsidRPr="0038628B">
        <w:rPr>
          <w:rFonts w:ascii="Verdana" w:hAnsi="Verdana"/>
          <w:color w:val="090909"/>
          <w:spacing w:val="-6"/>
        </w:rPr>
        <w:t xml:space="preserve"> </w:t>
      </w:r>
      <w:r w:rsidRPr="0038628B">
        <w:rPr>
          <w:rFonts w:ascii="Verdana" w:hAnsi="Verdana"/>
          <w:color w:val="090909"/>
        </w:rPr>
        <w:t>and</w:t>
      </w:r>
      <w:r w:rsidRPr="0038628B">
        <w:rPr>
          <w:rFonts w:ascii="Verdana" w:hAnsi="Verdana"/>
          <w:color w:val="090909"/>
          <w:spacing w:val="-6"/>
        </w:rPr>
        <w:t xml:space="preserve"> </w:t>
      </w:r>
      <w:r w:rsidRPr="0038628B">
        <w:rPr>
          <w:rFonts w:ascii="Verdana" w:hAnsi="Verdana"/>
          <w:color w:val="090909"/>
        </w:rPr>
        <w:t>liquidity</w:t>
      </w:r>
      <w:r w:rsidRPr="0038628B">
        <w:rPr>
          <w:rFonts w:ascii="Verdana" w:hAnsi="Verdana"/>
          <w:color w:val="090909"/>
          <w:spacing w:val="-6"/>
        </w:rPr>
        <w:t xml:space="preserve"> </w:t>
      </w:r>
      <w:r w:rsidRPr="0038628B">
        <w:rPr>
          <w:rFonts w:ascii="Verdana" w:hAnsi="Verdana"/>
          <w:color w:val="090909"/>
          <w:spacing w:val="-4"/>
        </w:rPr>
        <w:t>risk:</w:t>
      </w:r>
    </w:p>
    <w:p w:rsidR="00FF7EEB" w:rsidRPr="0038628B">
      <w:pPr>
        <w:pStyle w:val="BodyText"/>
        <w:spacing w:before="24" w:line="259" w:lineRule="auto"/>
        <w:ind w:left="23" w:right="36"/>
        <w:jc w:val="both"/>
        <w:rPr>
          <w:rFonts w:ascii="Verdana" w:hAnsi="Verdana"/>
        </w:rPr>
      </w:pPr>
      <w:r w:rsidRPr="0038628B">
        <w:rPr>
          <w:rFonts w:ascii="Verdana" w:hAnsi="Verdana"/>
          <w:color w:val="090909"/>
          <w:w w:val="105"/>
        </w:rPr>
        <w:t>Tokenised</w:t>
      </w:r>
      <w:r w:rsidRPr="0038628B">
        <w:rPr>
          <w:rFonts w:ascii="Verdana" w:hAnsi="Verdana"/>
          <w:color w:val="090909"/>
          <w:w w:val="105"/>
        </w:rPr>
        <w:t xml:space="preserve"> deposits are subject to the credit risk of the issuing bank. They are a digital form of existing bank deposits - and therefore based on the fractional reserve lending model</w:t>
      </w:r>
      <w:r w:rsidRPr="0038628B">
        <w:rPr>
          <w:rFonts w:ascii="Verdana" w:hAnsi="Verdana"/>
          <w:color w:val="090909"/>
          <w:spacing w:val="40"/>
          <w:w w:val="105"/>
        </w:rPr>
        <w:t xml:space="preserve"> </w:t>
      </w:r>
      <w:r w:rsidRPr="0038628B">
        <w:rPr>
          <w:rFonts w:ascii="Verdana" w:hAnsi="Verdana"/>
          <w:color w:val="090909"/>
          <w:w w:val="105"/>
        </w:rPr>
        <w:t>which</w:t>
      </w:r>
      <w:r w:rsidRPr="0038628B">
        <w:rPr>
          <w:rFonts w:ascii="Verdana" w:hAnsi="Verdana"/>
          <w:color w:val="090909"/>
          <w:spacing w:val="40"/>
          <w:w w:val="105"/>
        </w:rPr>
        <w:t xml:space="preserve"> </w:t>
      </w:r>
      <w:r w:rsidRPr="0038628B">
        <w:rPr>
          <w:rFonts w:ascii="Verdana" w:hAnsi="Verdana"/>
          <w:color w:val="090909"/>
          <w:w w:val="105"/>
        </w:rPr>
        <w:t>creates</w:t>
      </w:r>
      <w:r w:rsidRPr="0038628B">
        <w:rPr>
          <w:rFonts w:ascii="Verdana" w:hAnsi="Verdana"/>
          <w:color w:val="090909"/>
          <w:spacing w:val="40"/>
          <w:w w:val="105"/>
        </w:rPr>
        <w:t xml:space="preserve"> </w:t>
      </w:r>
      <w:r w:rsidRPr="0038628B">
        <w:rPr>
          <w:rFonts w:ascii="Verdana" w:hAnsi="Verdana"/>
          <w:color w:val="090909"/>
          <w:w w:val="105"/>
        </w:rPr>
        <w:t>credit</w:t>
      </w:r>
      <w:r w:rsidRPr="0038628B">
        <w:rPr>
          <w:rFonts w:ascii="Verdana" w:hAnsi="Verdana"/>
          <w:color w:val="090909"/>
          <w:spacing w:val="40"/>
          <w:w w:val="105"/>
        </w:rPr>
        <w:t xml:space="preserve"> </w:t>
      </w:r>
      <w:r w:rsidRPr="0038628B">
        <w:rPr>
          <w:rFonts w:ascii="Verdana" w:hAnsi="Verdana"/>
          <w:color w:val="090909"/>
          <w:w w:val="105"/>
        </w:rPr>
        <w:t>risk</w:t>
      </w:r>
      <w:r w:rsidRPr="0038628B">
        <w:rPr>
          <w:rFonts w:ascii="Verdana" w:hAnsi="Verdana"/>
          <w:color w:val="090909"/>
          <w:spacing w:val="40"/>
          <w:w w:val="105"/>
        </w:rPr>
        <w:t xml:space="preserve"> </w:t>
      </w:r>
      <w:r w:rsidRPr="0038628B">
        <w:rPr>
          <w:rFonts w:ascii="Verdana" w:hAnsi="Verdana"/>
          <w:color w:val="090909"/>
          <w:w w:val="105"/>
        </w:rPr>
        <w:t>(higher</w:t>
      </w:r>
      <w:r w:rsidRPr="0038628B">
        <w:rPr>
          <w:rFonts w:ascii="Verdana" w:hAnsi="Verdana"/>
          <w:color w:val="090909"/>
          <w:spacing w:val="40"/>
          <w:w w:val="105"/>
        </w:rPr>
        <w:t xml:space="preserve"> </w:t>
      </w:r>
      <w:r w:rsidRPr="0038628B">
        <w:rPr>
          <w:rFonts w:ascii="Verdana" w:hAnsi="Verdana"/>
          <w:color w:val="090909"/>
          <w:w w:val="105"/>
        </w:rPr>
        <w:t>risk</w:t>
      </w:r>
      <w:r w:rsidRPr="0038628B">
        <w:rPr>
          <w:rFonts w:ascii="Verdana" w:hAnsi="Verdana"/>
          <w:color w:val="090909"/>
          <w:spacing w:val="40"/>
          <w:w w:val="105"/>
        </w:rPr>
        <w:t xml:space="preserve"> </w:t>
      </w:r>
      <w:r w:rsidRPr="0038628B">
        <w:rPr>
          <w:rFonts w:ascii="Verdana" w:hAnsi="Verdana"/>
          <w:color w:val="090909"/>
          <w:w w:val="105"/>
        </w:rPr>
        <w:t>of</w:t>
      </w:r>
      <w:r w:rsidRPr="0038628B">
        <w:rPr>
          <w:rFonts w:ascii="Verdana" w:hAnsi="Verdana"/>
          <w:color w:val="090909"/>
          <w:spacing w:val="40"/>
          <w:w w:val="105"/>
        </w:rPr>
        <w:t xml:space="preserve"> </w:t>
      </w:r>
      <w:r w:rsidRPr="0038628B">
        <w:rPr>
          <w:rFonts w:ascii="Verdana" w:hAnsi="Verdana"/>
          <w:color w:val="090909"/>
          <w:w w:val="105"/>
        </w:rPr>
        <w:t>the</w:t>
      </w:r>
      <w:r w:rsidRPr="0038628B">
        <w:rPr>
          <w:rFonts w:ascii="Verdana" w:hAnsi="Verdana"/>
          <w:color w:val="090909"/>
          <w:spacing w:val="40"/>
          <w:w w:val="105"/>
        </w:rPr>
        <w:t xml:space="preserve"> </w:t>
      </w:r>
      <w:r w:rsidRPr="0038628B">
        <w:rPr>
          <w:rFonts w:ascii="Verdana" w:hAnsi="Verdana"/>
          <w:color w:val="090909"/>
          <w:w w:val="105"/>
        </w:rPr>
        <w:t>assets</w:t>
      </w:r>
      <w:r w:rsidRPr="0038628B">
        <w:rPr>
          <w:rFonts w:ascii="Verdana" w:hAnsi="Verdana"/>
          <w:color w:val="090909"/>
          <w:spacing w:val="40"/>
          <w:w w:val="105"/>
        </w:rPr>
        <w:t xml:space="preserve"> </w:t>
      </w:r>
      <w:r w:rsidRPr="0038628B">
        <w:rPr>
          <w:rFonts w:ascii="Verdana" w:hAnsi="Verdana"/>
          <w:color w:val="090909"/>
          <w:w w:val="105"/>
        </w:rPr>
        <w:t>banks</w:t>
      </w:r>
      <w:r w:rsidRPr="0038628B">
        <w:rPr>
          <w:rFonts w:ascii="Verdana" w:hAnsi="Verdana"/>
          <w:color w:val="090909"/>
          <w:spacing w:val="40"/>
          <w:w w:val="105"/>
        </w:rPr>
        <w:t xml:space="preserve"> </w:t>
      </w:r>
      <w:r w:rsidRPr="0038628B">
        <w:rPr>
          <w:rFonts w:ascii="Verdana" w:hAnsi="Verdana"/>
          <w:color w:val="090909"/>
          <w:w w:val="105"/>
        </w:rPr>
        <w:t>lend</w:t>
      </w:r>
      <w:r w:rsidRPr="0038628B">
        <w:rPr>
          <w:rFonts w:ascii="Verdana" w:hAnsi="Verdana"/>
          <w:color w:val="090909"/>
          <w:spacing w:val="40"/>
          <w:w w:val="105"/>
        </w:rPr>
        <w:t xml:space="preserve"> </w:t>
      </w:r>
      <w:r w:rsidRPr="0038628B">
        <w:rPr>
          <w:rFonts w:ascii="Verdana" w:hAnsi="Verdana"/>
          <w:color w:val="090909"/>
          <w:w w:val="105"/>
        </w:rPr>
        <w:t>on</w:t>
      </w:r>
      <w:r w:rsidRPr="0038628B">
        <w:rPr>
          <w:rFonts w:ascii="Verdana" w:hAnsi="Verdana"/>
          <w:color w:val="090909"/>
          <w:spacing w:val="40"/>
          <w:w w:val="105"/>
        </w:rPr>
        <w:t xml:space="preserve"> </w:t>
      </w:r>
      <w:r w:rsidRPr="0038628B">
        <w:rPr>
          <w:rFonts w:ascii="Verdana" w:hAnsi="Verdana"/>
          <w:color w:val="090909"/>
          <w:w w:val="105"/>
        </w:rPr>
        <w:t>to)</w:t>
      </w:r>
      <w:r w:rsidRPr="0038628B">
        <w:rPr>
          <w:rFonts w:ascii="Verdana" w:hAnsi="Verdana"/>
          <w:color w:val="090909"/>
          <w:spacing w:val="40"/>
          <w:w w:val="105"/>
        </w:rPr>
        <w:t xml:space="preserve"> </w:t>
      </w:r>
      <w:r w:rsidRPr="0038628B">
        <w:rPr>
          <w:rFonts w:ascii="Verdana" w:hAnsi="Verdana"/>
          <w:color w:val="090909"/>
          <w:w w:val="105"/>
        </w:rPr>
        <w:t xml:space="preserve">and liquidity risk (a proportion of deposits are invested in long term loans). This is a crucial economic distinction: </w:t>
      </w:r>
      <w:r w:rsidRPr="0038628B">
        <w:rPr>
          <w:rFonts w:ascii="Verdana" w:hAnsi="Verdana"/>
          <w:color w:val="090909"/>
          <w:w w:val="105"/>
        </w:rPr>
        <w:t>tokenised</w:t>
      </w:r>
      <w:r w:rsidRPr="0038628B">
        <w:rPr>
          <w:rFonts w:ascii="Verdana" w:hAnsi="Verdana"/>
          <w:color w:val="090909"/>
          <w:w w:val="105"/>
        </w:rPr>
        <w:t xml:space="preserve"> deposits are compatible with fractional reserve banking, preserving the bank's ability to lend.</w:t>
      </w:r>
    </w:p>
    <w:p w:rsidR="00FF7EEB" w:rsidRPr="0038628B">
      <w:pPr>
        <w:pStyle w:val="BodyText"/>
        <w:spacing w:before="22"/>
        <w:rPr>
          <w:rFonts w:ascii="Verdana" w:hAnsi="Verdana"/>
        </w:rPr>
      </w:pPr>
    </w:p>
    <w:p w:rsidR="00FF7EEB" w:rsidRPr="0038628B">
      <w:pPr>
        <w:pStyle w:val="BodyText"/>
        <w:spacing w:line="259" w:lineRule="auto"/>
        <w:ind w:left="23" w:right="38"/>
        <w:jc w:val="both"/>
        <w:rPr>
          <w:rFonts w:ascii="Verdana" w:hAnsi="Verdana"/>
        </w:rPr>
      </w:pPr>
      <w:r w:rsidRPr="0038628B">
        <w:rPr>
          <w:rFonts w:ascii="Verdana" w:hAnsi="Verdana"/>
          <w:color w:val="090909"/>
          <w:w w:val="105"/>
        </w:rPr>
        <w:t xml:space="preserve">It is for these reasons that </w:t>
      </w:r>
      <w:r w:rsidRPr="0038628B">
        <w:rPr>
          <w:rFonts w:ascii="Verdana" w:hAnsi="Verdana"/>
          <w:color w:val="090909"/>
          <w:w w:val="105"/>
        </w:rPr>
        <w:t>tokenised</w:t>
      </w:r>
      <w:r w:rsidRPr="0038628B">
        <w:rPr>
          <w:rFonts w:ascii="Verdana" w:hAnsi="Verdana"/>
          <w:color w:val="090909"/>
          <w:w w:val="105"/>
        </w:rPr>
        <w:t xml:space="preserve"> deposits (and bank deposits) have FSCS deposit insurance (up to £120,000).</w:t>
      </w:r>
    </w:p>
    <w:p w:rsidR="00FF7EEB" w:rsidRPr="0038628B">
      <w:pPr>
        <w:pStyle w:val="BodyText"/>
        <w:spacing w:before="23"/>
        <w:rPr>
          <w:rFonts w:ascii="Verdana" w:hAnsi="Verdana"/>
        </w:rPr>
      </w:pPr>
    </w:p>
    <w:p w:rsidR="00FF7EEB" w:rsidRPr="0038628B">
      <w:pPr>
        <w:pStyle w:val="BodyText"/>
        <w:spacing w:line="259" w:lineRule="auto"/>
        <w:ind w:left="23" w:right="39"/>
        <w:jc w:val="both"/>
        <w:rPr>
          <w:rFonts w:ascii="Verdana" w:hAnsi="Verdana"/>
        </w:rPr>
      </w:pPr>
      <w:r w:rsidRPr="0038628B">
        <w:rPr>
          <w:rFonts w:ascii="Verdana" w:hAnsi="Verdana"/>
          <w:color w:val="090909"/>
          <w:w w:val="105"/>
        </w:rPr>
        <w:t>For businesses with signiﬁcant cash assets far exceeding the FCSC</w:t>
      </w:r>
      <w:r w:rsidRPr="0038628B">
        <w:rPr>
          <w:rFonts w:ascii="Verdana" w:hAnsi="Verdana"/>
          <w:color w:val="090909"/>
          <w:w w:val="105"/>
        </w:rPr>
        <w:t xml:space="preserve"> limit of £120,000, </w:t>
      </w:r>
      <w:r w:rsidRPr="0038628B">
        <w:rPr>
          <w:rFonts w:ascii="Verdana" w:hAnsi="Verdana"/>
          <w:color w:val="090909"/>
          <w:w w:val="105"/>
        </w:rPr>
        <w:t>stablecoins</w:t>
      </w:r>
      <w:r w:rsidRPr="0038628B">
        <w:rPr>
          <w:rFonts w:ascii="Verdana" w:hAnsi="Verdana"/>
          <w:color w:val="090909"/>
          <w:w w:val="105"/>
        </w:rPr>
        <w:t xml:space="preserve"> can arguably oﬀer greater security and stability.</w:t>
      </w:r>
    </w:p>
    <w:p w:rsidR="00FF7EEB" w:rsidRPr="0038628B">
      <w:pPr>
        <w:pStyle w:val="BodyText"/>
        <w:spacing w:before="23"/>
        <w:rPr>
          <w:rFonts w:ascii="Verdana" w:hAnsi="Verdana"/>
        </w:rPr>
      </w:pPr>
    </w:p>
    <w:p w:rsidR="00FF7EEB" w:rsidRPr="0038628B">
      <w:pPr>
        <w:pStyle w:val="BodyText"/>
        <w:spacing w:before="1" w:line="259" w:lineRule="auto"/>
        <w:ind w:left="23" w:right="42"/>
        <w:jc w:val="both"/>
        <w:rPr>
          <w:rFonts w:ascii="Verdana" w:hAnsi="Verdana"/>
        </w:rPr>
      </w:pPr>
      <w:r w:rsidRPr="0038628B">
        <w:rPr>
          <w:rFonts w:ascii="Verdana" w:hAnsi="Verdana"/>
          <w:color w:val="090909"/>
          <w:w w:val="110"/>
        </w:rPr>
        <w:t>Regulated Stablecoins</w:t>
      </w:r>
      <w:r w:rsidRPr="0038628B">
        <w:rPr>
          <w:rFonts w:ascii="Verdana" w:hAnsi="Verdana"/>
          <w:color w:val="090909"/>
          <w:spacing w:val="-1"/>
          <w:w w:val="110"/>
        </w:rPr>
        <w:t xml:space="preserve"> </w:t>
      </w:r>
      <w:r w:rsidRPr="0038628B">
        <w:rPr>
          <w:rFonts w:ascii="Verdana" w:hAnsi="Verdana"/>
          <w:color w:val="090909"/>
          <w:w w:val="110"/>
        </w:rPr>
        <w:t>are</w:t>
      </w:r>
      <w:r w:rsidRPr="0038628B">
        <w:rPr>
          <w:rFonts w:ascii="Verdana" w:hAnsi="Verdana"/>
          <w:color w:val="090909"/>
          <w:spacing w:val="-1"/>
          <w:w w:val="110"/>
        </w:rPr>
        <w:t xml:space="preserve"> </w:t>
      </w:r>
      <w:r w:rsidRPr="0038628B">
        <w:rPr>
          <w:rFonts w:ascii="Verdana" w:hAnsi="Verdana"/>
          <w:color w:val="090909"/>
          <w:w w:val="110"/>
        </w:rPr>
        <w:t>backed</w:t>
      </w:r>
      <w:r w:rsidRPr="0038628B">
        <w:rPr>
          <w:rFonts w:ascii="Verdana" w:hAnsi="Verdana"/>
          <w:color w:val="090909"/>
          <w:spacing w:val="-1"/>
          <w:w w:val="110"/>
        </w:rPr>
        <w:t xml:space="preserve"> </w:t>
      </w:r>
      <w:r w:rsidRPr="0038628B">
        <w:rPr>
          <w:rFonts w:ascii="Verdana" w:hAnsi="Verdana"/>
          <w:color w:val="090909"/>
          <w:w w:val="110"/>
        </w:rPr>
        <w:t>by</w:t>
      </w:r>
      <w:r w:rsidRPr="0038628B">
        <w:rPr>
          <w:rFonts w:ascii="Verdana" w:hAnsi="Verdana"/>
          <w:color w:val="090909"/>
          <w:spacing w:val="-1"/>
          <w:w w:val="110"/>
        </w:rPr>
        <w:t xml:space="preserve"> </w:t>
      </w:r>
      <w:r w:rsidRPr="0038628B">
        <w:rPr>
          <w:rFonts w:ascii="Verdana" w:hAnsi="Verdana"/>
          <w:color w:val="090909"/>
          <w:w w:val="110"/>
        </w:rPr>
        <w:t>short</w:t>
      </w:r>
      <w:r w:rsidRPr="0038628B">
        <w:rPr>
          <w:rFonts w:ascii="Verdana" w:hAnsi="Verdana"/>
          <w:color w:val="090909"/>
          <w:spacing w:val="-1"/>
          <w:w w:val="110"/>
        </w:rPr>
        <w:t xml:space="preserve"> </w:t>
      </w:r>
      <w:r w:rsidRPr="0038628B">
        <w:rPr>
          <w:rFonts w:ascii="Verdana" w:hAnsi="Verdana"/>
          <w:color w:val="090909"/>
          <w:w w:val="110"/>
        </w:rPr>
        <w:t>term,</w:t>
      </w:r>
      <w:r w:rsidRPr="0038628B">
        <w:rPr>
          <w:rFonts w:ascii="Verdana" w:hAnsi="Verdana"/>
          <w:color w:val="090909"/>
          <w:spacing w:val="-1"/>
          <w:w w:val="110"/>
        </w:rPr>
        <w:t xml:space="preserve"> </w:t>
      </w:r>
      <w:r w:rsidRPr="0038628B">
        <w:rPr>
          <w:rFonts w:ascii="Verdana" w:hAnsi="Verdana"/>
          <w:color w:val="090909"/>
          <w:w w:val="110"/>
        </w:rPr>
        <w:t>high</w:t>
      </w:r>
      <w:r w:rsidRPr="0038628B">
        <w:rPr>
          <w:rFonts w:ascii="Verdana" w:hAnsi="Verdana"/>
          <w:color w:val="090909"/>
          <w:spacing w:val="-1"/>
          <w:w w:val="110"/>
        </w:rPr>
        <w:t xml:space="preserve"> </w:t>
      </w:r>
      <w:r w:rsidRPr="0038628B">
        <w:rPr>
          <w:rFonts w:ascii="Verdana" w:hAnsi="Verdana"/>
          <w:color w:val="090909"/>
          <w:w w:val="110"/>
        </w:rPr>
        <w:t>quality</w:t>
      </w:r>
      <w:r w:rsidRPr="0038628B">
        <w:rPr>
          <w:rFonts w:ascii="Verdana" w:hAnsi="Verdana"/>
          <w:color w:val="090909"/>
          <w:spacing w:val="-1"/>
          <w:w w:val="110"/>
        </w:rPr>
        <w:t xml:space="preserve"> </w:t>
      </w:r>
      <w:r w:rsidRPr="0038628B">
        <w:rPr>
          <w:rFonts w:ascii="Verdana" w:hAnsi="Verdana"/>
          <w:color w:val="090909"/>
          <w:w w:val="110"/>
        </w:rPr>
        <w:t>liquid</w:t>
      </w:r>
      <w:r w:rsidRPr="0038628B">
        <w:rPr>
          <w:rFonts w:ascii="Verdana" w:hAnsi="Verdana"/>
          <w:color w:val="090909"/>
          <w:spacing w:val="-1"/>
          <w:w w:val="110"/>
        </w:rPr>
        <w:t xml:space="preserve"> </w:t>
      </w:r>
      <w:r w:rsidRPr="0038628B">
        <w:rPr>
          <w:rFonts w:ascii="Verdana" w:hAnsi="Verdana"/>
          <w:color w:val="090909"/>
          <w:w w:val="110"/>
        </w:rPr>
        <w:t>assets</w:t>
      </w:r>
      <w:r w:rsidRPr="0038628B">
        <w:rPr>
          <w:rFonts w:ascii="Verdana" w:hAnsi="Verdana"/>
          <w:color w:val="090909"/>
          <w:spacing w:val="-1"/>
          <w:w w:val="110"/>
        </w:rPr>
        <w:t xml:space="preserve"> </w:t>
      </w:r>
      <w:r w:rsidRPr="0038628B">
        <w:rPr>
          <w:rFonts w:ascii="Verdana" w:hAnsi="Verdana"/>
          <w:color w:val="090909"/>
          <w:w w:val="110"/>
        </w:rPr>
        <w:t>(</w:t>
      </w:r>
      <w:r w:rsidRPr="0038628B">
        <w:rPr>
          <w:rFonts w:ascii="Verdana" w:hAnsi="Verdana"/>
          <w:color w:val="090909"/>
          <w:w w:val="110"/>
        </w:rPr>
        <w:t>eg</w:t>
      </w:r>
      <w:r w:rsidRPr="0038628B">
        <w:rPr>
          <w:rFonts w:ascii="Verdana" w:hAnsi="Verdana"/>
          <w:color w:val="090909"/>
          <w:spacing w:val="-1"/>
          <w:w w:val="110"/>
        </w:rPr>
        <w:t xml:space="preserve"> </w:t>
      </w:r>
      <w:r w:rsidRPr="0038628B">
        <w:rPr>
          <w:rFonts w:ascii="Verdana" w:hAnsi="Verdana"/>
          <w:color w:val="090909"/>
          <w:w w:val="110"/>
        </w:rPr>
        <w:t>short term</w:t>
      </w:r>
      <w:r w:rsidRPr="0038628B">
        <w:rPr>
          <w:rFonts w:ascii="Verdana" w:hAnsi="Verdana"/>
          <w:color w:val="090909"/>
          <w:spacing w:val="-9"/>
          <w:w w:val="110"/>
        </w:rPr>
        <w:t xml:space="preserve"> </w:t>
      </w:r>
      <w:r w:rsidRPr="0038628B">
        <w:rPr>
          <w:rFonts w:ascii="Verdana" w:hAnsi="Verdana"/>
          <w:color w:val="090909"/>
          <w:w w:val="110"/>
        </w:rPr>
        <w:t>government</w:t>
      </w:r>
      <w:r w:rsidRPr="0038628B">
        <w:rPr>
          <w:rFonts w:ascii="Verdana" w:hAnsi="Verdana"/>
          <w:color w:val="090909"/>
          <w:spacing w:val="-9"/>
          <w:w w:val="110"/>
        </w:rPr>
        <w:t xml:space="preserve"> </w:t>
      </w:r>
      <w:r w:rsidRPr="0038628B">
        <w:rPr>
          <w:rFonts w:ascii="Verdana" w:hAnsi="Verdana"/>
          <w:color w:val="090909"/>
          <w:w w:val="110"/>
        </w:rPr>
        <w:t>gilts)</w:t>
      </w:r>
      <w:r w:rsidRPr="0038628B">
        <w:rPr>
          <w:rFonts w:ascii="Verdana" w:hAnsi="Verdana"/>
          <w:color w:val="090909"/>
          <w:spacing w:val="-9"/>
          <w:w w:val="110"/>
        </w:rPr>
        <w:t xml:space="preserve"> </w:t>
      </w:r>
      <w:r w:rsidRPr="0038628B">
        <w:rPr>
          <w:rFonts w:ascii="Verdana" w:hAnsi="Verdana"/>
          <w:color w:val="090909"/>
          <w:w w:val="110"/>
        </w:rPr>
        <w:t>with</w:t>
      </w:r>
      <w:r w:rsidRPr="0038628B">
        <w:rPr>
          <w:rFonts w:ascii="Verdana" w:hAnsi="Verdana"/>
          <w:color w:val="090909"/>
          <w:spacing w:val="-9"/>
          <w:w w:val="110"/>
        </w:rPr>
        <w:t xml:space="preserve"> </w:t>
      </w:r>
      <w:r w:rsidRPr="0038628B">
        <w:rPr>
          <w:rFonts w:ascii="Verdana" w:hAnsi="Verdana"/>
          <w:color w:val="090909"/>
          <w:w w:val="110"/>
        </w:rPr>
        <w:t>little</w:t>
      </w:r>
      <w:r w:rsidRPr="0038628B">
        <w:rPr>
          <w:rFonts w:ascii="Verdana" w:hAnsi="Verdana"/>
          <w:color w:val="090909"/>
          <w:spacing w:val="-9"/>
          <w:w w:val="110"/>
        </w:rPr>
        <w:t xml:space="preserve"> </w:t>
      </w:r>
      <w:r w:rsidRPr="0038628B">
        <w:rPr>
          <w:rFonts w:ascii="Verdana" w:hAnsi="Verdana"/>
          <w:color w:val="090909"/>
          <w:w w:val="110"/>
        </w:rPr>
        <w:t>or</w:t>
      </w:r>
      <w:r w:rsidRPr="0038628B">
        <w:rPr>
          <w:rFonts w:ascii="Verdana" w:hAnsi="Verdana"/>
          <w:color w:val="090909"/>
          <w:spacing w:val="-9"/>
          <w:w w:val="110"/>
        </w:rPr>
        <w:t xml:space="preserve"> </w:t>
      </w:r>
      <w:r w:rsidRPr="0038628B">
        <w:rPr>
          <w:rFonts w:ascii="Verdana" w:hAnsi="Verdana"/>
          <w:color w:val="090909"/>
          <w:w w:val="110"/>
        </w:rPr>
        <w:t>no</w:t>
      </w:r>
      <w:r w:rsidRPr="0038628B">
        <w:rPr>
          <w:rFonts w:ascii="Verdana" w:hAnsi="Verdana"/>
          <w:color w:val="090909"/>
          <w:spacing w:val="-9"/>
          <w:w w:val="110"/>
        </w:rPr>
        <w:t xml:space="preserve"> </w:t>
      </w:r>
      <w:r w:rsidRPr="0038628B">
        <w:rPr>
          <w:rFonts w:ascii="Verdana" w:hAnsi="Verdana"/>
          <w:color w:val="090909"/>
          <w:w w:val="110"/>
        </w:rPr>
        <w:t>credit</w:t>
      </w:r>
      <w:r w:rsidRPr="0038628B">
        <w:rPr>
          <w:rFonts w:ascii="Verdana" w:hAnsi="Verdana"/>
          <w:color w:val="090909"/>
          <w:spacing w:val="-9"/>
          <w:w w:val="110"/>
        </w:rPr>
        <w:t xml:space="preserve"> </w:t>
      </w:r>
      <w:r w:rsidRPr="0038628B">
        <w:rPr>
          <w:rFonts w:ascii="Verdana" w:hAnsi="Verdana"/>
          <w:color w:val="090909"/>
          <w:w w:val="110"/>
        </w:rPr>
        <w:t>risk</w:t>
      </w:r>
      <w:r w:rsidRPr="0038628B">
        <w:rPr>
          <w:rFonts w:ascii="Verdana" w:hAnsi="Verdana"/>
          <w:color w:val="090909"/>
          <w:spacing w:val="-9"/>
          <w:w w:val="110"/>
        </w:rPr>
        <w:t xml:space="preserve"> </w:t>
      </w:r>
      <w:r w:rsidRPr="0038628B">
        <w:rPr>
          <w:rFonts w:ascii="Verdana" w:hAnsi="Verdana"/>
          <w:color w:val="090909"/>
          <w:w w:val="110"/>
        </w:rPr>
        <w:t>and</w:t>
      </w:r>
      <w:r w:rsidRPr="0038628B">
        <w:rPr>
          <w:rFonts w:ascii="Verdana" w:hAnsi="Verdana"/>
          <w:color w:val="090909"/>
          <w:spacing w:val="-9"/>
          <w:w w:val="110"/>
        </w:rPr>
        <w:t xml:space="preserve"> </w:t>
      </w:r>
      <w:r w:rsidRPr="0038628B">
        <w:rPr>
          <w:rFonts w:ascii="Verdana" w:hAnsi="Verdana"/>
          <w:color w:val="090909"/>
          <w:w w:val="110"/>
        </w:rPr>
        <w:t>limited</w:t>
      </w:r>
      <w:r w:rsidRPr="0038628B">
        <w:rPr>
          <w:rFonts w:ascii="Verdana" w:hAnsi="Verdana"/>
          <w:color w:val="090909"/>
          <w:spacing w:val="-9"/>
          <w:w w:val="110"/>
        </w:rPr>
        <w:t xml:space="preserve"> </w:t>
      </w:r>
      <w:r w:rsidRPr="0038628B">
        <w:rPr>
          <w:rFonts w:ascii="Verdana" w:hAnsi="Verdana"/>
          <w:color w:val="090909"/>
          <w:w w:val="110"/>
        </w:rPr>
        <w:t>liquidity</w:t>
      </w:r>
      <w:r w:rsidRPr="0038628B">
        <w:rPr>
          <w:rFonts w:ascii="Verdana" w:hAnsi="Verdana"/>
          <w:color w:val="090909"/>
          <w:spacing w:val="-9"/>
          <w:w w:val="110"/>
        </w:rPr>
        <w:t xml:space="preserve"> </w:t>
      </w:r>
      <w:r w:rsidRPr="0038628B">
        <w:rPr>
          <w:rFonts w:ascii="Verdana" w:hAnsi="Verdana"/>
          <w:color w:val="090909"/>
          <w:w w:val="110"/>
        </w:rPr>
        <w:t>risk.</w:t>
      </w:r>
    </w:p>
    <w:p w:rsidR="00FF7EEB" w:rsidRPr="0038628B">
      <w:pPr>
        <w:pStyle w:val="BodyText"/>
        <w:spacing w:line="259" w:lineRule="auto"/>
        <w:jc w:val="both"/>
        <w:rPr>
          <w:rFonts w:ascii="Verdana" w:hAnsi="Verdana"/>
        </w:rPr>
        <w:sectPr>
          <w:pgSz w:w="11920" w:h="16840"/>
          <w:pgMar w:top="1360" w:right="1417" w:bottom="980" w:left="1417" w:header="0" w:footer="799" w:gutter="0"/>
          <w:cols w:space="720"/>
        </w:sectPr>
      </w:pPr>
    </w:p>
    <w:p w:rsidR="00FF7EEB" w:rsidRPr="0038628B">
      <w:pPr>
        <w:pStyle w:val="BodyText"/>
        <w:spacing w:before="80" w:line="259" w:lineRule="auto"/>
        <w:ind w:left="23" w:right="42"/>
        <w:jc w:val="both"/>
        <w:rPr>
          <w:rFonts w:ascii="Verdana" w:hAnsi="Verdana"/>
        </w:rPr>
      </w:pPr>
      <w:r w:rsidRPr="0038628B">
        <w:rPr>
          <w:rFonts w:ascii="Verdana" w:hAnsi="Verdana"/>
          <w:color w:val="090909"/>
          <w:w w:val="105"/>
        </w:rPr>
        <w:t xml:space="preserve">As noted in the evidence session, the Bank of England is considering providing </w:t>
      </w:r>
      <w:r w:rsidRPr="0038628B">
        <w:rPr>
          <w:rFonts w:ascii="Verdana" w:hAnsi="Verdana"/>
          <w:color w:val="090909"/>
          <w:w w:val="105"/>
        </w:rPr>
        <w:t>back stop</w:t>
      </w:r>
      <w:r w:rsidRPr="0038628B">
        <w:rPr>
          <w:rFonts w:ascii="Verdana" w:hAnsi="Verdana"/>
          <w:color w:val="090909"/>
          <w:w w:val="105"/>
        </w:rPr>
        <w:t xml:space="preserve"> liquidity for systemic </w:t>
      </w:r>
      <w:r w:rsidRPr="0038628B">
        <w:rPr>
          <w:rFonts w:ascii="Verdana" w:hAnsi="Verdana"/>
          <w:color w:val="090909"/>
          <w:w w:val="105"/>
        </w:rPr>
        <w:t>stablecoins</w:t>
      </w:r>
      <w:r w:rsidRPr="0038628B">
        <w:rPr>
          <w:rFonts w:ascii="Verdana" w:hAnsi="Verdana"/>
          <w:color w:val="090909"/>
          <w:w w:val="105"/>
        </w:rPr>
        <w:t xml:space="preserve"> - which would provide the same lender of last resort protection as (</w:t>
      </w:r>
      <w:r w:rsidRPr="0038628B">
        <w:rPr>
          <w:rFonts w:ascii="Verdana" w:hAnsi="Verdana"/>
          <w:color w:val="090909"/>
          <w:w w:val="105"/>
        </w:rPr>
        <w:t>tokenised</w:t>
      </w:r>
      <w:r w:rsidRPr="0038628B">
        <w:rPr>
          <w:rFonts w:ascii="Verdana" w:hAnsi="Verdana"/>
          <w:color w:val="090909"/>
          <w:w w:val="105"/>
        </w:rPr>
        <w:t>) bank deposits.</w:t>
      </w:r>
    </w:p>
    <w:p w:rsidR="00FF7EEB" w:rsidRPr="0038628B">
      <w:pPr>
        <w:pStyle w:val="BodyText"/>
        <w:rPr>
          <w:rFonts w:ascii="Verdana" w:hAnsi="Verdana"/>
          <w:sz w:val="20"/>
        </w:rPr>
      </w:pPr>
    </w:p>
    <w:p w:rsidR="00FF7EEB" w:rsidRPr="0038628B">
      <w:pPr>
        <w:pStyle w:val="BodyText"/>
        <w:spacing w:before="206"/>
        <w:rPr>
          <w:rFonts w:ascii="Verdana" w:hAnsi="Verdana"/>
          <w:sz w:val="20"/>
        </w:rPr>
      </w:pPr>
    </w:p>
    <w:tbl>
      <w:tblPr>
        <w:tblW w:w="0" w:type="auto"/>
        <w:tblInd w:w="85" w:type="dxa"/>
        <w:tblLayout w:type="fixed"/>
        <w:tblCellMar>
          <w:left w:w="0" w:type="dxa"/>
          <w:right w:w="0" w:type="dxa"/>
        </w:tblCellMar>
        <w:tblLook w:val="01E0"/>
      </w:tblPr>
      <w:tblGrid>
        <w:gridCol w:w="2389"/>
        <w:gridCol w:w="3413"/>
        <w:gridCol w:w="2185"/>
      </w:tblGrid>
      <w:tr>
        <w:tblPrEx>
          <w:tblW w:w="0" w:type="auto"/>
          <w:tblInd w:w="85" w:type="dxa"/>
          <w:tblLayout w:type="fixed"/>
          <w:tblCellMar>
            <w:left w:w="0" w:type="dxa"/>
            <w:right w:w="0" w:type="dxa"/>
          </w:tblCellMar>
          <w:tblLook w:val="01E0"/>
        </w:tblPrEx>
        <w:trPr>
          <w:trHeight w:val="416"/>
        </w:trPr>
        <w:tc>
          <w:tcPr>
            <w:tcW w:w="2389" w:type="dxa"/>
          </w:tcPr>
          <w:p w:rsidR="00FF7EEB" w:rsidRPr="0038628B">
            <w:pPr>
              <w:pStyle w:val="TableParagraph"/>
              <w:spacing w:before="0"/>
              <w:rPr>
                <w:rFonts w:ascii="Verdana" w:hAnsi="Verdana"/>
                <w:b/>
              </w:rPr>
            </w:pPr>
            <w:r w:rsidRPr="0038628B">
              <w:rPr>
                <w:rFonts w:ascii="Verdana" w:hAnsi="Verdana"/>
                <w:b/>
                <w:color w:val="090909"/>
                <w:spacing w:val="-2"/>
              </w:rPr>
              <w:t>Dimension</w:t>
            </w:r>
          </w:p>
        </w:tc>
        <w:tc>
          <w:tcPr>
            <w:tcW w:w="3413" w:type="dxa"/>
          </w:tcPr>
          <w:p w:rsidR="00FF7EEB" w:rsidRPr="0038628B">
            <w:pPr>
              <w:pStyle w:val="TableParagraph"/>
              <w:spacing w:before="0"/>
              <w:ind w:left="661"/>
              <w:rPr>
                <w:rFonts w:ascii="Verdana" w:hAnsi="Verdana"/>
                <w:b/>
              </w:rPr>
            </w:pPr>
            <w:r w:rsidRPr="0038628B">
              <w:rPr>
                <w:rFonts w:ascii="Verdana" w:hAnsi="Verdana"/>
                <w:b/>
                <w:color w:val="090909"/>
              </w:rPr>
              <w:t>Tokenised</w:t>
            </w:r>
            <w:r w:rsidRPr="0038628B">
              <w:rPr>
                <w:rFonts w:ascii="Verdana" w:hAnsi="Verdana"/>
                <w:b/>
                <w:color w:val="090909"/>
                <w:spacing w:val="-9"/>
              </w:rPr>
              <w:t xml:space="preserve"> </w:t>
            </w:r>
            <w:r w:rsidRPr="0038628B">
              <w:rPr>
                <w:rFonts w:ascii="Verdana" w:hAnsi="Verdana"/>
                <w:b/>
                <w:color w:val="090909"/>
                <w:spacing w:val="-2"/>
              </w:rPr>
              <w:t>Deposits</w:t>
            </w:r>
          </w:p>
        </w:tc>
        <w:tc>
          <w:tcPr>
            <w:tcW w:w="2185" w:type="dxa"/>
          </w:tcPr>
          <w:p w:rsidR="00FF7EEB" w:rsidRPr="0038628B">
            <w:pPr>
              <w:pStyle w:val="TableParagraph"/>
              <w:spacing w:before="0"/>
              <w:ind w:left="247"/>
              <w:rPr>
                <w:rFonts w:ascii="Verdana" w:hAnsi="Verdana"/>
                <w:b/>
              </w:rPr>
            </w:pPr>
            <w:r w:rsidRPr="0038628B">
              <w:rPr>
                <w:rFonts w:ascii="Verdana" w:hAnsi="Verdana"/>
                <w:b/>
                <w:color w:val="090909"/>
                <w:spacing w:val="-2"/>
              </w:rPr>
              <w:t>Stablecoins</w:t>
            </w:r>
          </w:p>
        </w:tc>
      </w:tr>
      <w:tr>
        <w:tblPrEx>
          <w:tblW w:w="0" w:type="auto"/>
          <w:tblInd w:w="85" w:type="dxa"/>
          <w:tblLayout w:type="fixed"/>
          <w:tblCellMar>
            <w:left w:w="0" w:type="dxa"/>
            <w:right w:w="0" w:type="dxa"/>
          </w:tblCellMar>
          <w:tblLook w:val="01E0"/>
        </w:tblPrEx>
        <w:trPr>
          <w:trHeight w:val="533"/>
        </w:trPr>
        <w:tc>
          <w:tcPr>
            <w:tcW w:w="2389" w:type="dxa"/>
          </w:tcPr>
          <w:p w:rsidR="00FF7EEB" w:rsidRPr="0038628B">
            <w:pPr>
              <w:pStyle w:val="TableParagraph"/>
              <w:rPr>
                <w:rFonts w:ascii="Verdana" w:hAnsi="Verdana"/>
                <w:i/>
              </w:rPr>
            </w:pPr>
            <w:r w:rsidRPr="0038628B">
              <w:rPr>
                <w:rFonts w:ascii="Verdana" w:hAnsi="Verdana"/>
                <w:i/>
                <w:color w:val="090909"/>
                <w:spacing w:val="-2"/>
              </w:rPr>
              <w:t>Issuer</w:t>
            </w:r>
          </w:p>
        </w:tc>
        <w:tc>
          <w:tcPr>
            <w:tcW w:w="3413" w:type="dxa"/>
          </w:tcPr>
          <w:p w:rsidR="00FF7EEB" w:rsidRPr="0038628B">
            <w:pPr>
              <w:pStyle w:val="TableParagraph"/>
              <w:ind w:left="661"/>
              <w:rPr>
                <w:rFonts w:ascii="Verdana" w:hAnsi="Verdana"/>
              </w:rPr>
            </w:pPr>
            <w:r w:rsidRPr="0038628B">
              <w:rPr>
                <w:rFonts w:ascii="Verdana" w:hAnsi="Verdana"/>
                <w:color w:val="090909"/>
                <w:w w:val="105"/>
              </w:rPr>
              <w:t>Regulated</w:t>
            </w:r>
            <w:r w:rsidRPr="0038628B">
              <w:rPr>
                <w:rFonts w:ascii="Verdana" w:hAnsi="Verdana"/>
                <w:color w:val="090909"/>
                <w:spacing w:val="-7"/>
                <w:w w:val="105"/>
              </w:rPr>
              <w:t xml:space="preserve"> </w:t>
            </w:r>
            <w:r w:rsidRPr="0038628B">
              <w:rPr>
                <w:rFonts w:ascii="Verdana" w:hAnsi="Verdana"/>
                <w:color w:val="090909"/>
                <w:spacing w:val="-4"/>
                <w:w w:val="105"/>
              </w:rPr>
              <w:t>bank</w:t>
            </w:r>
          </w:p>
        </w:tc>
        <w:tc>
          <w:tcPr>
            <w:tcW w:w="2185" w:type="dxa"/>
          </w:tcPr>
          <w:p w:rsidR="00FF7EEB" w:rsidRPr="0038628B">
            <w:pPr>
              <w:pStyle w:val="TableParagraph"/>
              <w:ind w:left="247"/>
              <w:rPr>
                <w:rFonts w:ascii="Verdana" w:hAnsi="Verdana"/>
              </w:rPr>
            </w:pPr>
            <w:r w:rsidRPr="0038628B">
              <w:rPr>
                <w:rFonts w:ascii="Verdana" w:hAnsi="Verdana"/>
                <w:color w:val="090909"/>
                <w:w w:val="105"/>
              </w:rPr>
              <w:t>Non-bank</w:t>
            </w:r>
            <w:r w:rsidRPr="0038628B">
              <w:rPr>
                <w:rFonts w:ascii="Verdana" w:hAnsi="Verdana"/>
                <w:color w:val="090909"/>
                <w:spacing w:val="-7"/>
                <w:w w:val="105"/>
              </w:rPr>
              <w:t xml:space="preserve"> </w:t>
            </w:r>
            <w:r w:rsidRPr="0038628B">
              <w:rPr>
                <w:rFonts w:ascii="Verdana" w:hAnsi="Verdana"/>
                <w:color w:val="090909"/>
                <w:w w:val="105"/>
              </w:rPr>
              <w:t>or</w:t>
            </w:r>
            <w:r w:rsidRPr="0038628B">
              <w:rPr>
                <w:rFonts w:ascii="Verdana" w:hAnsi="Verdana"/>
                <w:color w:val="090909"/>
                <w:spacing w:val="-6"/>
                <w:w w:val="105"/>
              </w:rPr>
              <w:t xml:space="preserve"> </w:t>
            </w:r>
            <w:r w:rsidRPr="0038628B">
              <w:rPr>
                <w:rFonts w:ascii="Verdana" w:hAnsi="Verdana"/>
                <w:color w:val="090909"/>
                <w:spacing w:val="-4"/>
                <w:w w:val="105"/>
              </w:rPr>
              <w:t>bank</w:t>
            </w:r>
          </w:p>
        </w:tc>
      </w:tr>
      <w:tr>
        <w:tblPrEx>
          <w:tblW w:w="0" w:type="auto"/>
          <w:tblInd w:w="85" w:type="dxa"/>
          <w:tblLayout w:type="fixed"/>
          <w:tblCellMar>
            <w:left w:w="0" w:type="dxa"/>
            <w:right w:w="0" w:type="dxa"/>
          </w:tblCellMar>
          <w:tblLook w:val="01E0"/>
        </w:tblPrEx>
        <w:trPr>
          <w:trHeight w:val="533"/>
        </w:trPr>
        <w:tc>
          <w:tcPr>
            <w:tcW w:w="2389" w:type="dxa"/>
          </w:tcPr>
          <w:p w:rsidR="00FF7EEB" w:rsidRPr="0038628B">
            <w:pPr>
              <w:pStyle w:val="TableParagraph"/>
              <w:rPr>
                <w:rFonts w:ascii="Verdana" w:hAnsi="Verdana"/>
                <w:i/>
              </w:rPr>
            </w:pPr>
            <w:r w:rsidRPr="0038628B">
              <w:rPr>
                <w:rFonts w:ascii="Verdana" w:hAnsi="Verdana"/>
                <w:i/>
                <w:color w:val="090909"/>
              </w:rPr>
              <w:t>Balance</w:t>
            </w:r>
            <w:r w:rsidRPr="0038628B">
              <w:rPr>
                <w:rFonts w:ascii="Verdana" w:hAnsi="Verdana"/>
                <w:i/>
                <w:color w:val="090909"/>
                <w:spacing w:val="4"/>
              </w:rPr>
              <w:t xml:space="preserve"> </w:t>
            </w:r>
            <w:r w:rsidRPr="0038628B">
              <w:rPr>
                <w:rFonts w:ascii="Verdana" w:hAnsi="Verdana"/>
                <w:i/>
                <w:color w:val="090909"/>
                <w:spacing w:val="-2"/>
              </w:rPr>
              <w:t>sheet</w:t>
            </w:r>
          </w:p>
        </w:tc>
        <w:tc>
          <w:tcPr>
            <w:tcW w:w="3413" w:type="dxa"/>
          </w:tcPr>
          <w:p w:rsidR="00FF7EEB" w:rsidRPr="0038628B">
            <w:pPr>
              <w:pStyle w:val="TableParagraph"/>
              <w:ind w:left="661"/>
              <w:rPr>
                <w:rFonts w:ascii="Verdana" w:hAnsi="Verdana"/>
              </w:rPr>
            </w:pPr>
            <w:r w:rsidRPr="0038628B">
              <w:rPr>
                <w:rFonts w:ascii="Verdana" w:hAnsi="Verdana"/>
                <w:color w:val="090909"/>
                <w:spacing w:val="-2"/>
                <w:w w:val="105"/>
              </w:rPr>
              <w:t>On-balance</w:t>
            </w:r>
            <w:r w:rsidRPr="0038628B">
              <w:rPr>
                <w:rFonts w:ascii="Verdana" w:hAnsi="Verdana"/>
                <w:color w:val="090909"/>
                <w:spacing w:val="1"/>
                <w:w w:val="105"/>
              </w:rPr>
              <w:t xml:space="preserve"> </w:t>
            </w:r>
            <w:r w:rsidRPr="0038628B">
              <w:rPr>
                <w:rFonts w:ascii="Verdana" w:hAnsi="Verdana"/>
                <w:color w:val="090909"/>
                <w:spacing w:val="-4"/>
                <w:w w:val="105"/>
              </w:rPr>
              <w:t>sheet</w:t>
            </w:r>
          </w:p>
        </w:tc>
        <w:tc>
          <w:tcPr>
            <w:tcW w:w="2185" w:type="dxa"/>
          </w:tcPr>
          <w:p w:rsidR="00FF7EEB" w:rsidRPr="0038628B">
            <w:pPr>
              <w:pStyle w:val="TableParagraph"/>
              <w:ind w:left="247"/>
              <w:rPr>
                <w:rFonts w:ascii="Verdana" w:hAnsi="Verdana"/>
              </w:rPr>
            </w:pPr>
            <w:r w:rsidRPr="0038628B">
              <w:rPr>
                <w:rFonts w:ascii="Verdana" w:hAnsi="Verdana"/>
                <w:color w:val="090909"/>
                <w:w w:val="105"/>
              </w:rPr>
              <w:t>Oﬀ-balance</w:t>
            </w:r>
            <w:r w:rsidRPr="0038628B">
              <w:rPr>
                <w:rFonts w:ascii="Verdana" w:hAnsi="Verdana"/>
                <w:color w:val="090909"/>
                <w:spacing w:val="-5"/>
                <w:w w:val="105"/>
              </w:rPr>
              <w:t xml:space="preserve"> </w:t>
            </w:r>
            <w:r w:rsidRPr="0038628B">
              <w:rPr>
                <w:rFonts w:ascii="Verdana" w:hAnsi="Verdana"/>
                <w:color w:val="090909"/>
                <w:spacing w:val="-4"/>
                <w:w w:val="105"/>
              </w:rPr>
              <w:t>sheet</w:t>
            </w:r>
          </w:p>
        </w:tc>
      </w:tr>
      <w:tr>
        <w:tblPrEx>
          <w:tblW w:w="0" w:type="auto"/>
          <w:tblInd w:w="85" w:type="dxa"/>
          <w:tblLayout w:type="fixed"/>
          <w:tblCellMar>
            <w:left w:w="0" w:type="dxa"/>
            <w:right w:w="0" w:type="dxa"/>
          </w:tblCellMar>
          <w:tblLook w:val="01E0"/>
        </w:tblPrEx>
        <w:trPr>
          <w:trHeight w:val="533"/>
        </w:trPr>
        <w:tc>
          <w:tcPr>
            <w:tcW w:w="2389" w:type="dxa"/>
          </w:tcPr>
          <w:p w:rsidR="00FF7EEB" w:rsidRPr="0038628B">
            <w:pPr>
              <w:pStyle w:val="TableParagraph"/>
              <w:rPr>
                <w:rFonts w:ascii="Verdana" w:hAnsi="Verdana"/>
                <w:i/>
              </w:rPr>
            </w:pPr>
            <w:r w:rsidRPr="0038628B">
              <w:rPr>
                <w:rFonts w:ascii="Verdana" w:hAnsi="Verdana"/>
                <w:i/>
                <w:color w:val="090909"/>
                <w:spacing w:val="-2"/>
              </w:rPr>
              <w:t>Insurance</w:t>
            </w:r>
          </w:p>
        </w:tc>
        <w:tc>
          <w:tcPr>
            <w:tcW w:w="3413" w:type="dxa"/>
          </w:tcPr>
          <w:p w:rsidR="00FF7EEB" w:rsidRPr="0038628B">
            <w:pPr>
              <w:pStyle w:val="TableParagraph"/>
              <w:ind w:left="661"/>
              <w:rPr>
                <w:rFonts w:ascii="Verdana" w:hAnsi="Verdana"/>
              </w:rPr>
            </w:pPr>
            <w:r w:rsidRPr="0038628B">
              <w:rPr>
                <w:rFonts w:ascii="Verdana" w:hAnsi="Verdana"/>
                <w:color w:val="090909"/>
              </w:rPr>
              <w:t>FSCS/deposit-</w:t>
            </w:r>
            <w:r w:rsidRPr="0038628B">
              <w:rPr>
                <w:rFonts w:ascii="Verdana" w:hAnsi="Verdana"/>
                <w:color w:val="090909"/>
                <w:spacing w:val="-2"/>
              </w:rPr>
              <w:t>insured</w:t>
            </w:r>
          </w:p>
        </w:tc>
        <w:tc>
          <w:tcPr>
            <w:tcW w:w="2185" w:type="dxa"/>
          </w:tcPr>
          <w:p w:rsidR="00FF7EEB" w:rsidRPr="0038628B">
            <w:pPr>
              <w:pStyle w:val="TableParagraph"/>
              <w:ind w:left="247"/>
              <w:rPr>
                <w:rFonts w:ascii="Verdana" w:hAnsi="Verdana"/>
              </w:rPr>
            </w:pPr>
            <w:r w:rsidRPr="0038628B">
              <w:rPr>
                <w:rFonts w:ascii="Verdana" w:hAnsi="Verdana"/>
                <w:color w:val="090909"/>
                <w:w w:val="105"/>
              </w:rPr>
              <w:t>None</w:t>
            </w:r>
            <w:r w:rsidRPr="0038628B">
              <w:rPr>
                <w:rFonts w:ascii="Verdana" w:hAnsi="Verdana"/>
                <w:color w:val="090909"/>
                <w:spacing w:val="-11"/>
                <w:w w:val="105"/>
              </w:rPr>
              <w:t xml:space="preserve"> </w:t>
            </w:r>
            <w:r w:rsidRPr="0038628B">
              <w:rPr>
                <w:rFonts w:ascii="Verdana" w:hAnsi="Verdana"/>
                <w:color w:val="090909"/>
                <w:spacing w:val="-2"/>
                <w:w w:val="105"/>
              </w:rPr>
              <w:t>needed</w:t>
            </w:r>
          </w:p>
        </w:tc>
      </w:tr>
      <w:tr>
        <w:tblPrEx>
          <w:tblW w:w="0" w:type="auto"/>
          <w:tblInd w:w="85" w:type="dxa"/>
          <w:tblLayout w:type="fixed"/>
          <w:tblCellMar>
            <w:left w:w="0" w:type="dxa"/>
            <w:right w:w="0" w:type="dxa"/>
          </w:tblCellMar>
          <w:tblLook w:val="01E0"/>
        </w:tblPrEx>
        <w:trPr>
          <w:trHeight w:val="533"/>
        </w:trPr>
        <w:tc>
          <w:tcPr>
            <w:tcW w:w="2389" w:type="dxa"/>
          </w:tcPr>
          <w:p w:rsidR="00FF7EEB" w:rsidRPr="0038628B">
            <w:pPr>
              <w:pStyle w:val="TableParagraph"/>
              <w:rPr>
                <w:rFonts w:ascii="Verdana" w:hAnsi="Verdana"/>
                <w:i/>
              </w:rPr>
            </w:pPr>
            <w:r w:rsidRPr="0038628B">
              <w:rPr>
                <w:rFonts w:ascii="Verdana" w:hAnsi="Verdana"/>
                <w:i/>
                <w:color w:val="090909"/>
                <w:spacing w:val="-2"/>
              </w:rPr>
              <w:t>Blockchain</w:t>
            </w:r>
          </w:p>
        </w:tc>
        <w:tc>
          <w:tcPr>
            <w:tcW w:w="3413" w:type="dxa"/>
          </w:tcPr>
          <w:p w:rsidR="00FF7EEB" w:rsidRPr="0038628B">
            <w:pPr>
              <w:pStyle w:val="TableParagraph"/>
              <w:ind w:left="661"/>
              <w:rPr>
                <w:rFonts w:ascii="Verdana" w:hAnsi="Verdana"/>
              </w:rPr>
            </w:pPr>
            <w:r w:rsidRPr="0038628B">
              <w:rPr>
                <w:rFonts w:ascii="Verdana" w:hAnsi="Verdana"/>
                <w:color w:val="090909"/>
                <w:spacing w:val="-2"/>
                <w:w w:val="105"/>
              </w:rPr>
              <w:t>Permissioned/private</w:t>
            </w:r>
          </w:p>
        </w:tc>
        <w:tc>
          <w:tcPr>
            <w:tcW w:w="2185" w:type="dxa"/>
          </w:tcPr>
          <w:p w:rsidR="00FF7EEB" w:rsidRPr="0038628B">
            <w:pPr>
              <w:pStyle w:val="TableParagraph"/>
              <w:ind w:left="247"/>
              <w:rPr>
                <w:rFonts w:ascii="Verdana" w:hAnsi="Verdana"/>
              </w:rPr>
            </w:pPr>
            <w:r w:rsidRPr="0038628B">
              <w:rPr>
                <w:rFonts w:ascii="Verdana" w:hAnsi="Verdana"/>
                <w:color w:val="090909"/>
                <w:w w:val="105"/>
              </w:rPr>
              <w:t>Public</w:t>
            </w:r>
            <w:r w:rsidRPr="0038628B">
              <w:rPr>
                <w:rFonts w:ascii="Verdana" w:hAnsi="Verdana"/>
                <w:color w:val="090909"/>
                <w:spacing w:val="-5"/>
                <w:w w:val="105"/>
              </w:rPr>
              <w:t xml:space="preserve"> </w:t>
            </w:r>
            <w:r w:rsidRPr="0038628B">
              <w:rPr>
                <w:rFonts w:ascii="Verdana" w:hAnsi="Verdana"/>
                <w:color w:val="090909"/>
                <w:w w:val="105"/>
              </w:rPr>
              <w:t>or</w:t>
            </w:r>
            <w:r w:rsidRPr="0038628B">
              <w:rPr>
                <w:rFonts w:ascii="Verdana" w:hAnsi="Verdana"/>
                <w:color w:val="090909"/>
                <w:spacing w:val="-5"/>
                <w:w w:val="105"/>
              </w:rPr>
              <w:t xml:space="preserve"> </w:t>
            </w:r>
            <w:r w:rsidRPr="0038628B">
              <w:rPr>
                <w:rFonts w:ascii="Verdana" w:hAnsi="Verdana"/>
                <w:color w:val="090909"/>
                <w:spacing w:val="-2"/>
                <w:w w:val="105"/>
              </w:rPr>
              <w:t>private</w:t>
            </w:r>
          </w:p>
        </w:tc>
      </w:tr>
      <w:tr>
        <w:tblPrEx>
          <w:tblW w:w="0" w:type="auto"/>
          <w:tblInd w:w="85" w:type="dxa"/>
          <w:tblLayout w:type="fixed"/>
          <w:tblCellMar>
            <w:left w:w="0" w:type="dxa"/>
            <w:right w:w="0" w:type="dxa"/>
          </w:tblCellMar>
          <w:tblLook w:val="01E0"/>
        </w:tblPrEx>
        <w:trPr>
          <w:trHeight w:val="533"/>
        </w:trPr>
        <w:tc>
          <w:tcPr>
            <w:tcW w:w="2389" w:type="dxa"/>
          </w:tcPr>
          <w:p w:rsidR="00FF7EEB" w:rsidRPr="0038628B">
            <w:pPr>
              <w:pStyle w:val="TableParagraph"/>
              <w:rPr>
                <w:rFonts w:ascii="Verdana" w:hAnsi="Verdana"/>
                <w:i/>
              </w:rPr>
            </w:pPr>
            <w:r w:rsidRPr="0038628B">
              <w:rPr>
                <w:rFonts w:ascii="Verdana" w:hAnsi="Verdana"/>
                <w:i/>
                <w:color w:val="090909"/>
                <w:spacing w:val="-2"/>
              </w:rPr>
              <w:t>Transferability</w:t>
            </w:r>
          </w:p>
        </w:tc>
        <w:tc>
          <w:tcPr>
            <w:tcW w:w="3413" w:type="dxa"/>
          </w:tcPr>
          <w:p w:rsidR="00FF7EEB" w:rsidRPr="0038628B">
            <w:pPr>
              <w:pStyle w:val="TableParagraph"/>
              <w:ind w:left="661"/>
              <w:rPr>
                <w:rFonts w:ascii="Verdana" w:hAnsi="Verdana"/>
              </w:rPr>
            </w:pPr>
            <w:r w:rsidRPr="0038628B">
              <w:rPr>
                <w:rFonts w:ascii="Verdana" w:hAnsi="Verdana"/>
                <w:color w:val="090909"/>
                <w:spacing w:val="-2"/>
                <w:w w:val="105"/>
              </w:rPr>
              <w:t>Account-holders</w:t>
            </w:r>
            <w:r w:rsidRPr="0038628B">
              <w:rPr>
                <w:rFonts w:ascii="Verdana" w:hAnsi="Verdana"/>
                <w:color w:val="090909"/>
                <w:spacing w:val="5"/>
                <w:w w:val="105"/>
              </w:rPr>
              <w:t xml:space="preserve"> </w:t>
            </w:r>
            <w:r w:rsidRPr="0038628B">
              <w:rPr>
                <w:rFonts w:ascii="Verdana" w:hAnsi="Verdana"/>
                <w:color w:val="090909"/>
                <w:spacing w:val="-4"/>
                <w:w w:val="105"/>
              </w:rPr>
              <w:t>only</w:t>
            </w:r>
          </w:p>
        </w:tc>
        <w:tc>
          <w:tcPr>
            <w:tcW w:w="2185" w:type="dxa"/>
          </w:tcPr>
          <w:p w:rsidR="00FF7EEB" w:rsidRPr="0038628B">
            <w:pPr>
              <w:pStyle w:val="TableParagraph"/>
              <w:ind w:left="247"/>
              <w:rPr>
                <w:rFonts w:ascii="Verdana" w:hAnsi="Verdana"/>
              </w:rPr>
            </w:pPr>
            <w:r w:rsidRPr="0038628B">
              <w:rPr>
                <w:rFonts w:ascii="Verdana" w:hAnsi="Verdana"/>
                <w:color w:val="090909"/>
                <w:spacing w:val="-2"/>
                <w:w w:val="105"/>
              </w:rPr>
              <w:t>Anyone</w:t>
            </w:r>
          </w:p>
        </w:tc>
      </w:tr>
      <w:tr>
        <w:tblPrEx>
          <w:tblW w:w="0" w:type="auto"/>
          <w:tblInd w:w="85" w:type="dxa"/>
          <w:tblLayout w:type="fixed"/>
          <w:tblCellMar>
            <w:left w:w="0" w:type="dxa"/>
            <w:right w:w="0" w:type="dxa"/>
          </w:tblCellMar>
          <w:tblLook w:val="01E0"/>
        </w:tblPrEx>
        <w:trPr>
          <w:trHeight w:val="533"/>
        </w:trPr>
        <w:tc>
          <w:tcPr>
            <w:tcW w:w="2389" w:type="dxa"/>
          </w:tcPr>
          <w:p w:rsidR="00FF7EEB" w:rsidRPr="0038628B">
            <w:pPr>
              <w:pStyle w:val="TableParagraph"/>
              <w:rPr>
                <w:rFonts w:ascii="Verdana" w:hAnsi="Verdana"/>
                <w:i/>
              </w:rPr>
            </w:pPr>
            <w:r w:rsidRPr="0038628B">
              <w:rPr>
                <w:rFonts w:ascii="Verdana" w:hAnsi="Verdana"/>
                <w:i/>
                <w:color w:val="090909"/>
              </w:rPr>
              <w:t>Capital</w:t>
            </w:r>
            <w:r w:rsidRPr="0038628B">
              <w:rPr>
                <w:rFonts w:ascii="Verdana" w:hAnsi="Verdana"/>
                <w:i/>
                <w:color w:val="090909"/>
                <w:spacing w:val="5"/>
              </w:rPr>
              <w:t xml:space="preserve"> </w:t>
            </w:r>
            <w:r w:rsidRPr="0038628B">
              <w:rPr>
                <w:rFonts w:ascii="Verdana" w:hAnsi="Verdana"/>
                <w:i/>
                <w:color w:val="090909"/>
                <w:spacing w:val="-2"/>
              </w:rPr>
              <w:t>eﬃciency</w:t>
            </w:r>
          </w:p>
        </w:tc>
        <w:tc>
          <w:tcPr>
            <w:tcW w:w="3413" w:type="dxa"/>
          </w:tcPr>
          <w:p w:rsidR="00FF7EEB" w:rsidRPr="0038628B">
            <w:pPr>
              <w:pStyle w:val="TableParagraph"/>
              <w:ind w:left="661"/>
              <w:rPr>
                <w:rFonts w:ascii="Verdana" w:hAnsi="Verdana"/>
              </w:rPr>
            </w:pPr>
            <w:r w:rsidRPr="0038628B">
              <w:rPr>
                <w:rFonts w:ascii="Verdana" w:hAnsi="Verdana"/>
                <w:color w:val="090909"/>
              </w:rPr>
              <w:t>High</w:t>
            </w:r>
            <w:r w:rsidRPr="0038628B">
              <w:rPr>
                <w:rFonts w:ascii="Verdana" w:hAnsi="Verdana"/>
                <w:color w:val="090909"/>
                <w:spacing w:val="43"/>
              </w:rPr>
              <w:t xml:space="preserve"> </w:t>
            </w:r>
            <w:r w:rsidRPr="0038628B">
              <w:rPr>
                <w:rFonts w:ascii="Verdana" w:hAnsi="Verdana"/>
                <w:color w:val="090909"/>
              </w:rPr>
              <w:t>(fractional</w:t>
            </w:r>
            <w:r w:rsidRPr="0038628B">
              <w:rPr>
                <w:rFonts w:ascii="Verdana" w:hAnsi="Verdana"/>
                <w:color w:val="090909"/>
                <w:spacing w:val="44"/>
              </w:rPr>
              <w:t xml:space="preserve"> </w:t>
            </w:r>
            <w:r w:rsidRPr="0038628B">
              <w:rPr>
                <w:rFonts w:ascii="Verdana" w:hAnsi="Verdana"/>
                <w:color w:val="090909"/>
                <w:spacing w:val="-2"/>
              </w:rPr>
              <w:t>reserve)</w:t>
            </w:r>
          </w:p>
        </w:tc>
        <w:tc>
          <w:tcPr>
            <w:tcW w:w="2185" w:type="dxa"/>
          </w:tcPr>
          <w:p w:rsidR="00FF7EEB" w:rsidRPr="0038628B">
            <w:pPr>
              <w:pStyle w:val="TableParagraph"/>
              <w:ind w:left="247"/>
              <w:rPr>
                <w:rFonts w:ascii="Verdana" w:hAnsi="Verdana"/>
              </w:rPr>
            </w:pPr>
            <w:r w:rsidRPr="0038628B">
              <w:rPr>
                <w:rFonts w:ascii="Verdana" w:hAnsi="Verdana"/>
                <w:color w:val="090909"/>
                <w:spacing w:val="-2"/>
                <w:w w:val="110"/>
              </w:rPr>
              <w:t>Low</w:t>
            </w:r>
            <w:r w:rsidRPr="0038628B">
              <w:rPr>
                <w:rFonts w:ascii="Verdana" w:hAnsi="Verdana"/>
                <w:color w:val="090909"/>
                <w:spacing w:val="-9"/>
                <w:w w:val="110"/>
              </w:rPr>
              <w:t xml:space="preserve"> </w:t>
            </w:r>
            <w:r w:rsidRPr="0038628B">
              <w:rPr>
                <w:rFonts w:ascii="Verdana" w:hAnsi="Verdana"/>
                <w:color w:val="090909"/>
                <w:spacing w:val="-2"/>
                <w:w w:val="110"/>
              </w:rPr>
              <w:t>(full</w:t>
            </w:r>
            <w:r w:rsidRPr="0038628B">
              <w:rPr>
                <w:rFonts w:ascii="Verdana" w:hAnsi="Verdana"/>
                <w:color w:val="090909"/>
                <w:spacing w:val="-8"/>
                <w:w w:val="110"/>
              </w:rPr>
              <w:t xml:space="preserve"> </w:t>
            </w:r>
            <w:r w:rsidRPr="0038628B">
              <w:rPr>
                <w:rFonts w:ascii="Verdana" w:hAnsi="Verdana"/>
                <w:color w:val="090909"/>
                <w:spacing w:val="-2"/>
                <w:w w:val="110"/>
              </w:rPr>
              <w:t>reserve)</w:t>
            </w:r>
          </w:p>
        </w:tc>
      </w:tr>
      <w:tr>
        <w:tblPrEx>
          <w:tblW w:w="0" w:type="auto"/>
          <w:tblInd w:w="85" w:type="dxa"/>
          <w:tblLayout w:type="fixed"/>
          <w:tblCellMar>
            <w:left w:w="0" w:type="dxa"/>
            <w:right w:w="0" w:type="dxa"/>
          </w:tblCellMar>
          <w:tblLook w:val="01E0"/>
        </w:tblPrEx>
        <w:trPr>
          <w:trHeight w:val="416"/>
        </w:trPr>
        <w:tc>
          <w:tcPr>
            <w:tcW w:w="2389" w:type="dxa"/>
          </w:tcPr>
          <w:p w:rsidR="00FF7EEB" w:rsidRPr="0038628B">
            <w:pPr>
              <w:pStyle w:val="TableParagraph"/>
              <w:spacing w:line="280" w:lineRule="exact"/>
              <w:rPr>
                <w:rFonts w:ascii="Verdana" w:hAnsi="Verdana"/>
                <w:i/>
              </w:rPr>
            </w:pPr>
            <w:r w:rsidRPr="0038628B">
              <w:rPr>
                <w:rFonts w:ascii="Verdana" w:hAnsi="Verdana"/>
                <w:i/>
                <w:color w:val="090909"/>
              </w:rPr>
              <w:t>Interest-</w:t>
            </w:r>
            <w:r w:rsidRPr="0038628B">
              <w:rPr>
                <w:rFonts w:ascii="Verdana" w:hAnsi="Verdana"/>
                <w:i/>
                <w:color w:val="090909"/>
                <w:spacing w:val="-2"/>
              </w:rPr>
              <w:t>bearing</w:t>
            </w:r>
          </w:p>
        </w:tc>
        <w:tc>
          <w:tcPr>
            <w:tcW w:w="3413" w:type="dxa"/>
          </w:tcPr>
          <w:p w:rsidR="00FF7EEB" w:rsidRPr="0038628B">
            <w:pPr>
              <w:pStyle w:val="TableParagraph"/>
              <w:spacing w:line="280" w:lineRule="exact"/>
              <w:ind w:left="661"/>
              <w:rPr>
                <w:rFonts w:ascii="Verdana" w:hAnsi="Verdana"/>
              </w:rPr>
            </w:pPr>
            <w:r w:rsidRPr="0038628B">
              <w:rPr>
                <w:rFonts w:ascii="Verdana" w:hAnsi="Verdana"/>
                <w:color w:val="090909"/>
                <w:spacing w:val="-5"/>
                <w:w w:val="105"/>
              </w:rPr>
              <w:t>Yes</w:t>
            </w:r>
          </w:p>
        </w:tc>
        <w:tc>
          <w:tcPr>
            <w:tcW w:w="2185" w:type="dxa"/>
          </w:tcPr>
          <w:p w:rsidR="00FF7EEB" w:rsidRPr="0038628B">
            <w:pPr>
              <w:pStyle w:val="TableParagraph"/>
              <w:spacing w:line="280" w:lineRule="exact"/>
              <w:ind w:left="247"/>
              <w:rPr>
                <w:rFonts w:ascii="Verdana" w:hAnsi="Verdana"/>
              </w:rPr>
            </w:pPr>
            <w:r w:rsidRPr="0038628B">
              <w:rPr>
                <w:rFonts w:ascii="Verdana" w:hAnsi="Verdana"/>
                <w:color w:val="090909"/>
                <w:w w:val="105"/>
              </w:rPr>
              <w:t>Typically</w:t>
            </w:r>
            <w:r w:rsidRPr="0038628B">
              <w:rPr>
                <w:rFonts w:ascii="Verdana" w:hAnsi="Verdana"/>
                <w:color w:val="090909"/>
                <w:spacing w:val="17"/>
                <w:w w:val="105"/>
              </w:rPr>
              <w:t xml:space="preserve"> </w:t>
            </w:r>
            <w:r w:rsidRPr="0038628B">
              <w:rPr>
                <w:rFonts w:ascii="Verdana" w:hAnsi="Verdana"/>
                <w:color w:val="090909"/>
                <w:spacing w:val="-5"/>
                <w:w w:val="105"/>
              </w:rPr>
              <w:t>no</w:t>
            </w:r>
          </w:p>
        </w:tc>
      </w:tr>
    </w:tbl>
    <w:p w:rsidR="00FF7EEB" w:rsidRPr="0038628B">
      <w:pPr>
        <w:pStyle w:val="BodyText"/>
        <w:rPr>
          <w:rFonts w:ascii="Verdana" w:hAnsi="Verdana"/>
        </w:rPr>
      </w:pPr>
    </w:p>
    <w:p w:rsidR="00FF7EEB" w:rsidRPr="0038628B">
      <w:pPr>
        <w:pStyle w:val="BodyText"/>
        <w:spacing w:before="153"/>
        <w:rPr>
          <w:rFonts w:ascii="Verdana" w:hAnsi="Verdana"/>
        </w:rPr>
      </w:pPr>
    </w:p>
    <w:p w:rsidR="00FF7EEB" w:rsidRPr="0038628B">
      <w:pPr>
        <w:pStyle w:val="BodyText"/>
        <w:spacing w:line="259" w:lineRule="auto"/>
        <w:ind w:left="23" w:right="35"/>
        <w:jc w:val="both"/>
        <w:rPr>
          <w:rFonts w:ascii="Verdana" w:hAnsi="Verdana"/>
        </w:rPr>
      </w:pPr>
      <w:r w:rsidRPr="0038628B">
        <w:rPr>
          <w:rFonts w:ascii="Verdana" w:hAnsi="Verdana"/>
          <w:color w:val="212121"/>
          <w:w w:val="110"/>
        </w:rPr>
        <w:t>Whilst we</w:t>
      </w:r>
      <w:r w:rsidRPr="0038628B">
        <w:rPr>
          <w:rFonts w:ascii="Verdana" w:hAnsi="Verdana"/>
          <w:color w:val="212121"/>
          <w:spacing w:val="-9"/>
          <w:w w:val="110"/>
        </w:rPr>
        <w:t xml:space="preserve"> </w:t>
      </w:r>
      <w:r w:rsidRPr="0038628B">
        <w:rPr>
          <w:rFonts w:ascii="Verdana" w:hAnsi="Verdana"/>
          <w:color w:val="212121"/>
          <w:w w:val="110"/>
        </w:rPr>
        <w:t>are</w:t>
      </w:r>
      <w:r w:rsidRPr="0038628B">
        <w:rPr>
          <w:rFonts w:ascii="Verdana" w:hAnsi="Verdana"/>
          <w:color w:val="212121"/>
          <w:spacing w:val="-9"/>
          <w:w w:val="110"/>
        </w:rPr>
        <w:t xml:space="preserve"> </w:t>
      </w:r>
      <w:r w:rsidRPr="0038628B">
        <w:rPr>
          <w:rFonts w:ascii="Verdana" w:hAnsi="Verdana"/>
          <w:color w:val="212121"/>
          <w:w w:val="110"/>
        </w:rPr>
        <w:t>waiting</w:t>
      </w:r>
      <w:r w:rsidRPr="0038628B">
        <w:rPr>
          <w:rFonts w:ascii="Verdana" w:hAnsi="Verdana"/>
          <w:color w:val="212121"/>
          <w:spacing w:val="-9"/>
          <w:w w:val="110"/>
        </w:rPr>
        <w:t xml:space="preserve"> </w:t>
      </w:r>
      <w:r w:rsidRPr="0038628B">
        <w:rPr>
          <w:rFonts w:ascii="Verdana" w:hAnsi="Verdana"/>
          <w:color w:val="212121"/>
          <w:w w:val="110"/>
        </w:rPr>
        <w:t>for</w:t>
      </w:r>
      <w:r w:rsidRPr="0038628B">
        <w:rPr>
          <w:rFonts w:ascii="Verdana" w:hAnsi="Verdana"/>
          <w:color w:val="212121"/>
          <w:spacing w:val="40"/>
          <w:w w:val="110"/>
        </w:rPr>
        <w:t xml:space="preserve"> </w:t>
      </w:r>
      <w:r w:rsidRPr="0038628B">
        <w:rPr>
          <w:rFonts w:ascii="Verdana" w:hAnsi="Verdana"/>
          <w:color w:val="212121"/>
          <w:w w:val="110"/>
        </w:rPr>
        <w:t>regulation</w:t>
      </w:r>
      <w:r w:rsidRPr="0038628B">
        <w:rPr>
          <w:rFonts w:ascii="Verdana" w:hAnsi="Verdana"/>
          <w:color w:val="212121"/>
          <w:spacing w:val="-9"/>
          <w:w w:val="110"/>
        </w:rPr>
        <w:t xml:space="preserve"> </w:t>
      </w:r>
      <w:r w:rsidRPr="0038628B">
        <w:rPr>
          <w:rFonts w:ascii="Verdana" w:hAnsi="Verdana"/>
          <w:color w:val="212121"/>
          <w:w w:val="110"/>
        </w:rPr>
        <w:t>of</w:t>
      </w:r>
      <w:r w:rsidRPr="0038628B">
        <w:rPr>
          <w:rFonts w:ascii="Verdana" w:hAnsi="Verdana"/>
          <w:color w:val="212121"/>
          <w:spacing w:val="-9"/>
          <w:w w:val="110"/>
        </w:rPr>
        <w:t xml:space="preserve"> </w:t>
      </w:r>
      <w:r w:rsidRPr="0038628B">
        <w:rPr>
          <w:rFonts w:ascii="Verdana" w:hAnsi="Verdana"/>
          <w:color w:val="212121"/>
          <w:w w:val="110"/>
        </w:rPr>
        <w:t>stablecoins</w:t>
      </w:r>
      <w:r w:rsidRPr="0038628B">
        <w:rPr>
          <w:rFonts w:ascii="Verdana" w:hAnsi="Verdana"/>
          <w:color w:val="212121"/>
          <w:spacing w:val="-9"/>
          <w:w w:val="110"/>
        </w:rPr>
        <w:t xml:space="preserve"> </w:t>
      </w:r>
      <w:r w:rsidRPr="0038628B">
        <w:rPr>
          <w:rFonts w:ascii="Verdana" w:hAnsi="Verdana"/>
          <w:color w:val="212121"/>
          <w:w w:val="110"/>
        </w:rPr>
        <w:t>in</w:t>
      </w:r>
      <w:r w:rsidRPr="0038628B">
        <w:rPr>
          <w:rFonts w:ascii="Verdana" w:hAnsi="Verdana"/>
          <w:color w:val="212121"/>
          <w:spacing w:val="-9"/>
          <w:w w:val="110"/>
        </w:rPr>
        <w:t xml:space="preserve"> </w:t>
      </w:r>
      <w:r w:rsidRPr="0038628B">
        <w:rPr>
          <w:rFonts w:ascii="Verdana" w:hAnsi="Verdana"/>
          <w:color w:val="212121"/>
          <w:w w:val="110"/>
        </w:rPr>
        <w:t>the</w:t>
      </w:r>
      <w:r w:rsidRPr="0038628B">
        <w:rPr>
          <w:rFonts w:ascii="Verdana" w:hAnsi="Verdana"/>
          <w:color w:val="212121"/>
          <w:spacing w:val="-9"/>
          <w:w w:val="110"/>
        </w:rPr>
        <w:t xml:space="preserve"> </w:t>
      </w:r>
      <w:r w:rsidRPr="0038628B">
        <w:rPr>
          <w:rFonts w:ascii="Verdana" w:hAnsi="Verdana"/>
          <w:color w:val="212121"/>
          <w:w w:val="110"/>
        </w:rPr>
        <w:t>UK,</w:t>
      </w:r>
      <w:r w:rsidRPr="0038628B">
        <w:rPr>
          <w:rFonts w:ascii="Verdana" w:hAnsi="Verdana"/>
          <w:color w:val="212121"/>
          <w:spacing w:val="-9"/>
          <w:w w:val="110"/>
        </w:rPr>
        <w:t xml:space="preserve"> </w:t>
      </w:r>
      <w:r w:rsidRPr="0038628B">
        <w:rPr>
          <w:rFonts w:ascii="Verdana" w:hAnsi="Verdana"/>
          <w:color w:val="212121"/>
          <w:w w:val="110"/>
        </w:rPr>
        <w:t>no</w:t>
      </w:r>
      <w:r w:rsidRPr="0038628B">
        <w:rPr>
          <w:rFonts w:ascii="Verdana" w:hAnsi="Verdana"/>
          <w:color w:val="212121"/>
          <w:spacing w:val="-9"/>
          <w:w w:val="110"/>
        </w:rPr>
        <w:t xml:space="preserve"> </w:t>
      </w:r>
      <w:r w:rsidRPr="0038628B">
        <w:rPr>
          <w:rFonts w:ascii="Verdana" w:hAnsi="Verdana"/>
          <w:color w:val="212121"/>
          <w:w w:val="110"/>
        </w:rPr>
        <w:t>new</w:t>
      </w:r>
      <w:r w:rsidRPr="0038628B">
        <w:rPr>
          <w:rFonts w:ascii="Verdana" w:hAnsi="Verdana"/>
          <w:color w:val="212121"/>
          <w:spacing w:val="-9"/>
          <w:w w:val="110"/>
        </w:rPr>
        <w:t xml:space="preserve"> </w:t>
      </w:r>
      <w:r w:rsidRPr="0038628B">
        <w:rPr>
          <w:rFonts w:ascii="Verdana" w:hAnsi="Verdana"/>
          <w:color w:val="212121"/>
          <w:w w:val="110"/>
        </w:rPr>
        <w:t>regulations</w:t>
      </w:r>
      <w:r w:rsidRPr="0038628B">
        <w:rPr>
          <w:rFonts w:ascii="Verdana" w:hAnsi="Verdana"/>
          <w:color w:val="212121"/>
          <w:spacing w:val="-9"/>
          <w:w w:val="110"/>
        </w:rPr>
        <w:t xml:space="preserve"> </w:t>
      </w:r>
      <w:r w:rsidRPr="0038628B">
        <w:rPr>
          <w:rFonts w:ascii="Verdana" w:hAnsi="Verdana"/>
          <w:color w:val="212121"/>
          <w:w w:val="110"/>
        </w:rPr>
        <w:t>are required</w:t>
      </w:r>
      <w:r w:rsidRPr="0038628B">
        <w:rPr>
          <w:rFonts w:ascii="Verdana" w:hAnsi="Verdana"/>
          <w:color w:val="212121"/>
          <w:spacing w:val="-16"/>
          <w:w w:val="110"/>
        </w:rPr>
        <w:t xml:space="preserve"> </w:t>
      </w:r>
      <w:r w:rsidRPr="0038628B">
        <w:rPr>
          <w:rFonts w:ascii="Verdana" w:hAnsi="Verdana"/>
          <w:color w:val="212121"/>
          <w:w w:val="110"/>
        </w:rPr>
        <w:t>for</w:t>
      </w:r>
      <w:r w:rsidRPr="0038628B">
        <w:rPr>
          <w:rFonts w:ascii="Verdana" w:hAnsi="Verdana"/>
          <w:color w:val="212121"/>
          <w:spacing w:val="-16"/>
          <w:w w:val="110"/>
        </w:rPr>
        <w:t xml:space="preserve"> </w:t>
      </w:r>
      <w:r w:rsidRPr="0038628B">
        <w:rPr>
          <w:rFonts w:ascii="Verdana" w:hAnsi="Verdana"/>
          <w:color w:val="212121"/>
          <w:w w:val="110"/>
        </w:rPr>
        <w:t>banks</w:t>
      </w:r>
      <w:r w:rsidRPr="0038628B">
        <w:rPr>
          <w:rFonts w:ascii="Verdana" w:hAnsi="Verdana"/>
          <w:color w:val="212121"/>
          <w:spacing w:val="-16"/>
          <w:w w:val="110"/>
        </w:rPr>
        <w:t xml:space="preserve"> </w:t>
      </w:r>
      <w:r w:rsidRPr="0038628B">
        <w:rPr>
          <w:rFonts w:ascii="Verdana" w:hAnsi="Verdana"/>
          <w:color w:val="212121"/>
          <w:w w:val="110"/>
        </w:rPr>
        <w:t>to</w:t>
      </w:r>
      <w:r w:rsidRPr="0038628B">
        <w:rPr>
          <w:rFonts w:ascii="Verdana" w:hAnsi="Verdana"/>
          <w:color w:val="212121"/>
          <w:spacing w:val="-15"/>
          <w:w w:val="110"/>
        </w:rPr>
        <w:t xml:space="preserve"> </w:t>
      </w:r>
      <w:r w:rsidRPr="0038628B">
        <w:rPr>
          <w:rFonts w:ascii="Verdana" w:hAnsi="Verdana"/>
          <w:color w:val="212121"/>
          <w:w w:val="110"/>
        </w:rPr>
        <w:t>oﬀer</w:t>
      </w:r>
      <w:r w:rsidRPr="0038628B">
        <w:rPr>
          <w:rFonts w:ascii="Verdana" w:hAnsi="Verdana"/>
          <w:color w:val="212121"/>
          <w:spacing w:val="-16"/>
          <w:w w:val="110"/>
        </w:rPr>
        <w:t xml:space="preserve"> </w:t>
      </w:r>
      <w:r w:rsidRPr="0038628B">
        <w:rPr>
          <w:rFonts w:ascii="Verdana" w:hAnsi="Verdana"/>
          <w:color w:val="212121"/>
          <w:w w:val="110"/>
        </w:rPr>
        <w:t>tokenised</w:t>
      </w:r>
      <w:r w:rsidRPr="0038628B">
        <w:rPr>
          <w:rFonts w:ascii="Verdana" w:hAnsi="Verdana"/>
          <w:color w:val="212121"/>
          <w:spacing w:val="-16"/>
          <w:w w:val="110"/>
        </w:rPr>
        <w:t xml:space="preserve"> </w:t>
      </w:r>
      <w:r w:rsidRPr="0038628B">
        <w:rPr>
          <w:rFonts w:ascii="Verdana" w:hAnsi="Verdana"/>
          <w:color w:val="212121"/>
          <w:w w:val="110"/>
        </w:rPr>
        <w:t>deposits.</w:t>
      </w:r>
      <w:r w:rsidRPr="0038628B">
        <w:rPr>
          <w:rFonts w:ascii="Verdana" w:hAnsi="Verdana"/>
          <w:color w:val="212121"/>
          <w:spacing w:val="24"/>
          <w:w w:val="110"/>
        </w:rPr>
        <w:t xml:space="preserve"> </w:t>
      </w:r>
      <w:r w:rsidRPr="0038628B">
        <w:rPr>
          <w:rFonts w:ascii="Verdana" w:hAnsi="Verdana"/>
          <w:color w:val="212121"/>
          <w:w w:val="110"/>
        </w:rPr>
        <w:t>Banks</w:t>
      </w:r>
      <w:r w:rsidRPr="0038628B">
        <w:rPr>
          <w:rFonts w:ascii="Verdana" w:hAnsi="Verdana"/>
          <w:color w:val="212121"/>
          <w:spacing w:val="-16"/>
          <w:w w:val="110"/>
        </w:rPr>
        <w:t xml:space="preserve"> </w:t>
      </w:r>
      <w:r w:rsidRPr="0038628B">
        <w:rPr>
          <w:rFonts w:ascii="Verdana" w:hAnsi="Verdana"/>
          <w:color w:val="212121"/>
          <w:w w:val="110"/>
        </w:rPr>
        <w:t>can</w:t>
      </w:r>
      <w:r w:rsidRPr="0038628B">
        <w:rPr>
          <w:rFonts w:ascii="Verdana" w:hAnsi="Verdana"/>
          <w:color w:val="212121"/>
          <w:spacing w:val="-16"/>
          <w:w w:val="110"/>
        </w:rPr>
        <w:t xml:space="preserve"> </w:t>
      </w:r>
      <w:r w:rsidRPr="0038628B">
        <w:rPr>
          <w:rFonts w:ascii="Verdana" w:hAnsi="Verdana"/>
          <w:color w:val="212121"/>
          <w:w w:val="110"/>
        </w:rPr>
        <w:t>do</w:t>
      </w:r>
      <w:r w:rsidRPr="0038628B">
        <w:rPr>
          <w:rFonts w:ascii="Verdana" w:hAnsi="Verdana"/>
          <w:color w:val="212121"/>
          <w:spacing w:val="-15"/>
          <w:w w:val="110"/>
        </w:rPr>
        <w:t xml:space="preserve"> </w:t>
      </w:r>
      <w:r w:rsidRPr="0038628B">
        <w:rPr>
          <w:rFonts w:ascii="Verdana" w:hAnsi="Verdana"/>
          <w:color w:val="212121"/>
          <w:w w:val="110"/>
        </w:rPr>
        <w:t>it</w:t>
      </w:r>
      <w:r w:rsidRPr="0038628B">
        <w:rPr>
          <w:rFonts w:ascii="Verdana" w:hAnsi="Verdana"/>
          <w:color w:val="212121"/>
          <w:spacing w:val="-16"/>
          <w:w w:val="110"/>
        </w:rPr>
        <w:t xml:space="preserve"> </w:t>
      </w:r>
      <w:r w:rsidRPr="0038628B">
        <w:rPr>
          <w:rFonts w:ascii="Verdana" w:hAnsi="Verdana"/>
          <w:color w:val="212121"/>
          <w:w w:val="110"/>
        </w:rPr>
        <w:t>now</w:t>
      </w:r>
      <w:r w:rsidRPr="0038628B">
        <w:rPr>
          <w:rFonts w:ascii="Verdana" w:hAnsi="Verdana"/>
          <w:color w:val="212121"/>
          <w:spacing w:val="-16"/>
          <w:w w:val="110"/>
        </w:rPr>
        <w:t xml:space="preserve"> </w:t>
      </w:r>
      <w:r w:rsidRPr="0038628B">
        <w:rPr>
          <w:rFonts w:ascii="Verdana" w:hAnsi="Verdana"/>
          <w:color w:val="212121"/>
          <w:w w:val="110"/>
        </w:rPr>
        <w:t>-</w:t>
      </w:r>
      <w:r w:rsidRPr="0038628B">
        <w:rPr>
          <w:rFonts w:ascii="Verdana" w:hAnsi="Verdana"/>
          <w:color w:val="212121"/>
          <w:spacing w:val="-16"/>
          <w:w w:val="110"/>
        </w:rPr>
        <w:t xml:space="preserve"> </w:t>
      </w:r>
      <w:r w:rsidRPr="0038628B">
        <w:rPr>
          <w:rFonts w:ascii="Verdana" w:hAnsi="Verdana"/>
          <w:color w:val="212121"/>
          <w:w w:val="110"/>
        </w:rPr>
        <w:t>and</w:t>
      </w:r>
      <w:r w:rsidRPr="0038628B">
        <w:rPr>
          <w:rFonts w:ascii="Verdana" w:hAnsi="Verdana"/>
          <w:color w:val="212121"/>
          <w:spacing w:val="-15"/>
          <w:w w:val="110"/>
        </w:rPr>
        <w:t xml:space="preserve"> </w:t>
      </w:r>
      <w:r w:rsidRPr="0038628B">
        <w:rPr>
          <w:rFonts w:ascii="Verdana" w:hAnsi="Verdana"/>
          <w:color w:val="212121"/>
          <w:w w:val="110"/>
        </w:rPr>
        <w:t>the</w:t>
      </w:r>
      <w:r w:rsidRPr="0038628B">
        <w:rPr>
          <w:rFonts w:ascii="Verdana" w:hAnsi="Verdana"/>
          <w:color w:val="212121"/>
          <w:spacing w:val="-16"/>
          <w:w w:val="110"/>
        </w:rPr>
        <w:t xml:space="preserve"> </w:t>
      </w:r>
      <w:r w:rsidRPr="0038628B">
        <w:rPr>
          <w:rFonts w:ascii="Verdana" w:hAnsi="Verdana"/>
          <w:color w:val="212121"/>
          <w:w w:val="110"/>
        </w:rPr>
        <w:t>Bank</w:t>
      </w:r>
      <w:r w:rsidRPr="0038628B">
        <w:rPr>
          <w:rFonts w:ascii="Verdana" w:hAnsi="Verdana"/>
          <w:color w:val="212121"/>
          <w:spacing w:val="-16"/>
          <w:w w:val="110"/>
        </w:rPr>
        <w:t xml:space="preserve"> </w:t>
      </w:r>
      <w:r w:rsidRPr="0038628B">
        <w:rPr>
          <w:rFonts w:ascii="Verdana" w:hAnsi="Verdana"/>
          <w:color w:val="212121"/>
          <w:w w:val="110"/>
        </w:rPr>
        <w:t xml:space="preserve">of England conﬁrmed they could do it three years ago. Banks have yet to introduce </w:t>
      </w:r>
      <w:r w:rsidRPr="0038628B">
        <w:rPr>
          <w:rFonts w:ascii="Verdana" w:hAnsi="Verdana"/>
          <w:color w:val="212121"/>
          <w:w w:val="110"/>
        </w:rPr>
        <w:t>tokenised</w:t>
      </w:r>
      <w:r w:rsidRPr="0038628B">
        <w:rPr>
          <w:rFonts w:ascii="Verdana" w:hAnsi="Verdana"/>
          <w:color w:val="212121"/>
          <w:w w:val="110"/>
        </w:rPr>
        <w:t xml:space="preserve"> deposit (N.B. they are working on it), partly because it needs cross-bank </w:t>
      </w:r>
      <w:r w:rsidRPr="0038628B">
        <w:rPr>
          <w:rFonts w:ascii="Verdana" w:hAnsi="Verdana"/>
          <w:color w:val="212121"/>
        </w:rPr>
        <w:t>infrastructure</w:t>
      </w:r>
      <w:r w:rsidRPr="0038628B">
        <w:rPr>
          <w:rFonts w:ascii="Verdana" w:hAnsi="Verdana"/>
          <w:color w:val="212121"/>
          <w:spacing w:val="36"/>
        </w:rPr>
        <w:t xml:space="preserve"> </w:t>
      </w:r>
      <w:r w:rsidRPr="0038628B">
        <w:rPr>
          <w:rFonts w:ascii="Verdana" w:hAnsi="Verdana"/>
          <w:color w:val="212121"/>
        </w:rPr>
        <w:t>to</w:t>
      </w:r>
      <w:r w:rsidRPr="0038628B">
        <w:rPr>
          <w:rFonts w:ascii="Verdana" w:hAnsi="Verdana"/>
          <w:color w:val="212121"/>
          <w:spacing w:val="36"/>
        </w:rPr>
        <w:t xml:space="preserve"> </w:t>
      </w:r>
      <w:r w:rsidRPr="0038628B">
        <w:rPr>
          <w:rFonts w:ascii="Verdana" w:hAnsi="Verdana"/>
          <w:color w:val="212121"/>
        </w:rPr>
        <w:t>be</w:t>
      </w:r>
      <w:r w:rsidRPr="0038628B">
        <w:rPr>
          <w:rFonts w:ascii="Verdana" w:hAnsi="Verdana"/>
          <w:color w:val="212121"/>
          <w:spacing w:val="36"/>
        </w:rPr>
        <w:t xml:space="preserve"> </w:t>
      </w:r>
      <w:r w:rsidRPr="0038628B">
        <w:rPr>
          <w:rFonts w:ascii="Verdana" w:hAnsi="Verdana"/>
          <w:color w:val="212121"/>
        </w:rPr>
        <w:t>agreed</w:t>
      </w:r>
      <w:r w:rsidRPr="0038628B">
        <w:rPr>
          <w:rFonts w:ascii="Verdana" w:hAnsi="Verdana"/>
          <w:color w:val="212121"/>
          <w:spacing w:val="36"/>
        </w:rPr>
        <w:t xml:space="preserve"> </w:t>
      </w:r>
      <w:r w:rsidRPr="0038628B">
        <w:rPr>
          <w:rFonts w:ascii="Verdana" w:hAnsi="Verdana"/>
          <w:color w:val="212121"/>
        </w:rPr>
        <w:t>and</w:t>
      </w:r>
      <w:r w:rsidRPr="0038628B">
        <w:rPr>
          <w:rFonts w:ascii="Verdana" w:hAnsi="Verdana"/>
          <w:color w:val="212121"/>
          <w:spacing w:val="36"/>
        </w:rPr>
        <w:t xml:space="preserve"> </w:t>
      </w:r>
      <w:r w:rsidRPr="0038628B">
        <w:rPr>
          <w:rFonts w:ascii="Verdana" w:hAnsi="Verdana"/>
          <w:color w:val="212121"/>
        </w:rPr>
        <w:t>built</w:t>
      </w:r>
      <w:r w:rsidRPr="0038628B">
        <w:rPr>
          <w:rFonts w:ascii="Verdana" w:hAnsi="Verdana"/>
          <w:color w:val="212121"/>
          <w:spacing w:val="36"/>
        </w:rPr>
        <w:t xml:space="preserve"> </w:t>
      </w:r>
      <w:r w:rsidRPr="0038628B">
        <w:rPr>
          <w:rFonts w:ascii="Verdana" w:hAnsi="Verdana"/>
          <w:color w:val="212121"/>
        </w:rPr>
        <w:t>to</w:t>
      </w:r>
      <w:r w:rsidRPr="0038628B">
        <w:rPr>
          <w:rFonts w:ascii="Verdana" w:hAnsi="Verdana"/>
          <w:color w:val="212121"/>
          <w:spacing w:val="36"/>
        </w:rPr>
        <w:t xml:space="preserve"> </w:t>
      </w:r>
      <w:r w:rsidRPr="0038628B">
        <w:rPr>
          <w:rFonts w:ascii="Verdana" w:hAnsi="Verdana"/>
          <w:color w:val="212121"/>
        </w:rPr>
        <w:t>enable</w:t>
      </w:r>
      <w:r w:rsidRPr="0038628B">
        <w:rPr>
          <w:rFonts w:ascii="Verdana" w:hAnsi="Verdana"/>
          <w:color w:val="212121"/>
          <w:spacing w:val="36"/>
        </w:rPr>
        <w:t xml:space="preserve"> </w:t>
      </w:r>
      <w:r w:rsidRPr="0038628B">
        <w:rPr>
          <w:rFonts w:ascii="Verdana" w:hAnsi="Verdana"/>
          <w:color w:val="212121"/>
        </w:rPr>
        <w:t>transactions</w:t>
      </w:r>
      <w:r w:rsidRPr="0038628B">
        <w:rPr>
          <w:rFonts w:ascii="Verdana" w:hAnsi="Verdana"/>
          <w:color w:val="212121"/>
          <w:spacing w:val="36"/>
        </w:rPr>
        <w:t xml:space="preserve"> </w:t>
      </w:r>
      <w:r w:rsidRPr="0038628B">
        <w:rPr>
          <w:rFonts w:ascii="Verdana" w:hAnsi="Verdana"/>
          <w:color w:val="212121"/>
        </w:rPr>
        <w:t>from</w:t>
      </w:r>
      <w:r w:rsidRPr="0038628B">
        <w:rPr>
          <w:rFonts w:ascii="Verdana" w:hAnsi="Verdana"/>
          <w:color w:val="212121"/>
          <w:spacing w:val="36"/>
        </w:rPr>
        <w:t xml:space="preserve"> </w:t>
      </w:r>
      <w:r w:rsidRPr="0038628B">
        <w:rPr>
          <w:rFonts w:ascii="Verdana" w:hAnsi="Verdana"/>
          <w:color w:val="212121"/>
        </w:rPr>
        <w:t>one</w:t>
      </w:r>
      <w:r w:rsidRPr="0038628B">
        <w:rPr>
          <w:rFonts w:ascii="Verdana" w:hAnsi="Verdana"/>
          <w:color w:val="212121"/>
          <w:spacing w:val="36"/>
        </w:rPr>
        <w:t xml:space="preserve"> </w:t>
      </w:r>
      <w:r w:rsidRPr="0038628B">
        <w:rPr>
          <w:rFonts w:ascii="Verdana" w:hAnsi="Verdana"/>
          <w:color w:val="212121"/>
        </w:rPr>
        <w:t>bank</w:t>
      </w:r>
      <w:r w:rsidRPr="0038628B">
        <w:rPr>
          <w:rFonts w:ascii="Verdana" w:hAnsi="Verdana"/>
          <w:color w:val="212121"/>
          <w:spacing w:val="36"/>
        </w:rPr>
        <w:t xml:space="preserve"> </w:t>
      </w:r>
      <w:r w:rsidRPr="0038628B">
        <w:rPr>
          <w:rFonts w:ascii="Verdana" w:hAnsi="Verdana"/>
          <w:color w:val="212121"/>
        </w:rPr>
        <w:t>to</w:t>
      </w:r>
      <w:r w:rsidRPr="0038628B">
        <w:rPr>
          <w:rFonts w:ascii="Verdana" w:hAnsi="Verdana"/>
          <w:color w:val="212121"/>
          <w:spacing w:val="36"/>
        </w:rPr>
        <w:t xml:space="preserve"> </w:t>
      </w:r>
      <w:r w:rsidRPr="0038628B">
        <w:rPr>
          <w:rFonts w:ascii="Verdana" w:hAnsi="Verdana"/>
          <w:color w:val="212121"/>
        </w:rPr>
        <w:t>another.</w:t>
      </w:r>
    </w:p>
    <w:p w:rsidR="00FF7EEB" w:rsidRPr="0038628B">
      <w:pPr>
        <w:pStyle w:val="BodyText"/>
        <w:spacing w:before="44"/>
        <w:rPr>
          <w:rFonts w:ascii="Verdana" w:hAnsi="Verdana"/>
        </w:rPr>
      </w:pPr>
    </w:p>
    <w:p w:rsidR="00FF7EEB" w:rsidRPr="0038628B">
      <w:pPr>
        <w:pStyle w:val="BodyText"/>
        <w:ind w:left="23"/>
        <w:jc w:val="both"/>
        <w:rPr>
          <w:rFonts w:ascii="Verdana" w:hAnsi="Verdana"/>
        </w:rPr>
      </w:pPr>
      <w:r w:rsidRPr="0038628B">
        <w:rPr>
          <w:rFonts w:ascii="Verdana" w:hAnsi="Verdana"/>
          <w:color w:val="212121"/>
          <w:spacing w:val="-2"/>
          <w:w w:val="105"/>
          <w:u w:val="thick" w:color="212121"/>
        </w:rPr>
        <w:t>Use</w:t>
      </w:r>
      <w:r w:rsidRPr="0038628B">
        <w:rPr>
          <w:rFonts w:ascii="Verdana" w:hAnsi="Verdana"/>
          <w:color w:val="212121"/>
          <w:spacing w:val="-10"/>
          <w:w w:val="105"/>
          <w:u w:val="thick" w:color="212121"/>
        </w:rPr>
        <w:t xml:space="preserve"> </w:t>
      </w:r>
      <w:r w:rsidRPr="0038628B">
        <w:rPr>
          <w:rFonts w:ascii="Verdana" w:hAnsi="Verdana"/>
          <w:color w:val="212121"/>
          <w:spacing w:val="-2"/>
          <w:w w:val="105"/>
          <w:u w:val="thick" w:color="212121"/>
        </w:rPr>
        <w:t>Cases:</w:t>
      </w:r>
    </w:p>
    <w:p w:rsidR="00FF7EEB" w:rsidRPr="0038628B">
      <w:pPr>
        <w:pStyle w:val="BodyText"/>
        <w:spacing w:before="92" w:after="1"/>
        <w:rPr>
          <w:rFonts w:ascii="Verdana" w:hAnsi="Verdana"/>
          <w:sz w:val="20"/>
        </w:rPr>
      </w:pPr>
    </w:p>
    <w:tbl>
      <w:tblPr>
        <w:tblW w:w="0" w:type="auto"/>
        <w:tblInd w:w="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500"/>
        <w:gridCol w:w="1500"/>
        <w:gridCol w:w="1500"/>
        <w:gridCol w:w="1500"/>
        <w:gridCol w:w="1500"/>
        <w:gridCol w:w="1500"/>
      </w:tblGrid>
      <w:tr>
        <w:tblPrEx>
          <w:tblW w:w="0" w:type="auto"/>
          <w:tblInd w:w="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980"/>
        </w:trPr>
        <w:tc>
          <w:tcPr>
            <w:tcW w:w="1500" w:type="dxa"/>
            <w:tcBorders>
              <w:top w:val="nil"/>
              <w:bottom w:val="nil"/>
            </w:tcBorders>
            <w:shd w:val="clear" w:color="auto" w:fill="000000"/>
          </w:tcPr>
          <w:p w:rsidR="00FF7EEB" w:rsidRPr="0038628B">
            <w:pPr>
              <w:pStyle w:val="TableParagraph"/>
              <w:spacing w:before="0"/>
              <w:ind w:left="0"/>
              <w:rPr>
                <w:rFonts w:ascii="Verdana" w:hAnsi="Verdana"/>
                <w:sz w:val="20"/>
              </w:rPr>
            </w:pPr>
          </w:p>
        </w:tc>
        <w:tc>
          <w:tcPr>
            <w:tcW w:w="1500" w:type="dxa"/>
            <w:tcBorders>
              <w:top w:val="nil"/>
              <w:bottom w:val="nil"/>
            </w:tcBorders>
            <w:shd w:val="clear" w:color="auto" w:fill="000000"/>
          </w:tcPr>
          <w:p w:rsidR="00FF7EEB" w:rsidRPr="0038628B">
            <w:pPr>
              <w:pStyle w:val="TableParagraph"/>
              <w:spacing w:before="134"/>
              <w:ind w:left="94"/>
              <w:rPr>
                <w:rFonts w:ascii="Verdana" w:hAnsi="Verdana"/>
                <w:b/>
                <w:sz w:val="18"/>
              </w:rPr>
            </w:pPr>
            <w:r w:rsidRPr="0038628B">
              <w:rPr>
                <w:rFonts w:ascii="Verdana" w:hAnsi="Verdana"/>
                <w:b/>
                <w:color w:val="FFFFFF"/>
                <w:spacing w:val="-2"/>
                <w:sz w:val="18"/>
              </w:rPr>
              <w:t>Cross-Border Payments</w:t>
            </w:r>
          </w:p>
        </w:tc>
        <w:tc>
          <w:tcPr>
            <w:tcW w:w="1500" w:type="dxa"/>
            <w:tcBorders>
              <w:top w:val="nil"/>
              <w:bottom w:val="nil"/>
            </w:tcBorders>
            <w:shd w:val="clear" w:color="auto" w:fill="000000"/>
          </w:tcPr>
          <w:p w:rsidR="00FF7EEB" w:rsidRPr="0038628B">
            <w:pPr>
              <w:pStyle w:val="TableParagraph"/>
              <w:spacing w:before="134"/>
              <w:ind w:left="94"/>
              <w:rPr>
                <w:rFonts w:ascii="Verdana" w:hAnsi="Verdana"/>
                <w:b/>
                <w:sz w:val="18"/>
              </w:rPr>
            </w:pPr>
            <w:r w:rsidRPr="0038628B">
              <w:rPr>
                <w:rFonts w:ascii="Verdana" w:hAnsi="Verdana"/>
                <w:b/>
                <w:color w:val="FFFFFF"/>
                <w:spacing w:val="-2"/>
                <w:sz w:val="18"/>
              </w:rPr>
              <w:t>Corporate Treasury</w:t>
            </w:r>
          </w:p>
        </w:tc>
        <w:tc>
          <w:tcPr>
            <w:tcW w:w="1500" w:type="dxa"/>
            <w:tcBorders>
              <w:top w:val="nil"/>
              <w:bottom w:val="nil"/>
            </w:tcBorders>
            <w:shd w:val="clear" w:color="auto" w:fill="000000"/>
          </w:tcPr>
          <w:p w:rsidR="00FF7EEB" w:rsidRPr="0038628B">
            <w:pPr>
              <w:pStyle w:val="TableParagraph"/>
              <w:spacing w:before="134"/>
              <w:ind w:left="94" w:right="415"/>
              <w:rPr>
                <w:rFonts w:ascii="Verdana" w:hAnsi="Verdana"/>
                <w:b/>
                <w:sz w:val="18"/>
              </w:rPr>
            </w:pPr>
            <w:r w:rsidRPr="0038628B">
              <w:rPr>
                <w:rFonts w:ascii="Verdana" w:hAnsi="Verdana"/>
                <w:b/>
                <w:color w:val="FFFFFF"/>
                <w:spacing w:val="-2"/>
                <w:sz w:val="18"/>
              </w:rPr>
              <w:t>Agentic Commerce</w:t>
            </w:r>
          </w:p>
        </w:tc>
        <w:tc>
          <w:tcPr>
            <w:tcW w:w="1500" w:type="dxa"/>
            <w:tcBorders>
              <w:top w:val="nil"/>
              <w:bottom w:val="nil"/>
            </w:tcBorders>
            <w:shd w:val="clear" w:color="auto" w:fill="000000"/>
          </w:tcPr>
          <w:p w:rsidR="00FF7EEB" w:rsidRPr="0038628B">
            <w:pPr>
              <w:pStyle w:val="TableParagraph"/>
              <w:spacing w:before="134"/>
              <w:ind w:left="94"/>
              <w:rPr>
                <w:rFonts w:ascii="Verdana" w:hAnsi="Verdana"/>
                <w:b/>
                <w:sz w:val="18"/>
              </w:rPr>
            </w:pPr>
            <w:r w:rsidRPr="0038628B">
              <w:rPr>
                <w:rFonts w:ascii="Verdana" w:hAnsi="Verdana"/>
                <w:b/>
                <w:color w:val="FFFFFF"/>
                <w:spacing w:val="-2"/>
                <w:sz w:val="18"/>
              </w:rPr>
              <w:t>Large-scale Transactions</w:t>
            </w:r>
          </w:p>
        </w:tc>
        <w:tc>
          <w:tcPr>
            <w:tcW w:w="1500" w:type="dxa"/>
            <w:tcBorders>
              <w:top w:val="nil"/>
              <w:bottom w:val="nil"/>
            </w:tcBorders>
            <w:shd w:val="clear" w:color="auto" w:fill="000000"/>
          </w:tcPr>
          <w:p w:rsidR="00FF7EEB" w:rsidRPr="0038628B">
            <w:pPr>
              <w:pStyle w:val="TableParagraph"/>
              <w:spacing w:before="134"/>
              <w:ind w:left="94" w:right="172"/>
              <w:jc w:val="both"/>
              <w:rPr>
                <w:rFonts w:ascii="Verdana" w:hAnsi="Verdana"/>
                <w:b/>
                <w:sz w:val="18"/>
              </w:rPr>
            </w:pPr>
            <w:r w:rsidRPr="0038628B">
              <w:rPr>
                <w:rFonts w:ascii="Verdana" w:hAnsi="Verdana"/>
                <w:b/>
                <w:color w:val="FFFFFF"/>
                <w:spacing w:val="-2"/>
                <w:sz w:val="18"/>
              </w:rPr>
              <w:t>Tokenisation</w:t>
            </w:r>
            <w:r w:rsidRPr="0038628B">
              <w:rPr>
                <w:rFonts w:ascii="Verdana" w:hAnsi="Verdana"/>
                <w:b/>
                <w:color w:val="FFFFFF"/>
                <w:spacing w:val="-2"/>
                <w:sz w:val="18"/>
              </w:rPr>
              <w:t xml:space="preserve"> </w:t>
            </w:r>
            <w:r w:rsidRPr="0038628B">
              <w:rPr>
                <w:rFonts w:ascii="Verdana" w:hAnsi="Verdana"/>
                <w:b/>
                <w:color w:val="FFFFFF"/>
                <w:sz w:val="18"/>
              </w:rPr>
              <w:t>of</w:t>
            </w:r>
            <w:r w:rsidRPr="0038628B">
              <w:rPr>
                <w:rFonts w:ascii="Verdana" w:hAnsi="Verdana"/>
                <w:b/>
                <w:color w:val="FFFFFF"/>
                <w:spacing w:val="-12"/>
                <w:sz w:val="18"/>
              </w:rPr>
              <w:t xml:space="preserve"> </w:t>
            </w:r>
            <w:r w:rsidRPr="0038628B">
              <w:rPr>
                <w:rFonts w:ascii="Verdana" w:hAnsi="Verdana"/>
                <w:b/>
                <w:color w:val="FFFFFF"/>
                <w:sz w:val="18"/>
              </w:rPr>
              <w:t xml:space="preserve">Real-World </w:t>
            </w:r>
            <w:r w:rsidRPr="0038628B">
              <w:rPr>
                <w:rFonts w:ascii="Verdana" w:hAnsi="Verdana"/>
                <w:b/>
                <w:color w:val="FFFFFF"/>
                <w:spacing w:val="-2"/>
                <w:sz w:val="18"/>
              </w:rPr>
              <w:t>Assets</w:t>
            </w:r>
          </w:p>
        </w:tc>
      </w:tr>
      <w:tr>
        <w:tblPrEx>
          <w:tblW w:w="0" w:type="auto"/>
          <w:tblInd w:w="42" w:type="dxa"/>
          <w:tblLayout w:type="fixed"/>
          <w:tblCellMar>
            <w:left w:w="0" w:type="dxa"/>
            <w:right w:w="0" w:type="dxa"/>
          </w:tblCellMar>
          <w:tblLook w:val="01E0"/>
        </w:tblPrEx>
        <w:trPr>
          <w:trHeight w:val="480"/>
        </w:trPr>
        <w:tc>
          <w:tcPr>
            <w:tcW w:w="1500" w:type="dxa"/>
            <w:tcBorders>
              <w:top w:val="nil"/>
            </w:tcBorders>
            <w:shd w:val="clear" w:color="auto" w:fill="B6E1CC"/>
          </w:tcPr>
          <w:p w:rsidR="00FF7EEB" w:rsidRPr="0038628B">
            <w:pPr>
              <w:pStyle w:val="TableParagraph"/>
              <w:spacing w:before="115"/>
              <w:ind w:left="94"/>
              <w:rPr>
                <w:rFonts w:ascii="Verdana" w:hAnsi="Verdana"/>
                <w:b/>
                <w:sz w:val="18"/>
              </w:rPr>
            </w:pPr>
            <w:r w:rsidRPr="0038628B">
              <w:rPr>
                <w:rFonts w:ascii="Verdana" w:hAnsi="Verdana"/>
                <w:b/>
                <w:color w:val="212121"/>
                <w:spacing w:val="-2"/>
                <w:sz w:val="18"/>
              </w:rPr>
              <w:t>Stablecoins</w:t>
            </w:r>
          </w:p>
        </w:tc>
        <w:tc>
          <w:tcPr>
            <w:tcW w:w="1500" w:type="dxa"/>
            <w:tcBorders>
              <w:top w:val="nil"/>
            </w:tcBorders>
          </w:tcPr>
          <w:p w:rsidR="00FF7EEB" w:rsidRPr="0038628B">
            <w:pPr>
              <w:pStyle w:val="TableParagraph"/>
              <w:spacing w:before="95"/>
              <w:ind w:left="94"/>
              <w:rPr>
                <w:rFonts w:ascii="Verdana" w:hAnsi="Verdana"/>
                <w:sz w:val="24"/>
              </w:rPr>
            </w:pPr>
            <w:r w:rsidRPr="0038628B">
              <w:rPr>
                <w:rFonts w:ascii="Segoe UI Symbol" w:hAnsi="Segoe UI Symbol" w:cs="Segoe UI Symbol"/>
                <w:color w:val="001C34"/>
                <w:spacing w:val="-10"/>
                <w:sz w:val="24"/>
              </w:rPr>
              <w:t>✓</w:t>
            </w:r>
          </w:p>
        </w:tc>
        <w:tc>
          <w:tcPr>
            <w:tcW w:w="1500" w:type="dxa"/>
            <w:tcBorders>
              <w:top w:val="nil"/>
            </w:tcBorders>
          </w:tcPr>
          <w:p w:rsidR="00FF7EEB" w:rsidRPr="0038628B">
            <w:pPr>
              <w:pStyle w:val="TableParagraph"/>
              <w:spacing w:before="95"/>
              <w:ind w:left="94"/>
              <w:rPr>
                <w:rFonts w:ascii="Verdana" w:hAnsi="Verdana"/>
                <w:sz w:val="24"/>
              </w:rPr>
            </w:pPr>
            <w:r w:rsidRPr="0038628B">
              <w:rPr>
                <w:rFonts w:ascii="Segoe UI Symbol" w:hAnsi="Segoe UI Symbol" w:cs="Segoe UI Symbol"/>
                <w:color w:val="001C34"/>
                <w:spacing w:val="-10"/>
                <w:sz w:val="24"/>
              </w:rPr>
              <w:t>✓</w:t>
            </w:r>
          </w:p>
        </w:tc>
        <w:tc>
          <w:tcPr>
            <w:tcW w:w="1500" w:type="dxa"/>
            <w:tcBorders>
              <w:top w:val="nil"/>
            </w:tcBorders>
          </w:tcPr>
          <w:p w:rsidR="00FF7EEB" w:rsidRPr="0038628B">
            <w:pPr>
              <w:pStyle w:val="TableParagraph"/>
              <w:spacing w:before="95"/>
              <w:ind w:left="94"/>
              <w:rPr>
                <w:rFonts w:ascii="Verdana" w:hAnsi="Verdana"/>
                <w:sz w:val="24"/>
              </w:rPr>
            </w:pPr>
            <w:r w:rsidRPr="0038628B">
              <w:rPr>
                <w:rFonts w:ascii="Segoe UI Symbol" w:hAnsi="Segoe UI Symbol" w:cs="Segoe UI Symbol"/>
                <w:color w:val="001C34"/>
                <w:spacing w:val="-10"/>
                <w:sz w:val="24"/>
              </w:rPr>
              <w:t>✓</w:t>
            </w:r>
          </w:p>
        </w:tc>
        <w:tc>
          <w:tcPr>
            <w:tcW w:w="1500" w:type="dxa"/>
            <w:tcBorders>
              <w:top w:val="nil"/>
            </w:tcBorders>
          </w:tcPr>
          <w:p w:rsidR="00FF7EEB" w:rsidRPr="0038628B">
            <w:pPr>
              <w:pStyle w:val="TableParagraph"/>
              <w:spacing w:before="95"/>
              <w:ind w:left="94"/>
              <w:rPr>
                <w:rFonts w:ascii="Verdana" w:hAnsi="Verdana"/>
                <w:sz w:val="24"/>
              </w:rPr>
            </w:pPr>
            <w:r w:rsidRPr="0038628B">
              <w:rPr>
                <w:rFonts w:ascii="Segoe UI Symbol" w:hAnsi="Segoe UI Symbol" w:cs="Segoe UI Symbol"/>
                <w:color w:val="001C34"/>
                <w:spacing w:val="-10"/>
                <w:sz w:val="24"/>
              </w:rPr>
              <w:t>✓</w:t>
            </w:r>
          </w:p>
        </w:tc>
        <w:tc>
          <w:tcPr>
            <w:tcW w:w="1500" w:type="dxa"/>
            <w:tcBorders>
              <w:top w:val="nil"/>
            </w:tcBorders>
          </w:tcPr>
          <w:p w:rsidR="00FF7EEB" w:rsidRPr="0038628B">
            <w:pPr>
              <w:pStyle w:val="TableParagraph"/>
              <w:spacing w:before="95"/>
              <w:ind w:left="94"/>
              <w:rPr>
                <w:rFonts w:ascii="Verdana" w:hAnsi="Verdana"/>
                <w:sz w:val="24"/>
              </w:rPr>
            </w:pPr>
            <w:r w:rsidRPr="0038628B">
              <w:rPr>
                <w:rFonts w:ascii="Segoe UI Symbol" w:hAnsi="Segoe UI Symbol" w:cs="Segoe UI Symbol"/>
                <w:color w:val="001C34"/>
                <w:spacing w:val="-10"/>
                <w:sz w:val="24"/>
              </w:rPr>
              <w:t>✓</w:t>
            </w:r>
          </w:p>
        </w:tc>
      </w:tr>
      <w:tr>
        <w:tblPrEx>
          <w:tblW w:w="0" w:type="auto"/>
          <w:tblInd w:w="42" w:type="dxa"/>
          <w:tblLayout w:type="fixed"/>
          <w:tblCellMar>
            <w:left w:w="0" w:type="dxa"/>
            <w:right w:w="0" w:type="dxa"/>
          </w:tblCellMar>
          <w:tblLook w:val="01E0"/>
        </w:tblPrEx>
        <w:trPr>
          <w:trHeight w:val="700"/>
        </w:trPr>
        <w:tc>
          <w:tcPr>
            <w:tcW w:w="1500" w:type="dxa"/>
            <w:shd w:val="clear" w:color="auto" w:fill="F4CCCC"/>
          </w:tcPr>
          <w:p w:rsidR="00FF7EEB" w:rsidRPr="0038628B">
            <w:pPr>
              <w:pStyle w:val="TableParagraph"/>
              <w:spacing w:before="116"/>
              <w:ind w:left="94"/>
              <w:rPr>
                <w:rFonts w:ascii="Verdana" w:hAnsi="Verdana"/>
                <w:b/>
                <w:sz w:val="18"/>
              </w:rPr>
            </w:pPr>
            <w:r w:rsidRPr="0038628B">
              <w:rPr>
                <w:rFonts w:ascii="Verdana" w:hAnsi="Verdana"/>
                <w:b/>
                <w:color w:val="212121"/>
                <w:spacing w:val="-2"/>
                <w:sz w:val="18"/>
              </w:rPr>
              <w:t>Tokenised</w:t>
            </w:r>
            <w:r w:rsidRPr="0038628B">
              <w:rPr>
                <w:rFonts w:ascii="Verdana" w:hAnsi="Verdana"/>
                <w:b/>
                <w:color w:val="212121"/>
                <w:spacing w:val="-2"/>
                <w:sz w:val="18"/>
              </w:rPr>
              <w:t xml:space="preserve"> Deposits</w:t>
            </w:r>
          </w:p>
        </w:tc>
        <w:tc>
          <w:tcPr>
            <w:tcW w:w="1500" w:type="dxa"/>
          </w:tcPr>
          <w:p w:rsidR="00FF7EEB" w:rsidRPr="0038628B">
            <w:pPr>
              <w:pStyle w:val="TableParagraph"/>
              <w:spacing w:before="0"/>
              <w:ind w:left="0"/>
              <w:rPr>
                <w:rFonts w:ascii="Verdana" w:hAnsi="Verdana"/>
                <w:sz w:val="20"/>
              </w:rPr>
            </w:pPr>
          </w:p>
        </w:tc>
        <w:tc>
          <w:tcPr>
            <w:tcW w:w="1500" w:type="dxa"/>
          </w:tcPr>
          <w:p w:rsidR="00FF7EEB" w:rsidRPr="0038628B">
            <w:pPr>
              <w:pStyle w:val="TableParagraph"/>
              <w:spacing w:before="96"/>
              <w:ind w:left="94"/>
              <w:rPr>
                <w:rFonts w:ascii="Verdana" w:hAnsi="Verdana"/>
                <w:sz w:val="24"/>
              </w:rPr>
            </w:pPr>
            <w:r w:rsidRPr="0038628B">
              <w:rPr>
                <w:rFonts w:ascii="Segoe UI Symbol" w:hAnsi="Segoe UI Symbol" w:cs="Segoe UI Symbol"/>
                <w:color w:val="001C34"/>
                <w:spacing w:val="-10"/>
                <w:sz w:val="24"/>
              </w:rPr>
              <w:t>✓</w:t>
            </w:r>
          </w:p>
        </w:tc>
        <w:tc>
          <w:tcPr>
            <w:tcW w:w="1500" w:type="dxa"/>
          </w:tcPr>
          <w:p w:rsidR="00FF7EEB" w:rsidRPr="0038628B">
            <w:pPr>
              <w:pStyle w:val="TableParagraph"/>
              <w:spacing w:before="0"/>
              <w:ind w:left="0"/>
              <w:rPr>
                <w:rFonts w:ascii="Verdana" w:hAnsi="Verdana"/>
                <w:sz w:val="20"/>
              </w:rPr>
            </w:pPr>
          </w:p>
        </w:tc>
        <w:tc>
          <w:tcPr>
            <w:tcW w:w="1500" w:type="dxa"/>
          </w:tcPr>
          <w:p w:rsidR="00FF7EEB" w:rsidRPr="0038628B">
            <w:pPr>
              <w:pStyle w:val="TableParagraph"/>
              <w:spacing w:before="96"/>
              <w:ind w:left="94"/>
              <w:rPr>
                <w:rFonts w:ascii="Verdana" w:hAnsi="Verdana"/>
                <w:sz w:val="24"/>
              </w:rPr>
            </w:pPr>
            <w:r w:rsidRPr="0038628B">
              <w:rPr>
                <w:rFonts w:ascii="Segoe UI Symbol" w:hAnsi="Segoe UI Symbol" w:cs="Segoe UI Symbol"/>
                <w:color w:val="001C34"/>
                <w:spacing w:val="-10"/>
                <w:sz w:val="24"/>
              </w:rPr>
              <w:t>✓</w:t>
            </w:r>
          </w:p>
        </w:tc>
        <w:tc>
          <w:tcPr>
            <w:tcW w:w="1500" w:type="dxa"/>
          </w:tcPr>
          <w:p w:rsidR="00FF7EEB" w:rsidRPr="0038628B">
            <w:pPr>
              <w:pStyle w:val="TableParagraph"/>
              <w:spacing w:before="0"/>
              <w:ind w:left="0"/>
              <w:rPr>
                <w:rFonts w:ascii="Verdana" w:hAnsi="Verdana"/>
                <w:sz w:val="20"/>
              </w:rPr>
            </w:pPr>
          </w:p>
        </w:tc>
      </w:tr>
    </w:tbl>
    <w:p w:rsidR="00FF7EEB" w:rsidRPr="0038628B">
      <w:pPr>
        <w:pStyle w:val="TableParagraph"/>
        <w:rPr>
          <w:rFonts w:ascii="Verdana" w:hAnsi="Verdana"/>
          <w:sz w:val="20"/>
        </w:rPr>
        <w:sectPr>
          <w:pgSz w:w="11920" w:h="16840"/>
          <w:pgMar w:top="1360" w:right="1417" w:bottom="980" w:left="1417" w:header="0" w:footer="799" w:gutter="0"/>
          <w:cols w:space="720"/>
        </w:sectPr>
      </w:pPr>
    </w:p>
    <w:p w:rsidR="00FF7EEB" w:rsidRPr="0038628B">
      <w:pPr>
        <w:pStyle w:val="BodyText"/>
        <w:spacing w:before="80"/>
        <w:ind w:left="23"/>
        <w:rPr>
          <w:rFonts w:ascii="Verdana" w:hAnsi="Verdana"/>
        </w:rPr>
      </w:pPr>
      <w:r w:rsidRPr="0038628B">
        <w:rPr>
          <w:rFonts w:ascii="Verdana" w:hAnsi="Verdana"/>
          <w:color w:val="212121"/>
          <w:w w:val="105"/>
          <w:u w:val="thick" w:color="212121"/>
        </w:rPr>
        <w:t>Tokenised</w:t>
      </w:r>
      <w:r w:rsidRPr="0038628B">
        <w:rPr>
          <w:rFonts w:ascii="Verdana" w:hAnsi="Verdana"/>
          <w:color w:val="212121"/>
          <w:spacing w:val="-6"/>
          <w:w w:val="105"/>
          <w:u w:val="thick" w:color="212121"/>
        </w:rPr>
        <w:t xml:space="preserve"> </w:t>
      </w:r>
      <w:r w:rsidRPr="0038628B">
        <w:rPr>
          <w:rFonts w:ascii="Verdana" w:hAnsi="Verdana"/>
          <w:color w:val="212121"/>
          <w:w w:val="105"/>
          <w:u w:val="thick" w:color="212121"/>
        </w:rPr>
        <w:t>deposits</w:t>
      </w:r>
      <w:r w:rsidRPr="0038628B">
        <w:rPr>
          <w:rFonts w:ascii="Verdana" w:hAnsi="Verdana"/>
          <w:color w:val="212121"/>
          <w:spacing w:val="-5"/>
          <w:w w:val="105"/>
          <w:u w:val="thick" w:color="212121"/>
        </w:rPr>
        <w:t xml:space="preserve"> </w:t>
      </w:r>
      <w:r w:rsidRPr="0038628B">
        <w:rPr>
          <w:rFonts w:ascii="Verdana" w:hAnsi="Verdana"/>
          <w:color w:val="212121"/>
          <w:w w:val="105"/>
          <w:u w:val="thick" w:color="212121"/>
        </w:rPr>
        <w:t>are</w:t>
      </w:r>
      <w:r w:rsidRPr="0038628B">
        <w:rPr>
          <w:rFonts w:ascii="Verdana" w:hAnsi="Verdana"/>
          <w:color w:val="212121"/>
          <w:spacing w:val="-5"/>
          <w:w w:val="105"/>
          <w:u w:val="thick" w:color="212121"/>
        </w:rPr>
        <w:t xml:space="preserve"> </w:t>
      </w:r>
      <w:r w:rsidRPr="0038628B">
        <w:rPr>
          <w:rFonts w:ascii="Verdana" w:hAnsi="Verdana"/>
          <w:color w:val="212121"/>
          <w:w w:val="105"/>
          <w:u w:val="thick" w:color="212121"/>
        </w:rPr>
        <w:t>optimal</w:t>
      </w:r>
      <w:r w:rsidRPr="0038628B">
        <w:rPr>
          <w:rFonts w:ascii="Verdana" w:hAnsi="Verdana"/>
          <w:color w:val="212121"/>
          <w:spacing w:val="-5"/>
          <w:w w:val="105"/>
          <w:u w:val="thick" w:color="212121"/>
        </w:rPr>
        <w:t xml:space="preserve"> </w:t>
      </w:r>
      <w:r w:rsidRPr="0038628B">
        <w:rPr>
          <w:rFonts w:ascii="Verdana" w:hAnsi="Verdana"/>
          <w:color w:val="212121"/>
          <w:spacing w:val="-4"/>
          <w:w w:val="105"/>
          <w:u w:val="thick" w:color="212121"/>
        </w:rPr>
        <w:t>for:</w:t>
      </w:r>
    </w:p>
    <w:p w:rsidR="00FF7EEB" w:rsidRPr="0038628B">
      <w:pPr>
        <w:pStyle w:val="ListParagraph"/>
        <w:numPr>
          <w:ilvl w:val="1"/>
          <w:numId w:val="2"/>
        </w:numPr>
        <w:tabs>
          <w:tab w:val="left" w:pos="743"/>
        </w:tabs>
        <w:spacing w:before="285" w:line="276" w:lineRule="auto"/>
        <w:ind w:right="35"/>
        <w:rPr>
          <w:rFonts w:ascii="Verdana" w:hAnsi="Verdana"/>
        </w:rPr>
      </w:pPr>
      <w:r w:rsidRPr="0038628B">
        <w:rPr>
          <w:rFonts w:ascii="Verdana" w:hAnsi="Verdana"/>
          <w:color w:val="212121"/>
          <w:w w:val="105"/>
        </w:rPr>
        <w:t>Intrabank and interbank institutional settlement — JPMorgan's JPM Coin</w:t>
      </w:r>
      <w:r w:rsidRPr="0038628B">
        <w:rPr>
          <w:rFonts w:ascii="Verdana" w:hAnsi="Verdana"/>
          <w:color w:val="212121"/>
          <w:w w:val="105"/>
        </w:rPr>
        <w:t xml:space="preserve"> has transformed cash management at global companies, with transactions believed to rise to $1 billion per day, streamlining capital management at multinational </w:t>
      </w:r>
      <w:r w:rsidRPr="0038628B">
        <w:rPr>
          <w:rFonts w:ascii="Verdana" w:hAnsi="Verdana"/>
          <w:color w:val="212121"/>
          <w:spacing w:val="-2"/>
          <w:w w:val="105"/>
        </w:rPr>
        <w:t>companies.</w:t>
      </w:r>
    </w:p>
    <w:p w:rsidR="00FF7EEB" w:rsidRPr="0038628B">
      <w:pPr>
        <w:pStyle w:val="ListParagraph"/>
        <w:numPr>
          <w:ilvl w:val="1"/>
          <w:numId w:val="2"/>
        </w:numPr>
        <w:tabs>
          <w:tab w:val="left" w:pos="743"/>
        </w:tabs>
        <w:spacing w:line="276" w:lineRule="auto"/>
        <w:ind w:right="40"/>
        <w:rPr>
          <w:rFonts w:ascii="Verdana" w:hAnsi="Verdana"/>
        </w:rPr>
      </w:pPr>
      <w:r w:rsidRPr="0038628B">
        <w:rPr>
          <w:rFonts w:ascii="Verdana" w:hAnsi="Verdana"/>
          <w:color w:val="212121"/>
        </w:rPr>
        <w:t xml:space="preserve">24/7 cross-border treasury management — Citi launched Citi Token Services for </w:t>
      </w:r>
      <w:r w:rsidRPr="0038628B">
        <w:rPr>
          <w:rFonts w:ascii="Verdana" w:hAnsi="Verdana"/>
          <w:color w:val="212121"/>
          <w:w w:val="110"/>
        </w:rPr>
        <w:t xml:space="preserve">Cash speciﬁcally to enable 24/7 cross-border transactions for clients, while </w:t>
      </w:r>
      <w:r w:rsidRPr="0038628B">
        <w:rPr>
          <w:rFonts w:ascii="Verdana" w:hAnsi="Verdana"/>
          <w:color w:val="212121"/>
        </w:rPr>
        <w:t xml:space="preserve">HSBC completed its ﬁrst cross-border transaction using a deposit token for Ant </w:t>
      </w:r>
      <w:r w:rsidRPr="0038628B">
        <w:rPr>
          <w:rFonts w:ascii="Verdana" w:hAnsi="Verdana"/>
          <w:color w:val="212121"/>
          <w:spacing w:val="-2"/>
          <w:w w:val="110"/>
        </w:rPr>
        <w:t>International.</w:t>
      </w:r>
    </w:p>
    <w:p w:rsidR="00FF7EEB" w:rsidRPr="0038628B">
      <w:pPr>
        <w:pStyle w:val="ListParagraph"/>
        <w:numPr>
          <w:ilvl w:val="1"/>
          <w:numId w:val="2"/>
        </w:numPr>
        <w:tabs>
          <w:tab w:val="left" w:pos="743"/>
        </w:tabs>
        <w:spacing w:line="276" w:lineRule="auto"/>
        <w:ind w:right="43"/>
        <w:rPr>
          <w:rFonts w:ascii="Verdana" w:hAnsi="Verdana"/>
        </w:rPr>
      </w:pPr>
      <w:r w:rsidRPr="0038628B">
        <w:rPr>
          <w:rFonts w:ascii="Verdana" w:hAnsi="Verdana"/>
          <w:color w:val="212121"/>
          <w:w w:val="105"/>
        </w:rPr>
        <w:t xml:space="preserve">Regulated lending ecosystems — </w:t>
      </w:r>
      <w:r w:rsidRPr="0038628B">
        <w:rPr>
          <w:rFonts w:ascii="Verdana" w:hAnsi="Verdana"/>
          <w:color w:val="212121"/>
          <w:w w:val="105"/>
        </w:rPr>
        <w:t>Tokenised</w:t>
      </w:r>
      <w:r w:rsidRPr="0038628B">
        <w:rPr>
          <w:rFonts w:ascii="Verdana" w:hAnsi="Verdana"/>
          <w:color w:val="212121"/>
          <w:w w:val="105"/>
        </w:rPr>
        <w:t xml:space="preserve"> deposits allow banks to</w:t>
      </w:r>
      <w:r w:rsidRPr="0038628B">
        <w:rPr>
          <w:rFonts w:ascii="Verdana" w:hAnsi="Verdana"/>
          <w:color w:val="212121"/>
          <w:w w:val="105"/>
        </w:rPr>
        <w:t xml:space="preserve"> continue intermediating between borrowers and savers, providing credit to support economic growth.</w:t>
      </w:r>
    </w:p>
    <w:p w:rsidR="00FF7EEB" w:rsidRPr="0038628B">
      <w:pPr>
        <w:pStyle w:val="ListParagraph"/>
        <w:numPr>
          <w:ilvl w:val="1"/>
          <w:numId w:val="2"/>
        </w:numPr>
        <w:tabs>
          <w:tab w:val="left" w:pos="743"/>
        </w:tabs>
        <w:spacing w:line="276" w:lineRule="auto"/>
        <w:ind w:right="44"/>
        <w:rPr>
          <w:rFonts w:ascii="Verdana" w:hAnsi="Verdana"/>
        </w:rPr>
      </w:pPr>
      <w:r w:rsidRPr="0038628B">
        <w:rPr>
          <w:rFonts w:ascii="Verdana" w:hAnsi="Verdana"/>
          <w:color w:val="212121"/>
          <w:w w:val="105"/>
        </w:rPr>
        <w:t xml:space="preserve">Situations requiring deposit protection and where the FSCS insurance limit is </w:t>
      </w:r>
      <w:r w:rsidRPr="0038628B">
        <w:rPr>
          <w:rFonts w:ascii="Verdana" w:hAnsi="Verdana"/>
          <w:color w:val="212121"/>
          <w:spacing w:val="-2"/>
          <w:w w:val="105"/>
        </w:rPr>
        <w:t>adequate.</w:t>
      </w:r>
    </w:p>
    <w:p w:rsidR="00FF7EEB" w:rsidRPr="0038628B">
      <w:pPr>
        <w:pStyle w:val="BodyText"/>
        <w:spacing w:before="240"/>
        <w:ind w:left="23"/>
        <w:rPr>
          <w:rFonts w:ascii="Verdana" w:hAnsi="Verdana"/>
        </w:rPr>
      </w:pPr>
      <w:r w:rsidRPr="0038628B">
        <w:rPr>
          <w:rFonts w:ascii="Verdana" w:hAnsi="Verdana"/>
          <w:color w:val="212121"/>
          <w:u w:val="thick" w:color="212121"/>
        </w:rPr>
        <w:t>Stablecoins</w:t>
      </w:r>
      <w:r w:rsidRPr="0038628B">
        <w:rPr>
          <w:rFonts w:ascii="Verdana" w:hAnsi="Verdana"/>
          <w:color w:val="212121"/>
          <w:spacing w:val="35"/>
          <w:u w:val="thick" w:color="212121"/>
        </w:rPr>
        <w:t xml:space="preserve"> </w:t>
      </w:r>
      <w:r w:rsidRPr="0038628B">
        <w:rPr>
          <w:rFonts w:ascii="Verdana" w:hAnsi="Verdana"/>
          <w:color w:val="212121"/>
          <w:u w:val="thick" w:color="212121"/>
        </w:rPr>
        <w:t>are</w:t>
      </w:r>
      <w:r w:rsidRPr="0038628B">
        <w:rPr>
          <w:rFonts w:ascii="Verdana" w:hAnsi="Verdana"/>
          <w:color w:val="212121"/>
          <w:spacing w:val="36"/>
          <w:u w:val="thick" w:color="212121"/>
        </w:rPr>
        <w:t xml:space="preserve"> </w:t>
      </w:r>
      <w:r w:rsidRPr="0038628B">
        <w:rPr>
          <w:rFonts w:ascii="Verdana" w:hAnsi="Verdana"/>
          <w:color w:val="212121"/>
          <w:u w:val="thick" w:color="212121"/>
        </w:rPr>
        <w:t>optimal</w:t>
      </w:r>
      <w:r w:rsidRPr="0038628B">
        <w:rPr>
          <w:rFonts w:ascii="Verdana" w:hAnsi="Verdana"/>
          <w:color w:val="212121"/>
          <w:spacing w:val="36"/>
          <w:u w:val="thick" w:color="212121"/>
        </w:rPr>
        <w:t xml:space="preserve"> </w:t>
      </w:r>
      <w:r w:rsidRPr="0038628B">
        <w:rPr>
          <w:rFonts w:ascii="Verdana" w:hAnsi="Verdana"/>
          <w:color w:val="212121"/>
          <w:spacing w:val="-4"/>
          <w:u w:val="thick" w:color="212121"/>
        </w:rPr>
        <w:t>for:</w:t>
      </w:r>
    </w:p>
    <w:p w:rsidR="00FF7EEB" w:rsidRPr="0038628B">
      <w:pPr>
        <w:pStyle w:val="ListParagraph"/>
        <w:numPr>
          <w:ilvl w:val="1"/>
          <w:numId w:val="2"/>
        </w:numPr>
        <w:tabs>
          <w:tab w:val="left" w:pos="743"/>
        </w:tabs>
        <w:spacing w:before="285" w:line="276" w:lineRule="auto"/>
        <w:ind w:right="39"/>
        <w:rPr>
          <w:rFonts w:ascii="Verdana" w:hAnsi="Verdana"/>
        </w:rPr>
      </w:pPr>
      <w:r w:rsidRPr="0038628B">
        <w:rPr>
          <w:rFonts w:ascii="Verdana" w:hAnsi="Verdana"/>
          <w:color w:val="212121"/>
          <w:w w:val="105"/>
        </w:rPr>
        <w:t>Open, permissionless payments — Stablecoins excel as bearer assets</w:t>
      </w:r>
      <w:r w:rsidRPr="0038628B">
        <w:rPr>
          <w:rFonts w:ascii="Verdana" w:hAnsi="Verdana"/>
          <w:color w:val="212121"/>
          <w:spacing w:val="-1"/>
          <w:w w:val="105"/>
        </w:rPr>
        <w:t xml:space="preserve"> </w:t>
      </w:r>
      <w:r w:rsidRPr="0038628B">
        <w:rPr>
          <w:rFonts w:ascii="Verdana" w:hAnsi="Verdana"/>
          <w:color w:val="212121"/>
          <w:w w:val="105"/>
        </w:rPr>
        <w:t>that</w:t>
      </w:r>
      <w:r w:rsidRPr="0038628B">
        <w:rPr>
          <w:rFonts w:ascii="Verdana" w:hAnsi="Verdana"/>
          <w:color w:val="212121"/>
          <w:spacing w:val="-1"/>
          <w:w w:val="105"/>
        </w:rPr>
        <w:t xml:space="preserve"> </w:t>
      </w:r>
      <w:r w:rsidRPr="0038628B">
        <w:rPr>
          <w:rFonts w:ascii="Verdana" w:hAnsi="Verdana"/>
          <w:color w:val="212121"/>
          <w:w w:val="105"/>
        </w:rPr>
        <w:t>ﬂ</w:t>
      </w:r>
      <w:r w:rsidRPr="0038628B">
        <w:rPr>
          <w:rFonts w:ascii="Verdana" w:hAnsi="Verdana"/>
          <w:color w:val="212121"/>
          <w:w w:val="105"/>
        </w:rPr>
        <w:t>ow freely across borders, enabling instant and vastly more eﬃcient cross-border payments, in stark contrast to the slow, costly chains of correspondent banks in the traditional system.</w:t>
      </w:r>
    </w:p>
    <w:p w:rsidR="00FF7EEB" w:rsidRPr="0038628B">
      <w:pPr>
        <w:pStyle w:val="ListParagraph"/>
        <w:numPr>
          <w:ilvl w:val="1"/>
          <w:numId w:val="2"/>
        </w:numPr>
        <w:tabs>
          <w:tab w:val="left" w:pos="743"/>
        </w:tabs>
        <w:spacing w:line="276" w:lineRule="auto"/>
        <w:ind w:right="38"/>
        <w:rPr>
          <w:rFonts w:ascii="Verdana" w:hAnsi="Verdana"/>
        </w:rPr>
      </w:pPr>
      <w:r w:rsidRPr="0038628B">
        <w:rPr>
          <w:rFonts w:ascii="Verdana" w:hAnsi="Verdana"/>
          <w:color w:val="212121"/>
        </w:rPr>
        <w:t>Financial</w:t>
      </w:r>
      <w:r w:rsidRPr="0038628B">
        <w:rPr>
          <w:rFonts w:ascii="Verdana" w:hAnsi="Verdana"/>
          <w:color w:val="212121"/>
          <w:spacing w:val="40"/>
        </w:rPr>
        <w:t xml:space="preserve"> </w:t>
      </w:r>
      <w:r w:rsidRPr="0038628B">
        <w:rPr>
          <w:rFonts w:ascii="Verdana" w:hAnsi="Verdana"/>
          <w:color w:val="212121"/>
        </w:rPr>
        <w:t>inclusion</w:t>
      </w:r>
      <w:r w:rsidRPr="0038628B">
        <w:rPr>
          <w:rFonts w:ascii="Verdana" w:hAnsi="Verdana"/>
          <w:color w:val="212121"/>
          <w:spacing w:val="40"/>
        </w:rPr>
        <w:t xml:space="preserve"> </w:t>
      </w:r>
      <w:r w:rsidRPr="0038628B">
        <w:rPr>
          <w:rFonts w:ascii="Verdana" w:hAnsi="Verdana"/>
          <w:color w:val="212121"/>
        </w:rPr>
        <w:t>—</w:t>
      </w:r>
      <w:r w:rsidRPr="0038628B">
        <w:rPr>
          <w:rFonts w:ascii="Verdana" w:hAnsi="Verdana"/>
          <w:color w:val="212121"/>
          <w:spacing w:val="40"/>
        </w:rPr>
        <w:t xml:space="preserve"> </w:t>
      </w:r>
      <w:r w:rsidRPr="0038628B">
        <w:rPr>
          <w:rFonts w:ascii="Verdana" w:hAnsi="Verdana"/>
          <w:color w:val="212121"/>
        </w:rPr>
        <w:t>Stablecoins</w:t>
      </w:r>
      <w:r w:rsidRPr="0038628B">
        <w:rPr>
          <w:rFonts w:ascii="Verdana" w:hAnsi="Verdana"/>
          <w:color w:val="212121"/>
          <w:spacing w:val="40"/>
        </w:rPr>
        <w:t xml:space="preserve"> </w:t>
      </w:r>
      <w:r w:rsidRPr="0038628B">
        <w:rPr>
          <w:rFonts w:ascii="Verdana" w:hAnsi="Verdana"/>
          <w:color w:val="212121"/>
        </w:rPr>
        <w:t>were</w:t>
      </w:r>
      <w:r w:rsidRPr="0038628B">
        <w:rPr>
          <w:rFonts w:ascii="Verdana" w:hAnsi="Verdana"/>
          <w:color w:val="212121"/>
          <w:spacing w:val="40"/>
        </w:rPr>
        <w:t xml:space="preserve"> </w:t>
      </w:r>
      <w:r w:rsidRPr="0038628B">
        <w:rPr>
          <w:rFonts w:ascii="Verdana" w:hAnsi="Verdana"/>
          <w:color w:val="212121"/>
        </w:rPr>
        <w:t>initially</w:t>
      </w:r>
      <w:r w:rsidRPr="0038628B">
        <w:rPr>
          <w:rFonts w:ascii="Verdana" w:hAnsi="Verdana"/>
          <w:color w:val="212121"/>
          <w:spacing w:val="40"/>
        </w:rPr>
        <w:t xml:space="preserve"> </w:t>
      </w:r>
      <w:r w:rsidRPr="0038628B">
        <w:rPr>
          <w:rFonts w:ascii="Verdana" w:hAnsi="Verdana"/>
          <w:color w:val="212121"/>
        </w:rPr>
        <w:t>created</w:t>
      </w:r>
      <w:r w:rsidRPr="0038628B">
        <w:rPr>
          <w:rFonts w:ascii="Verdana" w:hAnsi="Verdana"/>
          <w:color w:val="212121"/>
          <w:spacing w:val="40"/>
        </w:rPr>
        <w:t xml:space="preserve"> </w:t>
      </w:r>
      <w:r w:rsidRPr="0038628B">
        <w:rPr>
          <w:rFonts w:ascii="Verdana" w:hAnsi="Verdana"/>
          <w:color w:val="212121"/>
        </w:rPr>
        <w:t>to</w:t>
      </w:r>
      <w:r w:rsidRPr="0038628B">
        <w:rPr>
          <w:rFonts w:ascii="Verdana" w:hAnsi="Verdana"/>
          <w:color w:val="212121"/>
          <w:spacing w:val="40"/>
        </w:rPr>
        <w:t xml:space="preserve"> </w:t>
      </w:r>
      <w:r w:rsidRPr="0038628B">
        <w:rPr>
          <w:rFonts w:ascii="Verdana" w:hAnsi="Verdana"/>
          <w:color w:val="212121"/>
        </w:rPr>
        <w:t>provide</w:t>
      </w:r>
      <w:r w:rsidRPr="0038628B">
        <w:rPr>
          <w:rFonts w:ascii="Verdana" w:hAnsi="Verdana"/>
          <w:color w:val="212121"/>
          <w:spacing w:val="40"/>
        </w:rPr>
        <w:t xml:space="preserve"> </w:t>
      </w:r>
      <w:r w:rsidRPr="0038628B">
        <w:rPr>
          <w:rFonts w:ascii="Verdana" w:hAnsi="Verdana"/>
          <w:color w:val="212121"/>
        </w:rPr>
        <w:t>an</w:t>
      </w:r>
      <w:r w:rsidRPr="0038628B">
        <w:rPr>
          <w:rFonts w:ascii="Verdana" w:hAnsi="Verdana"/>
          <w:color w:val="212121"/>
          <w:spacing w:val="40"/>
        </w:rPr>
        <w:t xml:space="preserve"> </w:t>
      </w:r>
      <w:r w:rsidRPr="0038628B">
        <w:rPr>
          <w:rFonts w:ascii="Verdana" w:hAnsi="Verdana"/>
          <w:color w:val="212121"/>
        </w:rPr>
        <w:t xml:space="preserve">alternative </w:t>
      </w:r>
      <w:r w:rsidRPr="0038628B">
        <w:rPr>
          <w:rFonts w:ascii="Verdana" w:hAnsi="Verdana"/>
          <w:color w:val="212121"/>
          <w:w w:val="110"/>
        </w:rPr>
        <w:t>for those without access to bank accounts,</w:t>
      </w:r>
      <w:r w:rsidRPr="0038628B">
        <w:rPr>
          <w:rFonts w:ascii="Verdana" w:hAnsi="Verdana"/>
          <w:color w:val="212121"/>
          <w:spacing w:val="-10"/>
          <w:w w:val="110"/>
        </w:rPr>
        <w:t xml:space="preserve"> </w:t>
      </w:r>
      <w:r w:rsidRPr="0038628B">
        <w:rPr>
          <w:rFonts w:ascii="Verdana" w:hAnsi="Verdana"/>
          <w:color w:val="212121"/>
          <w:w w:val="110"/>
        </w:rPr>
        <w:t>and</w:t>
      </w:r>
      <w:r w:rsidRPr="0038628B">
        <w:rPr>
          <w:rFonts w:ascii="Verdana" w:hAnsi="Verdana"/>
          <w:color w:val="212121"/>
          <w:spacing w:val="-10"/>
          <w:w w:val="110"/>
        </w:rPr>
        <w:t xml:space="preserve"> </w:t>
      </w:r>
      <w:r w:rsidRPr="0038628B">
        <w:rPr>
          <w:rFonts w:ascii="Verdana" w:hAnsi="Verdana"/>
          <w:color w:val="212121"/>
          <w:w w:val="110"/>
        </w:rPr>
        <w:t>over</w:t>
      </w:r>
      <w:r w:rsidRPr="0038628B">
        <w:rPr>
          <w:rFonts w:ascii="Verdana" w:hAnsi="Verdana"/>
          <w:color w:val="212121"/>
          <w:spacing w:val="-10"/>
          <w:w w:val="110"/>
        </w:rPr>
        <w:t xml:space="preserve"> </w:t>
      </w:r>
      <w:r w:rsidRPr="0038628B">
        <w:rPr>
          <w:rFonts w:ascii="Verdana" w:hAnsi="Verdana"/>
          <w:color w:val="212121"/>
          <w:w w:val="110"/>
        </w:rPr>
        <w:t>time</w:t>
      </w:r>
      <w:r w:rsidRPr="0038628B">
        <w:rPr>
          <w:rFonts w:ascii="Verdana" w:hAnsi="Verdana"/>
          <w:color w:val="212121"/>
          <w:spacing w:val="-10"/>
          <w:w w:val="110"/>
        </w:rPr>
        <w:t xml:space="preserve"> </w:t>
      </w:r>
      <w:r w:rsidRPr="0038628B">
        <w:rPr>
          <w:rFonts w:ascii="Verdana" w:hAnsi="Verdana"/>
          <w:color w:val="212121"/>
          <w:w w:val="110"/>
        </w:rPr>
        <w:t>have</w:t>
      </w:r>
      <w:r w:rsidRPr="0038628B">
        <w:rPr>
          <w:rFonts w:ascii="Verdana" w:hAnsi="Verdana"/>
          <w:color w:val="212121"/>
          <w:spacing w:val="-10"/>
          <w:w w:val="110"/>
        </w:rPr>
        <w:t xml:space="preserve"> </w:t>
      </w:r>
      <w:r w:rsidRPr="0038628B">
        <w:rPr>
          <w:rFonts w:ascii="Verdana" w:hAnsi="Verdana"/>
          <w:color w:val="212121"/>
          <w:w w:val="110"/>
        </w:rPr>
        <w:t>evolved</w:t>
      </w:r>
      <w:r w:rsidRPr="0038628B">
        <w:rPr>
          <w:rFonts w:ascii="Verdana" w:hAnsi="Verdana"/>
          <w:color w:val="212121"/>
          <w:spacing w:val="-10"/>
          <w:w w:val="110"/>
        </w:rPr>
        <w:t xml:space="preserve"> </w:t>
      </w:r>
      <w:r w:rsidRPr="0038628B">
        <w:rPr>
          <w:rFonts w:ascii="Verdana" w:hAnsi="Verdana"/>
          <w:color w:val="212121"/>
          <w:w w:val="110"/>
        </w:rPr>
        <w:t>into</w:t>
      </w:r>
      <w:r w:rsidRPr="0038628B">
        <w:rPr>
          <w:rFonts w:ascii="Verdana" w:hAnsi="Verdana"/>
          <w:color w:val="212121"/>
          <w:spacing w:val="-10"/>
          <w:w w:val="110"/>
        </w:rPr>
        <w:t xml:space="preserve"> </w:t>
      </w:r>
      <w:r w:rsidRPr="0038628B">
        <w:rPr>
          <w:rFonts w:ascii="Verdana" w:hAnsi="Verdana"/>
          <w:color w:val="212121"/>
          <w:w w:val="110"/>
        </w:rPr>
        <w:t>a more eﬃcient</w:t>
      </w:r>
      <w:r w:rsidRPr="0038628B">
        <w:rPr>
          <w:rFonts w:ascii="Verdana" w:hAnsi="Verdana"/>
          <w:color w:val="212121"/>
          <w:spacing w:val="-2"/>
          <w:w w:val="110"/>
        </w:rPr>
        <w:t xml:space="preserve"> </w:t>
      </w:r>
      <w:r w:rsidRPr="0038628B">
        <w:rPr>
          <w:rFonts w:ascii="Verdana" w:hAnsi="Verdana"/>
          <w:color w:val="212121"/>
          <w:w w:val="110"/>
        </w:rPr>
        <w:t>method</w:t>
      </w:r>
      <w:r w:rsidRPr="0038628B">
        <w:rPr>
          <w:rFonts w:ascii="Verdana" w:hAnsi="Verdana"/>
          <w:color w:val="212121"/>
          <w:spacing w:val="-2"/>
          <w:w w:val="110"/>
        </w:rPr>
        <w:t xml:space="preserve"> </w:t>
      </w:r>
      <w:r w:rsidRPr="0038628B">
        <w:rPr>
          <w:rFonts w:ascii="Verdana" w:hAnsi="Verdana"/>
          <w:color w:val="212121"/>
          <w:w w:val="110"/>
        </w:rPr>
        <w:t>for</w:t>
      </w:r>
      <w:r w:rsidRPr="0038628B">
        <w:rPr>
          <w:rFonts w:ascii="Verdana" w:hAnsi="Verdana"/>
          <w:color w:val="212121"/>
          <w:spacing w:val="-2"/>
          <w:w w:val="110"/>
        </w:rPr>
        <w:t xml:space="preserve"> </w:t>
      </w:r>
      <w:r w:rsidRPr="0038628B">
        <w:rPr>
          <w:rFonts w:ascii="Verdana" w:hAnsi="Verdana"/>
          <w:color w:val="212121"/>
          <w:w w:val="110"/>
        </w:rPr>
        <w:t>transferring</w:t>
      </w:r>
      <w:r w:rsidRPr="0038628B">
        <w:rPr>
          <w:rFonts w:ascii="Verdana" w:hAnsi="Verdana"/>
          <w:color w:val="212121"/>
          <w:spacing w:val="-2"/>
          <w:w w:val="110"/>
        </w:rPr>
        <w:t xml:space="preserve"> </w:t>
      </w:r>
      <w:r w:rsidRPr="0038628B">
        <w:rPr>
          <w:rFonts w:ascii="Verdana" w:hAnsi="Verdana"/>
          <w:color w:val="212121"/>
          <w:w w:val="110"/>
        </w:rPr>
        <w:t>funds,</w:t>
      </w:r>
      <w:r w:rsidRPr="0038628B">
        <w:rPr>
          <w:rFonts w:ascii="Verdana" w:hAnsi="Verdana"/>
          <w:color w:val="212121"/>
          <w:spacing w:val="-2"/>
          <w:w w:val="110"/>
        </w:rPr>
        <w:t xml:space="preserve"> </w:t>
      </w:r>
      <w:r w:rsidRPr="0038628B">
        <w:rPr>
          <w:rFonts w:ascii="Verdana" w:hAnsi="Verdana"/>
          <w:color w:val="212121"/>
          <w:w w:val="110"/>
        </w:rPr>
        <w:t>often</w:t>
      </w:r>
      <w:r w:rsidRPr="0038628B">
        <w:rPr>
          <w:rFonts w:ascii="Verdana" w:hAnsi="Verdana"/>
          <w:color w:val="212121"/>
          <w:spacing w:val="-2"/>
          <w:w w:val="110"/>
        </w:rPr>
        <w:t xml:space="preserve"> </w:t>
      </w:r>
      <w:r w:rsidRPr="0038628B">
        <w:rPr>
          <w:rFonts w:ascii="Verdana" w:hAnsi="Verdana"/>
          <w:color w:val="212121"/>
          <w:w w:val="110"/>
        </w:rPr>
        <w:t>preferred</w:t>
      </w:r>
      <w:r w:rsidRPr="0038628B">
        <w:rPr>
          <w:rFonts w:ascii="Verdana" w:hAnsi="Verdana"/>
          <w:color w:val="212121"/>
          <w:spacing w:val="-2"/>
          <w:w w:val="110"/>
        </w:rPr>
        <w:t xml:space="preserve"> </w:t>
      </w:r>
      <w:r w:rsidRPr="0038628B">
        <w:rPr>
          <w:rFonts w:ascii="Verdana" w:hAnsi="Verdana"/>
          <w:color w:val="212121"/>
          <w:w w:val="110"/>
        </w:rPr>
        <w:t>for</w:t>
      </w:r>
      <w:r w:rsidRPr="0038628B">
        <w:rPr>
          <w:rFonts w:ascii="Verdana" w:hAnsi="Verdana"/>
          <w:color w:val="212121"/>
          <w:spacing w:val="-2"/>
          <w:w w:val="110"/>
        </w:rPr>
        <w:t xml:space="preserve"> </w:t>
      </w:r>
      <w:r w:rsidRPr="0038628B">
        <w:rPr>
          <w:rFonts w:ascii="Verdana" w:hAnsi="Verdana"/>
          <w:color w:val="212121"/>
          <w:w w:val="110"/>
        </w:rPr>
        <w:t>their</w:t>
      </w:r>
      <w:r w:rsidRPr="0038628B">
        <w:rPr>
          <w:rFonts w:ascii="Verdana" w:hAnsi="Verdana"/>
          <w:color w:val="212121"/>
          <w:spacing w:val="-2"/>
          <w:w w:val="110"/>
        </w:rPr>
        <w:t xml:space="preserve"> </w:t>
      </w:r>
      <w:r w:rsidRPr="0038628B">
        <w:rPr>
          <w:rFonts w:ascii="Verdana" w:hAnsi="Verdana"/>
          <w:color w:val="212121"/>
          <w:w w:val="110"/>
        </w:rPr>
        <w:t>speed and</w:t>
      </w:r>
      <w:r w:rsidRPr="0038628B">
        <w:rPr>
          <w:rFonts w:ascii="Verdana" w:hAnsi="Verdana"/>
          <w:color w:val="212121"/>
          <w:spacing w:val="-10"/>
          <w:w w:val="110"/>
        </w:rPr>
        <w:t xml:space="preserve"> </w:t>
      </w:r>
      <w:r w:rsidRPr="0038628B">
        <w:rPr>
          <w:rFonts w:ascii="Verdana" w:hAnsi="Verdana"/>
          <w:color w:val="212121"/>
          <w:w w:val="110"/>
        </w:rPr>
        <w:t>lower</w:t>
      </w:r>
      <w:r w:rsidRPr="0038628B">
        <w:rPr>
          <w:rFonts w:ascii="Verdana" w:hAnsi="Verdana"/>
          <w:color w:val="212121"/>
          <w:spacing w:val="-10"/>
          <w:w w:val="110"/>
        </w:rPr>
        <w:t xml:space="preserve"> </w:t>
      </w:r>
      <w:r w:rsidRPr="0038628B">
        <w:rPr>
          <w:rFonts w:ascii="Verdana" w:hAnsi="Verdana"/>
          <w:color w:val="212121"/>
          <w:w w:val="110"/>
        </w:rPr>
        <w:t>costs</w:t>
      </w:r>
      <w:r w:rsidRPr="0038628B">
        <w:rPr>
          <w:rFonts w:ascii="Verdana" w:hAnsi="Verdana"/>
          <w:color w:val="212121"/>
          <w:spacing w:val="-10"/>
          <w:w w:val="110"/>
        </w:rPr>
        <w:t xml:space="preserve"> </w:t>
      </w:r>
      <w:r w:rsidRPr="0038628B">
        <w:rPr>
          <w:rFonts w:ascii="Verdana" w:hAnsi="Verdana"/>
          <w:color w:val="212121"/>
          <w:w w:val="110"/>
        </w:rPr>
        <w:t>even</w:t>
      </w:r>
      <w:r w:rsidRPr="0038628B">
        <w:rPr>
          <w:rFonts w:ascii="Verdana" w:hAnsi="Verdana"/>
          <w:color w:val="212121"/>
          <w:spacing w:val="-10"/>
          <w:w w:val="110"/>
        </w:rPr>
        <w:t xml:space="preserve"> </w:t>
      </w:r>
      <w:r w:rsidRPr="0038628B">
        <w:rPr>
          <w:rFonts w:ascii="Verdana" w:hAnsi="Verdana"/>
          <w:color w:val="212121"/>
          <w:w w:val="110"/>
        </w:rPr>
        <w:t>when</w:t>
      </w:r>
      <w:r w:rsidRPr="0038628B">
        <w:rPr>
          <w:rFonts w:ascii="Verdana" w:hAnsi="Verdana"/>
          <w:color w:val="212121"/>
          <w:spacing w:val="-10"/>
          <w:w w:val="110"/>
        </w:rPr>
        <w:t xml:space="preserve"> </w:t>
      </w:r>
      <w:r w:rsidRPr="0038628B">
        <w:rPr>
          <w:rFonts w:ascii="Verdana" w:hAnsi="Verdana"/>
          <w:color w:val="212121"/>
          <w:w w:val="110"/>
        </w:rPr>
        <w:t>ﬁ</w:t>
      </w:r>
      <w:r w:rsidRPr="0038628B">
        <w:rPr>
          <w:rFonts w:ascii="Verdana" w:hAnsi="Verdana"/>
          <w:color w:val="212121"/>
          <w:w w:val="110"/>
        </w:rPr>
        <w:t>at</w:t>
      </w:r>
      <w:r w:rsidRPr="0038628B">
        <w:rPr>
          <w:rFonts w:ascii="Verdana" w:hAnsi="Verdana"/>
          <w:color w:val="212121"/>
          <w:spacing w:val="-10"/>
          <w:w w:val="110"/>
        </w:rPr>
        <w:t xml:space="preserve"> </w:t>
      </w:r>
      <w:r w:rsidRPr="0038628B">
        <w:rPr>
          <w:rFonts w:ascii="Verdana" w:hAnsi="Verdana"/>
          <w:color w:val="212121"/>
          <w:w w:val="110"/>
        </w:rPr>
        <w:t>options</w:t>
      </w:r>
      <w:r w:rsidRPr="0038628B">
        <w:rPr>
          <w:rFonts w:ascii="Verdana" w:hAnsi="Verdana"/>
          <w:color w:val="212121"/>
          <w:spacing w:val="-10"/>
          <w:w w:val="110"/>
        </w:rPr>
        <w:t xml:space="preserve"> </w:t>
      </w:r>
      <w:r w:rsidRPr="0038628B">
        <w:rPr>
          <w:rFonts w:ascii="Verdana" w:hAnsi="Verdana"/>
          <w:color w:val="212121"/>
          <w:w w:val="110"/>
        </w:rPr>
        <w:t>are</w:t>
      </w:r>
      <w:r w:rsidRPr="0038628B">
        <w:rPr>
          <w:rFonts w:ascii="Verdana" w:hAnsi="Verdana"/>
          <w:color w:val="212121"/>
          <w:spacing w:val="-10"/>
          <w:w w:val="110"/>
        </w:rPr>
        <w:t xml:space="preserve"> </w:t>
      </w:r>
      <w:r w:rsidRPr="0038628B">
        <w:rPr>
          <w:rFonts w:ascii="Verdana" w:hAnsi="Verdana"/>
          <w:color w:val="212121"/>
          <w:w w:val="110"/>
        </w:rPr>
        <w:t>available.</w:t>
      </w:r>
    </w:p>
    <w:p w:rsidR="00FF7EEB" w:rsidRPr="0038628B">
      <w:pPr>
        <w:pStyle w:val="ListParagraph"/>
        <w:numPr>
          <w:ilvl w:val="1"/>
          <w:numId w:val="2"/>
        </w:numPr>
        <w:tabs>
          <w:tab w:val="left" w:pos="743"/>
        </w:tabs>
        <w:spacing w:line="276" w:lineRule="auto"/>
        <w:ind w:right="44"/>
        <w:rPr>
          <w:rFonts w:ascii="Verdana" w:hAnsi="Verdana"/>
        </w:rPr>
      </w:pPr>
      <w:r w:rsidRPr="0038628B">
        <w:rPr>
          <w:rFonts w:ascii="Verdana" w:hAnsi="Verdana"/>
          <w:color w:val="212121"/>
          <w:w w:val="105"/>
        </w:rPr>
        <w:t>Cross-ecosystem</w:t>
      </w:r>
      <w:r w:rsidRPr="0038628B">
        <w:rPr>
          <w:rFonts w:ascii="Verdana" w:hAnsi="Verdana"/>
          <w:color w:val="212121"/>
          <w:spacing w:val="-1"/>
          <w:w w:val="105"/>
        </w:rPr>
        <w:t xml:space="preserve"> </w:t>
      </w:r>
      <w:r w:rsidRPr="0038628B">
        <w:rPr>
          <w:rFonts w:ascii="Verdana" w:hAnsi="Verdana"/>
          <w:color w:val="212121"/>
          <w:w w:val="105"/>
        </w:rPr>
        <w:t>interoperability</w:t>
      </w:r>
      <w:r w:rsidRPr="0038628B">
        <w:rPr>
          <w:rFonts w:ascii="Verdana" w:hAnsi="Verdana"/>
          <w:color w:val="212121"/>
          <w:spacing w:val="-1"/>
          <w:w w:val="105"/>
        </w:rPr>
        <w:t xml:space="preserve"> </w:t>
      </w:r>
      <w:r w:rsidRPr="0038628B">
        <w:rPr>
          <w:rFonts w:ascii="Verdana" w:hAnsi="Verdana"/>
          <w:color w:val="212121"/>
          <w:w w:val="105"/>
        </w:rPr>
        <w:t>—</w:t>
      </w:r>
      <w:r w:rsidRPr="0038628B">
        <w:rPr>
          <w:rFonts w:ascii="Verdana" w:hAnsi="Verdana"/>
          <w:color w:val="212121"/>
          <w:spacing w:val="-1"/>
          <w:w w:val="105"/>
        </w:rPr>
        <w:t xml:space="preserve"> </w:t>
      </w:r>
      <w:r w:rsidRPr="0038628B">
        <w:rPr>
          <w:rFonts w:ascii="Verdana" w:hAnsi="Verdana"/>
          <w:color w:val="212121"/>
          <w:w w:val="105"/>
        </w:rPr>
        <w:t>where</w:t>
      </w:r>
      <w:r w:rsidRPr="0038628B">
        <w:rPr>
          <w:rFonts w:ascii="Verdana" w:hAnsi="Verdana"/>
          <w:color w:val="212121"/>
          <w:spacing w:val="-1"/>
          <w:w w:val="105"/>
        </w:rPr>
        <w:t xml:space="preserve"> </w:t>
      </w:r>
      <w:r w:rsidRPr="0038628B">
        <w:rPr>
          <w:rFonts w:ascii="Verdana" w:hAnsi="Verdana"/>
          <w:color w:val="212121"/>
          <w:w w:val="105"/>
        </w:rPr>
        <w:t>funds</w:t>
      </w:r>
      <w:r w:rsidRPr="0038628B">
        <w:rPr>
          <w:rFonts w:ascii="Verdana" w:hAnsi="Verdana"/>
          <w:color w:val="212121"/>
          <w:spacing w:val="-1"/>
          <w:w w:val="105"/>
        </w:rPr>
        <w:t xml:space="preserve"> </w:t>
      </w:r>
      <w:r w:rsidRPr="0038628B">
        <w:rPr>
          <w:rFonts w:ascii="Verdana" w:hAnsi="Verdana"/>
          <w:color w:val="212121"/>
          <w:w w:val="105"/>
        </w:rPr>
        <w:t>need</w:t>
      </w:r>
      <w:r w:rsidRPr="0038628B">
        <w:rPr>
          <w:rFonts w:ascii="Verdana" w:hAnsi="Verdana"/>
          <w:color w:val="212121"/>
          <w:spacing w:val="-1"/>
          <w:w w:val="105"/>
        </w:rPr>
        <w:t xml:space="preserve"> </w:t>
      </w:r>
      <w:r w:rsidRPr="0038628B">
        <w:rPr>
          <w:rFonts w:ascii="Verdana" w:hAnsi="Verdana"/>
          <w:color w:val="212121"/>
          <w:w w:val="105"/>
        </w:rPr>
        <w:t>to</w:t>
      </w:r>
      <w:r w:rsidRPr="0038628B">
        <w:rPr>
          <w:rFonts w:ascii="Verdana" w:hAnsi="Verdana"/>
          <w:color w:val="212121"/>
          <w:spacing w:val="-1"/>
          <w:w w:val="105"/>
        </w:rPr>
        <w:t xml:space="preserve"> </w:t>
      </w:r>
      <w:r w:rsidRPr="0038628B">
        <w:rPr>
          <w:rFonts w:ascii="Verdana" w:hAnsi="Verdana"/>
          <w:color w:val="212121"/>
          <w:w w:val="105"/>
        </w:rPr>
        <w:t>move</w:t>
      </w:r>
      <w:r w:rsidRPr="0038628B">
        <w:rPr>
          <w:rFonts w:ascii="Verdana" w:hAnsi="Verdana"/>
          <w:color w:val="212121"/>
          <w:spacing w:val="-1"/>
          <w:w w:val="105"/>
        </w:rPr>
        <w:t xml:space="preserve"> </w:t>
      </w:r>
      <w:r w:rsidRPr="0038628B">
        <w:rPr>
          <w:rFonts w:ascii="Verdana" w:hAnsi="Verdana"/>
          <w:color w:val="212121"/>
          <w:w w:val="105"/>
        </w:rPr>
        <w:t>between</w:t>
      </w:r>
      <w:r w:rsidRPr="0038628B">
        <w:rPr>
          <w:rFonts w:ascii="Verdana" w:hAnsi="Verdana"/>
          <w:color w:val="212121"/>
          <w:spacing w:val="-1"/>
          <w:w w:val="105"/>
        </w:rPr>
        <w:t xml:space="preserve"> </w:t>
      </w:r>
      <w:r w:rsidRPr="0038628B">
        <w:rPr>
          <w:rFonts w:ascii="Verdana" w:hAnsi="Verdana"/>
          <w:color w:val="212121"/>
          <w:w w:val="105"/>
        </w:rPr>
        <w:t>parties who have no shared banking relationship or jurisdiction.</w:t>
      </w:r>
    </w:p>
    <w:p w:rsidR="00FF7EEB" w:rsidRPr="0038628B">
      <w:pPr>
        <w:pStyle w:val="ListParagraph"/>
        <w:numPr>
          <w:ilvl w:val="1"/>
          <w:numId w:val="2"/>
        </w:numPr>
        <w:tabs>
          <w:tab w:val="left" w:pos="743"/>
        </w:tabs>
        <w:spacing w:line="276" w:lineRule="auto"/>
        <w:ind w:right="45"/>
        <w:rPr>
          <w:rFonts w:ascii="Verdana" w:hAnsi="Verdana"/>
        </w:rPr>
      </w:pPr>
      <w:r w:rsidRPr="0038628B">
        <w:rPr>
          <w:rFonts w:ascii="Verdana" w:hAnsi="Verdana"/>
          <w:color w:val="212121"/>
          <w:w w:val="105"/>
        </w:rPr>
        <w:t>Agentic Commerce and</w:t>
      </w:r>
      <w:r w:rsidRPr="0038628B">
        <w:rPr>
          <w:rFonts w:ascii="Verdana" w:hAnsi="Verdana"/>
          <w:color w:val="212121"/>
          <w:w w:val="105"/>
        </w:rPr>
        <w:t xml:space="preserve"> programmable ﬁnance: Agentic commerce </w:t>
      </w:r>
      <w:r w:rsidRPr="0038628B">
        <w:rPr>
          <w:rFonts w:ascii="Verdana" w:hAnsi="Verdana"/>
          <w:color w:val="212121"/>
          <w:w w:val="105"/>
        </w:rPr>
        <w:t>involves</w:t>
      </w:r>
      <w:r w:rsidRPr="0038628B">
        <w:rPr>
          <w:rFonts w:ascii="Verdana" w:hAnsi="Verdana"/>
          <w:color w:val="212121"/>
          <w:w w:val="105"/>
        </w:rPr>
        <w:t xml:space="preserve"> an artiﬁcial intelligence agent purchasing a good or service for an individual. As stablecoins are fast, agile and programmable, they are ideal for working as a payment method within the rapidly developing agentic commerce ecosystem.</w:t>
      </w:r>
    </w:p>
    <w:p w:rsidR="00FF7EEB" w:rsidRPr="0038628B">
      <w:pPr>
        <w:pStyle w:val="ListParagraph"/>
        <w:numPr>
          <w:ilvl w:val="1"/>
          <w:numId w:val="2"/>
        </w:numPr>
        <w:tabs>
          <w:tab w:val="left" w:pos="743"/>
        </w:tabs>
        <w:spacing w:line="276" w:lineRule="auto"/>
        <w:ind w:right="36"/>
        <w:rPr>
          <w:rFonts w:ascii="Verdana" w:hAnsi="Verdana"/>
        </w:rPr>
      </w:pPr>
      <w:r w:rsidRPr="0038628B">
        <w:rPr>
          <w:rFonts w:ascii="Verdana" w:hAnsi="Verdana"/>
          <w:color w:val="212121"/>
          <w:w w:val="110"/>
        </w:rPr>
        <w:t>Tokenisation</w:t>
      </w:r>
      <w:r w:rsidRPr="0038628B">
        <w:rPr>
          <w:rFonts w:ascii="Verdana" w:hAnsi="Verdana"/>
          <w:color w:val="212121"/>
          <w:w w:val="110"/>
        </w:rPr>
        <w:t xml:space="preserve"> of Real-World Assets</w:t>
      </w:r>
      <w:r w:rsidRPr="0038628B">
        <w:rPr>
          <w:rFonts w:ascii="Verdana" w:hAnsi="Verdana"/>
          <w:b/>
          <w:color w:val="212121"/>
          <w:w w:val="110"/>
        </w:rPr>
        <w:t xml:space="preserve">: </w:t>
      </w:r>
      <w:r w:rsidRPr="0038628B">
        <w:rPr>
          <w:rFonts w:ascii="Verdana" w:hAnsi="Verdana"/>
          <w:color w:val="212121"/>
          <w:w w:val="110"/>
        </w:rPr>
        <w:t xml:space="preserve">There is global momentum for the </w:t>
      </w:r>
      <w:r w:rsidRPr="0038628B">
        <w:rPr>
          <w:rFonts w:ascii="Verdana" w:hAnsi="Verdana"/>
          <w:color w:val="212121"/>
          <w:w w:val="110"/>
        </w:rPr>
        <w:t>tokenisation</w:t>
      </w:r>
      <w:r w:rsidRPr="0038628B">
        <w:rPr>
          <w:rFonts w:ascii="Verdana" w:hAnsi="Verdana"/>
          <w:color w:val="212121"/>
          <w:w w:val="110"/>
        </w:rPr>
        <w:t xml:space="preserve"> of </w:t>
      </w:r>
      <w:r w:rsidRPr="0038628B">
        <w:rPr>
          <w:rFonts w:ascii="Verdana" w:hAnsi="Verdana"/>
          <w:color w:val="212121"/>
          <w:w w:val="110"/>
        </w:rPr>
        <w:t>real world</w:t>
      </w:r>
      <w:r w:rsidRPr="0038628B">
        <w:rPr>
          <w:rFonts w:ascii="Verdana" w:hAnsi="Verdana"/>
          <w:color w:val="212121"/>
          <w:w w:val="110"/>
        </w:rPr>
        <w:t xml:space="preserve"> assets (e.g. UK gilts, money market funds and property). Stablecoins can act as the</w:t>
      </w:r>
      <w:r w:rsidRPr="0038628B">
        <w:rPr>
          <w:rFonts w:ascii="Verdana" w:hAnsi="Verdana"/>
          <w:color w:val="212121"/>
          <w:spacing w:val="-9"/>
          <w:w w:val="110"/>
        </w:rPr>
        <w:t xml:space="preserve"> </w:t>
      </w:r>
      <w:r w:rsidRPr="0038628B">
        <w:rPr>
          <w:rFonts w:ascii="Verdana" w:hAnsi="Verdana"/>
          <w:color w:val="212121"/>
          <w:w w:val="110"/>
        </w:rPr>
        <w:t>digital</w:t>
      </w:r>
      <w:r w:rsidRPr="0038628B">
        <w:rPr>
          <w:rFonts w:ascii="Verdana" w:hAnsi="Verdana"/>
          <w:color w:val="212121"/>
          <w:spacing w:val="-9"/>
          <w:w w:val="110"/>
        </w:rPr>
        <w:t xml:space="preserve"> </w:t>
      </w:r>
      <w:r w:rsidRPr="0038628B">
        <w:rPr>
          <w:rFonts w:ascii="Verdana" w:hAnsi="Verdana"/>
          <w:color w:val="212121"/>
          <w:w w:val="110"/>
        </w:rPr>
        <w:t>form</w:t>
      </w:r>
      <w:r w:rsidRPr="0038628B">
        <w:rPr>
          <w:rFonts w:ascii="Verdana" w:hAnsi="Verdana"/>
          <w:color w:val="212121"/>
          <w:spacing w:val="-9"/>
          <w:w w:val="110"/>
        </w:rPr>
        <w:t xml:space="preserve"> </w:t>
      </w:r>
      <w:r w:rsidRPr="0038628B">
        <w:rPr>
          <w:rFonts w:ascii="Verdana" w:hAnsi="Verdana"/>
          <w:color w:val="212121"/>
          <w:w w:val="110"/>
        </w:rPr>
        <w:t>of</w:t>
      </w:r>
      <w:r w:rsidRPr="0038628B">
        <w:rPr>
          <w:rFonts w:ascii="Verdana" w:hAnsi="Verdana"/>
          <w:color w:val="212121"/>
          <w:spacing w:val="-9"/>
          <w:w w:val="110"/>
        </w:rPr>
        <w:t xml:space="preserve"> </w:t>
      </w:r>
      <w:r w:rsidRPr="0038628B">
        <w:rPr>
          <w:rFonts w:ascii="Verdana" w:hAnsi="Verdana"/>
          <w:color w:val="212121"/>
          <w:w w:val="110"/>
        </w:rPr>
        <w:t>cash</w:t>
      </w:r>
      <w:r w:rsidRPr="0038628B">
        <w:rPr>
          <w:rFonts w:ascii="Verdana" w:hAnsi="Verdana"/>
          <w:color w:val="212121"/>
          <w:spacing w:val="-9"/>
          <w:w w:val="110"/>
        </w:rPr>
        <w:t xml:space="preserve"> </w:t>
      </w:r>
      <w:r w:rsidRPr="0038628B">
        <w:rPr>
          <w:rFonts w:ascii="Verdana" w:hAnsi="Verdana"/>
          <w:color w:val="212121"/>
          <w:w w:val="110"/>
        </w:rPr>
        <w:t>in</w:t>
      </w:r>
      <w:r w:rsidRPr="0038628B">
        <w:rPr>
          <w:rFonts w:ascii="Verdana" w:hAnsi="Verdana"/>
          <w:color w:val="212121"/>
          <w:spacing w:val="-9"/>
          <w:w w:val="110"/>
        </w:rPr>
        <w:t xml:space="preserve"> </w:t>
      </w:r>
      <w:r w:rsidRPr="0038628B">
        <w:rPr>
          <w:rFonts w:ascii="Verdana" w:hAnsi="Verdana"/>
          <w:color w:val="212121"/>
          <w:w w:val="110"/>
        </w:rPr>
        <w:t>the</w:t>
      </w:r>
      <w:r w:rsidRPr="0038628B">
        <w:rPr>
          <w:rFonts w:ascii="Verdana" w:hAnsi="Verdana"/>
          <w:color w:val="212121"/>
          <w:spacing w:val="-9"/>
          <w:w w:val="110"/>
        </w:rPr>
        <w:t xml:space="preserve"> </w:t>
      </w:r>
      <w:r w:rsidRPr="0038628B">
        <w:rPr>
          <w:rFonts w:ascii="Verdana" w:hAnsi="Verdana"/>
          <w:color w:val="212121"/>
          <w:w w:val="110"/>
        </w:rPr>
        <w:t>execution</w:t>
      </w:r>
      <w:r w:rsidRPr="0038628B">
        <w:rPr>
          <w:rFonts w:ascii="Verdana" w:hAnsi="Verdana"/>
          <w:color w:val="212121"/>
          <w:spacing w:val="-9"/>
          <w:w w:val="110"/>
        </w:rPr>
        <w:t xml:space="preserve"> </w:t>
      </w:r>
      <w:r w:rsidRPr="0038628B">
        <w:rPr>
          <w:rFonts w:ascii="Verdana" w:hAnsi="Verdana"/>
          <w:color w:val="212121"/>
          <w:w w:val="110"/>
        </w:rPr>
        <w:t>of</w:t>
      </w:r>
      <w:r w:rsidRPr="0038628B">
        <w:rPr>
          <w:rFonts w:ascii="Verdana" w:hAnsi="Verdana"/>
          <w:color w:val="212121"/>
          <w:spacing w:val="-9"/>
          <w:w w:val="110"/>
        </w:rPr>
        <w:t xml:space="preserve"> </w:t>
      </w:r>
      <w:r w:rsidRPr="0038628B">
        <w:rPr>
          <w:rFonts w:ascii="Verdana" w:hAnsi="Verdana"/>
          <w:color w:val="212121"/>
          <w:w w:val="110"/>
        </w:rPr>
        <w:t>a trade</w:t>
      </w:r>
      <w:r w:rsidRPr="0038628B">
        <w:rPr>
          <w:rFonts w:ascii="Verdana" w:hAnsi="Verdana"/>
          <w:color w:val="212121"/>
          <w:spacing w:val="-3"/>
          <w:w w:val="110"/>
        </w:rPr>
        <w:t xml:space="preserve"> </w:t>
      </w:r>
      <w:r w:rsidRPr="0038628B">
        <w:rPr>
          <w:rFonts w:ascii="Verdana" w:hAnsi="Verdana"/>
          <w:color w:val="212121"/>
          <w:w w:val="110"/>
        </w:rPr>
        <w:t>of</w:t>
      </w:r>
      <w:r w:rsidRPr="0038628B">
        <w:rPr>
          <w:rFonts w:ascii="Verdana" w:hAnsi="Verdana"/>
          <w:color w:val="212121"/>
          <w:spacing w:val="-3"/>
          <w:w w:val="110"/>
        </w:rPr>
        <w:t xml:space="preserve"> </w:t>
      </w:r>
      <w:r w:rsidRPr="0038628B">
        <w:rPr>
          <w:rFonts w:ascii="Verdana" w:hAnsi="Verdana"/>
          <w:color w:val="212121"/>
          <w:w w:val="110"/>
        </w:rPr>
        <w:t>a</w:t>
      </w:r>
      <w:r w:rsidRPr="0038628B">
        <w:rPr>
          <w:rFonts w:ascii="Verdana" w:hAnsi="Verdana"/>
          <w:color w:val="212121"/>
          <w:spacing w:val="-3"/>
          <w:w w:val="110"/>
        </w:rPr>
        <w:t xml:space="preserve"> </w:t>
      </w:r>
      <w:r w:rsidRPr="0038628B">
        <w:rPr>
          <w:rFonts w:ascii="Verdana" w:hAnsi="Verdana"/>
          <w:color w:val="212121"/>
          <w:w w:val="110"/>
        </w:rPr>
        <w:t>tokenised</w:t>
      </w:r>
      <w:r w:rsidRPr="0038628B">
        <w:rPr>
          <w:rFonts w:ascii="Verdana" w:hAnsi="Verdana"/>
          <w:color w:val="212121"/>
          <w:spacing w:val="-3"/>
          <w:w w:val="110"/>
        </w:rPr>
        <w:t xml:space="preserve"> </w:t>
      </w:r>
      <w:r w:rsidRPr="0038628B">
        <w:rPr>
          <w:rFonts w:ascii="Verdana" w:hAnsi="Verdana"/>
          <w:color w:val="212121"/>
          <w:w w:val="110"/>
        </w:rPr>
        <w:t>real</w:t>
      </w:r>
      <w:r w:rsidRPr="0038628B">
        <w:rPr>
          <w:rFonts w:ascii="Verdana" w:hAnsi="Verdana"/>
          <w:color w:val="212121"/>
          <w:spacing w:val="-3"/>
          <w:w w:val="110"/>
        </w:rPr>
        <w:t xml:space="preserve"> </w:t>
      </w:r>
      <w:r w:rsidRPr="0038628B">
        <w:rPr>
          <w:rFonts w:ascii="Verdana" w:hAnsi="Verdana"/>
          <w:color w:val="212121"/>
          <w:w w:val="110"/>
        </w:rPr>
        <w:t>world</w:t>
      </w:r>
      <w:r w:rsidRPr="0038628B">
        <w:rPr>
          <w:rFonts w:ascii="Verdana" w:hAnsi="Verdana"/>
          <w:color w:val="212121"/>
          <w:spacing w:val="-3"/>
          <w:w w:val="110"/>
        </w:rPr>
        <w:t xml:space="preserve"> </w:t>
      </w:r>
      <w:r w:rsidRPr="0038628B">
        <w:rPr>
          <w:rFonts w:ascii="Verdana" w:hAnsi="Verdana"/>
          <w:color w:val="212121"/>
          <w:w w:val="110"/>
        </w:rPr>
        <w:t>asset.</w:t>
      </w:r>
    </w:p>
    <w:p w:rsidR="00FF7EEB" w:rsidRPr="0038628B">
      <w:pPr>
        <w:pStyle w:val="BodyText"/>
        <w:spacing w:before="284"/>
        <w:rPr>
          <w:rFonts w:ascii="Verdana" w:hAnsi="Verdana"/>
        </w:rPr>
      </w:pPr>
    </w:p>
    <w:p w:rsidR="00FF7EEB" w:rsidRPr="0038628B">
      <w:pPr>
        <w:spacing w:before="1" w:line="276" w:lineRule="auto"/>
        <w:ind w:left="23" w:right="35"/>
        <w:jc w:val="both"/>
        <w:rPr>
          <w:rFonts w:ascii="Verdana" w:hAnsi="Verdana"/>
          <w:b/>
        </w:rPr>
      </w:pPr>
      <w:r w:rsidRPr="0038628B">
        <w:rPr>
          <w:rFonts w:ascii="Verdana" w:hAnsi="Verdana"/>
          <w:b/>
          <w:color w:val="212121"/>
        </w:rPr>
        <w:t xml:space="preserve">For these reasons there are strong cases for both </w:t>
      </w:r>
      <w:r w:rsidRPr="0038628B">
        <w:rPr>
          <w:rFonts w:ascii="Verdana" w:hAnsi="Verdana"/>
          <w:b/>
          <w:color w:val="212121"/>
        </w:rPr>
        <w:t>tokenised</w:t>
      </w:r>
      <w:r w:rsidRPr="0038628B">
        <w:rPr>
          <w:rFonts w:ascii="Verdana" w:hAnsi="Verdana"/>
          <w:b/>
          <w:color w:val="212121"/>
        </w:rPr>
        <w:t xml:space="preserve"> deposits and stablecoins, addressing diﬀerent needs and use cases - it is not a case of ‘either, or’. The UK should develop both.</w:t>
      </w:r>
    </w:p>
    <w:p w:rsidR="00FF7EEB" w:rsidRPr="0038628B">
      <w:pPr>
        <w:spacing w:line="276" w:lineRule="auto"/>
        <w:jc w:val="both"/>
        <w:rPr>
          <w:rFonts w:ascii="Verdana" w:hAnsi="Verdana"/>
          <w:b/>
        </w:rPr>
        <w:sectPr>
          <w:pgSz w:w="11920" w:h="16840"/>
          <w:pgMar w:top="1360" w:right="1417" w:bottom="980" w:left="1417" w:header="0" w:footer="799" w:gutter="0"/>
          <w:cols w:space="720"/>
        </w:sectPr>
      </w:pPr>
    </w:p>
    <w:p w:rsidR="00FF7EEB" w:rsidRPr="0038628B">
      <w:pPr>
        <w:pStyle w:val="Heading3"/>
        <w:numPr>
          <w:ilvl w:val="0"/>
          <w:numId w:val="2"/>
        </w:numPr>
        <w:tabs>
          <w:tab w:val="left" w:pos="742"/>
        </w:tabs>
        <w:ind w:left="742" w:hanging="719"/>
        <w:rPr>
          <w:rFonts w:ascii="Verdana" w:hAnsi="Verdana"/>
          <w:color w:val="212121"/>
          <w:sz w:val="22"/>
        </w:rPr>
      </w:pPr>
      <w:r w:rsidRPr="0038628B">
        <w:rPr>
          <w:rFonts w:ascii="Verdana" w:hAnsi="Verdana"/>
          <w:color w:val="212121"/>
        </w:rPr>
        <w:t xml:space="preserve">Potential economic beneﬁts of </w:t>
      </w:r>
      <w:r w:rsidRPr="0038628B">
        <w:rPr>
          <w:rFonts w:ascii="Verdana" w:hAnsi="Verdana"/>
          <w:color w:val="212121"/>
        </w:rPr>
        <w:t>stablecoin</w:t>
      </w:r>
      <w:r w:rsidRPr="0038628B">
        <w:rPr>
          <w:rFonts w:ascii="Verdana" w:hAnsi="Verdana"/>
          <w:color w:val="212121"/>
        </w:rPr>
        <w:t xml:space="preserve"> in </w:t>
      </w:r>
      <w:r w:rsidRPr="0038628B">
        <w:rPr>
          <w:rFonts w:ascii="Verdana" w:hAnsi="Verdana"/>
          <w:color w:val="212121"/>
          <w:spacing w:val="-5"/>
        </w:rPr>
        <w:t>UK</w:t>
      </w:r>
    </w:p>
    <w:p w:rsidR="00FF7EEB" w:rsidRPr="0038628B">
      <w:pPr>
        <w:pStyle w:val="BodyText"/>
        <w:spacing w:before="205"/>
        <w:ind w:left="23"/>
        <w:jc w:val="both"/>
        <w:rPr>
          <w:rFonts w:ascii="Verdana" w:hAnsi="Verdana"/>
        </w:rPr>
      </w:pPr>
      <w:r w:rsidRPr="0038628B">
        <w:rPr>
          <w:rFonts w:ascii="Verdana" w:hAnsi="Verdana"/>
          <w:u w:val="thick"/>
        </w:rPr>
        <w:t>Growth</w:t>
      </w:r>
      <w:r w:rsidRPr="0038628B">
        <w:rPr>
          <w:rFonts w:ascii="Verdana" w:hAnsi="Verdana"/>
          <w:spacing w:val="-11"/>
          <w:u w:val="thick"/>
        </w:rPr>
        <w:t xml:space="preserve"> </w:t>
      </w:r>
      <w:r w:rsidRPr="0038628B">
        <w:rPr>
          <w:rFonts w:ascii="Verdana" w:hAnsi="Verdana"/>
          <w:u w:val="thick"/>
        </w:rPr>
        <w:t>and</w:t>
      </w:r>
      <w:r w:rsidRPr="0038628B">
        <w:rPr>
          <w:rFonts w:ascii="Verdana" w:hAnsi="Verdana"/>
          <w:spacing w:val="-11"/>
          <w:u w:val="thick"/>
        </w:rPr>
        <w:t xml:space="preserve"> </w:t>
      </w:r>
      <w:r w:rsidRPr="0038628B">
        <w:rPr>
          <w:rFonts w:ascii="Verdana" w:hAnsi="Verdana"/>
          <w:u w:val="thick"/>
        </w:rPr>
        <w:t>productivity</w:t>
      </w:r>
      <w:r w:rsidRPr="0038628B">
        <w:rPr>
          <w:rFonts w:ascii="Verdana" w:hAnsi="Verdana"/>
          <w:spacing w:val="-11"/>
          <w:u w:val="thick"/>
        </w:rPr>
        <w:t xml:space="preserve"> </w:t>
      </w:r>
      <w:r w:rsidRPr="0038628B">
        <w:rPr>
          <w:rFonts w:ascii="Verdana" w:hAnsi="Verdana"/>
          <w:u w:val="thick"/>
        </w:rPr>
        <w:t>in</w:t>
      </w:r>
      <w:r w:rsidRPr="0038628B">
        <w:rPr>
          <w:rFonts w:ascii="Verdana" w:hAnsi="Verdana"/>
          <w:spacing w:val="-11"/>
          <w:u w:val="thick"/>
        </w:rPr>
        <w:t xml:space="preserve"> </w:t>
      </w:r>
      <w:r w:rsidRPr="0038628B">
        <w:rPr>
          <w:rFonts w:ascii="Verdana" w:hAnsi="Verdana"/>
          <w:u w:val="thick"/>
        </w:rPr>
        <w:t>small</w:t>
      </w:r>
      <w:r w:rsidRPr="0038628B">
        <w:rPr>
          <w:rFonts w:ascii="Verdana" w:hAnsi="Verdana"/>
          <w:spacing w:val="-11"/>
          <w:u w:val="thick"/>
        </w:rPr>
        <w:t xml:space="preserve"> </w:t>
      </w:r>
      <w:r w:rsidRPr="0038628B">
        <w:rPr>
          <w:rFonts w:ascii="Verdana" w:hAnsi="Verdana"/>
          <w:u w:val="thick"/>
        </w:rPr>
        <w:t>and</w:t>
      </w:r>
      <w:r w:rsidRPr="0038628B">
        <w:rPr>
          <w:rFonts w:ascii="Verdana" w:hAnsi="Verdana"/>
          <w:spacing w:val="-11"/>
          <w:u w:val="thick"/>
        </w:rPr>
        <w:t xml:space="preserve"> </w:t>
      </w:r>
      <w:r w:rsidRPr="0038628B">
        <w:rPr>
          <w:rFonts w:ascii="Verdana" w:hAnsi="Verdana"/>
          <w:u w:val="thick"/>
        </w:rPr>
        <w:t>medium</w:t>
      </w:r>
      <w:r w:rsidRPr="0038628B">
        <w:rPr>
          <w:rFonts w:ascii="Verdana" w:hAnsi="Verdana"/>
          <w:spacing w:val="-11"/>
          <w:u w:val="thick"/>
        </w:rPr>
        <w:t xml:space="preserve"> </w:t>
      </w:r>
      <w:r w:rsidRPr="0038628B">
        <w:rPr>
          <w:rFonts w:ascii="Verdana" w:hAnsi="Verdana"/>
          <w:u w:val="thick"/>
        </w:rPr>
        <w:t>sized</w:t>
      </w:r>
      <w:r w:rsidRPr="0038628B">
        <w:rPr>
          <w:rFonts w:ascii="Verdana" w:hAnsi="Verdana"/>
          <w:spacing w:val="-11"/>
          <w:u w:val="thick"/>
        </w:rPr>
        <w:t xml:space="preserve"> </w:t>
      </w:r>
      <w:r w:rsidRPr="0038628B">
        <w:rPr>
          <w:rFonts w:ascii="Verdana" w:hAnsi="Verdana"/>
          <w:u w:val="thick"/>
        </w:rPr>
        <w:t>enterprises</w:t>
      </w:r>
      <w:r w:rsidRPr="0038628B">
        <w:rPr>
          <w:rFonts w:ascii="Verdana" w:hAnsi="Verdana"/>
          <w:spacing w:val="-11"/>
          <w:u w:val="thick"/>
        </w:rPr>
        <w:t xml:space="preserve"> </w:t>
      </w:r>
      <w:r w:rsidRPr="0038628B">
        <w:rPr>
          <w:rFonts w:ascii="Verdana" w:hAnsi="Verdana"/>
          <w:spacing w:val="-2"/>
          <w:u w:val="thick"/>
        </w:rPr>
        <w:t>(SMEs):</w:t>
      </w:r>
    </w:p>
    <w:p w:rsidR="00FF7EEB" w:rsidRPr="0038628B">
      <w:pPr>
        <w:pStyle w:val="BodyText"/>
        <w:spacing w:before="45" w:line="276" w:lineRule="auto"/>
        <w:ind w:left="23" w:right="41"/>
        <w:jc w:val="both"/>
        <w:rPr>
          <w:rFonts w:ascii="Verdana" w:hAnsi="Verdana"/>
        </w:rPr>
      </w:pPr>
      <w:r w:rsidRPr="0038628B">
        <w:rPr>
          <w:rFonts w:ascii="Verdana" w:hAnsi="Verdana"/>
        </w:rPr>
        <w:t>Evidence from</w:t>
      </w:r>
      <w:r w:rsidRPr="0038628B">
        <w:rPr>
          <w:rFonts w:ascii="Verdana" w:hAnsi="Verdana"/>
          <w:spacing w:val="-5"/>
        </w:rPr>
        <w:t xml:space="preserve"> </w:t>
      </w:r>
      <w:r w:rsidRPr="0038628B">
        <w:rPr>
          <w:rFonts w:ascii="Verdana" w:hAnsi="Verdana"/>
        </w:rPr>
        <w:t>some</w:t>
      </w:r>
      <w:r w:rsidRPr="0038628B">
        <w:rPr>
          <w:rFonts w:ascii="Verdana" w:hAnsi="Verdana"/>
          <w:spacing w:val="-5"/>
        </w:rPr>
        <w:t xml:space="preserve"> </w:t>
      </w:r>
      <w:r w:rsidRPr="0038628B">
        <w:rPr>
          <w:rFonts w:ascii="Verdana" w:hAnsi="Verdana"/>
        </w:rPr>
        <w:t>payments</w:t>
      </w:r>
      <w:r w:rsidRPr="0038628B">
        <w:rPr>
          <w:rFonts w:ascii="Verdana" w:hAnsi="Verdana"/>
          <w:spacing w:val="-5"/>
        </w:rPr>
        <w:t xml:space="preserve"> </w:t>
      </w:r>
      <w:r w:rsidRPr="0038628B">
        <w:rPr>
          <w:rFonts w:ascii="Verdana" w:hAnsi="Verdana"/>
        </w:rPr>
        <w:t>providers</w:t>
      </w:r>
      <w:r w:rsidRPr="0038628B">
        <w:rPr>
          <w:rFonts w:ascii="Verdana" w:hAnsi="Verdana"/>
          <w:spacing w:val="-5"/>
        </w:rPr>
        <w:t xml:space="preserve"> </w:t>
      </w:r>
      <w:r w:rsidRPr="0038628B">
        <w:rPr>
          <w:rFonts w:ascii="Verdana" w:hAnsi="Verdana"/>
        </w:rPr>
        <w:t>oﬀering</w:t>
      </w:r>
      <w:r w:rsidRPr="0038628B">
        <w:rPr>
          <w:rFonts w:ascii="Verdana" w:hAnsi="Verdana"/>
          <w:spacing w:val="-5"/>
        </w:rPr>
        <w:t xml:space="preserve"> </w:t>
      </w:r>
      <w:r w:rsidRPr="0038628B">
        <w:rPr>
          <w:rFonts w:ascii="Verdana" w:hAnsi="Verdana"/>
        </w:rPr>
        <w:t>stablecoin</w:t>
      </w:r>
      <w:r w:rsidRPr="0038628B">
        <w:rPr>
          <w:rFonts w:ascii="Verdana" w:hAnsi="Verdana"/>
          <w:spacing w:val="-5"/>
        </w:rPr>
        <w:t xml:space="preserve"> </w:t>
      </w:r>
      <w:r w:rsidRPr="0038628B">
        <w:rPr>
          <w:rFonts w:ascii="Verdana" w:hAnsi="Verdana"/>
        </w:rPr>
        <w:t>services</w:t>
      </w:r>
      <w:r w:rsidRPr="0038628B">
        <w:rPr>
          <w:rFonts w:ascii="Verdana" w:hAnsi="Verdana"/>
          <w:spacing w:val="-5"/>
        </w:rPr>
        <w:t xml:space="preserve"> </w:t>
      </w:r>
      <w:r w:rsidRPr="0038628B">
        <w:rPr>
          <w:rFonts w:ascii="Verdana" w:hAnsi="Verdana"/>
        </w:rPr>
        <w:t>in</w:t>
      </w:r>
      <w:r w:rsidRPr="0038628B">
        <w:rPr>
          <w:rFonts w:ascii="Verdana" w:hAnsi="Verdana"/>
          <w:spacing w:val="-5"/>
        </w:rPr>
        <w:t xml:space="preserve"> </w:t>
      </w:r>
      <w:r w:rsidRPr="0038628B">
        <w:rPr>
          <w:rFonts w:ascii="Verdana" w:hAnsi="Verdana"/>
        </w:rPr>
        <w:t>other</w:t>
      </w:r>
      <w:r w:rsidRPr="0038628B">
        <w:rPr>
          <w:rFonts w:ascii="Verdana" w:hAnsi="Verdana"/>
          <w:spacing w:val="-5"/>
        </w:rPr>
        <w:t xml:space="preserve"> </w:t>
      </w:r>
      <w:r w:rsidRPr="0038628B">
        <w:rPr>
          <w:rFonts w:ascii="Verdana" w:hAnsi="Verdana"/>
        </w:rPr>
        <w:t>markets</w:t>
      </w:r>
      <w:r w:rsidRPr="0038628B">
        <w:rPr>
          <w:rFonts w:ascii="Verdana" w:hAnsi="Verdana"/>
          <w:spacing w:val="-5"/>
        </w:rPr>
        <w:t xml:space="preserve"> </w:t>
      </w:r>
      <w:r w:rsidRPr="0038628B">
        <w:rPr>
          <w:rFonts w:ascii="Verdana" w:hAnsi="Verdana"/>
        </w:rPr>
        <w:t>is that stablecoin payment options can increase a ﬁrm's sales and the number of</w:t>
      </w:r>
      <w:r w:rsidRPr="0038628B">
        <w:rPr>
          <w:rFonts w:ascii="Verdana" w:hAnsi="Verdana"/>
          <w:spacing w:val="40"/>
        </w:rPr>
        <w:t xml:space="preserve"> </w:t>
      </w:r>
      <w:r w:rsidRPr="0038628B">
        <w:rPr>
          <w:rFonts w:ascii="Verdana" w:hAnsi="Verdana"/>
        </w:rPr>
        <w:t>countries they get orders from - which could be a boost at a time when the number</w:t>
      </w:r>
      <w:r w:rsidRPr="0038628B">
        <w:rPr>
          <w:rFonts w:ascii="Verdana" w:hAnsi="Verdana"/>
          <w:spacing w:val="-3"/>
        </w:rPr>
        <w:t xml:space="preserve"> </w:t>
      </w:r>
      <w:r w:rsidRPr="0038628B">
        <w:rPr>
          <w:rFonts w:ascii="Verdana" w:hAnsi="Verdana"/>
        </w:rPr>
        <w:t>of UK SME goods exporters has been declining, dropping by 19% between 2020 and 2023.</w:t>
      </w:r>
    </w:p>
    <w:p w:rsidR="00FF7EEB" w:rsidRPr="0038628B">
      <w:pPr>
        <w:pStyle w:val="BodyText"/>
        <w:spacing w:before="157" w:line="276" w:lineRule="auto"/>
        <w:ind w:left="23" w:right="36"/>
        <w:jc w:val="both"/>
        <w:rPr>
          <w:rFonts w:ascii="Verdana" w:hAnsi="Verdana"/>
        </w:rPr>
      </w:pPr>
      <w:r w:rsidRPr="0038628B">
        <w:rPr>
          <w:rFonts w:ascii="Verdana" w:hAnsi="Verdana"/>
        </w:rPr>
        <w:t xml:space="preserve">For imports and </w:t>
      </w:r>
      <w:r w:rsidRPr="0038628B">
        <w:rPr>
          <w:rFonts w:ascii="Verdana" w:hAnsi="Verdana"/>
        </w:rPr>
        <w:t>exports</w:t>
      </w:r>
      <w:r w:rsidRPr="0038628B">
        <w:rPr>
          <w:rFonts w:ascii="Verdana" w:hAnsi="Verdana"/>
        </w:rPr>
        <w:t xml:space="preserve"> it can reduce</w:t>
      </w:r>
      <w:r w:rsidRPr="0038628B">
        <w:rPr>
          <w:rFonts w:ascii="Verdana" w:hAnsi="Verdana"/>
          <w:spacing w:val="-3"/>
        </w:rPr>
        <w:t xml:space="preserve"> </w:t>
      </w:r>
      <w:r w:rsidRPr="0038628B">
        <w:rPr>
          <w:rFonts w:ascii="Verdana" w:hAnsi="Verdana"/>
        </w:rPr>
        <w:t>transaction</w:t>
      </w:r>
      <w:r w:rsidRPr="0038628B">
        <w:rPr>
          <w:rFonts w:ascii="Verdana" w:hAnsi="Verdana"/>
          <w:spacing w:val="-3"/>
        </w:rPr>
        <w:t xml:space="preserve"> </w:t>
      </w:r>
      <w:r w:rsidRPr="0038628B">
        <w:rPr>
          <w:rFonts w:ascii="Verdana" w:hAnsi="Verdana"/>
        </w:rPr>
        <w:t>costs</w:t>
      </w:r>
      <w:r w:rsidRPr="0038628B">
        <w:rPr>
          <w:rFonts w:ascii="Verdana" w:hAnsi="Verdana"/>
          <w:spacing w:val="-3"/>
        </w:rPr>
        <w:t xml:space="preserve"> </w:t>
      </w:r>
      <w:r w:rsidRPr="0038628B">
        <w:rPr>
          <w:rFonts w:ascii="Verdana" w:hAnsi="Verdana"/>
        </w:rPr>
        <w:t>and</w:t>
      </w:r>
      <w:r w:rsidRPr="0038628B">
        <w:rPr>
          <w:rFonts w:ascii="Verdana" w:hAnsi="Verdana"/>
          <w:spacing w:val="-3"/>
        </w:rPr>
        <w:t xml:space="preserve"> </w:t>
      </w:r>
      <w:r w:rsidRPr="0038628B">
        <w:rPr>
          <w:rFonts w:ascii="Verdana" w:hAnsi="Verdana"/>
        </w:rPr>
        <w:t>ensure</w:t>
      </w:r>
      <w:r w:rsidRPr="0038628B">
        <w:rPr>
          <w:rFonts w:ascii="Verdana" w:hAnsi="Verdana"/>
          <w:spacing w:val="-3"/>
        </w:rPr>
        <w:t xml:space="preserve"> </w:t>
      </w:r>
      <w:r w:rsidRPr="0038628B">
        <w:rPr>
          <w:rFonts w:ascii="Verdana" w:hAnsi="Verdana"/>
        </w:rPr>
        <w:t>payment</w:t>
      </w:r>
      <w:r w:rsidRPr="0038628B">
        <w:rPr>
          <w:rFonts w:ascii="Verdana" w:hAnsi="Verdana"/>
          <w:spacing w:val="-3"/>
        </w:rPr>
        <w:t xml:space="preserve"> </w:t>
      </w:r>
      <w:r w:rsidRPr="0038628B">
        <w:rPr>
          <w:rFonts w:ascii="Verdana" w:hAnsi="Verdana"/>
        </w:rPr>
        <w:t>on</w:t>
      </w:r>
      <w:r w:rsidRPr="0038628B">
        <w:rPr>
          <w:rFonts w:ascii="Verdana" w:hAnsi="Verdana"/>
          <w:spacing w:val="-3"/>
        </w:rPr>
        <w:t xml:space="preserve"> </w:t>
      </w:r>
      <w:r w:rsidRPr="0038628B">
        <w:rPr>
          <w:rFonts w:ascii="Verdana" w:hAnsi="Verdana"/>
        </w:rPr>
        <w:t>receipt of goods (through programmable contracts). With traditional cross-border payment methods, typical payment transaction costs for export transactions</w:t>
      </w:r>
      <w:r w:rsidRPr="0038628B">
        <w:rPr>
          <w:rFonts w:ascii="Verdana" w:hAnsi="Verdana"/>
          <w:spacing w:val="-3"/>
        </w:rPr>
        <w:t xml:space="preserve"> </w:t>
      </w:r>
      <w:r w:rsidRPr="0038628B">
        <w:rPr>
          <w:rFonts w:ascii="Verdana" w:hAnsi="Verdana"/>
        </w:rPr>
        <w:t>can</w:t>
      </w:r>
      <w:r w:rsidRPr="0038628B">
        <w:rPr>
          <w:rFonts w:ascii="Verdana" w:hAnsi="Verdana"/>
          <w:spacing w:val="-3"/>
        </w:rPr>
        <w:t xml:space="preserve"> </w:t>
      </w:r>
      <w:r w:rsidRPr="0038628B">
        <w:rPr>
          <w:rFonts w:ascii="Verdana" w:hAnsi="Verdana"/>
        </w:rPr>
        <w:t>be</w:t>
      </w:r>
      <w:r w:rsidRPr="0038628B">
        <w:rPr>
          <w:rFonts w:ascii="Verdana" w:hAnsi="Verdana"/>
          <w:spacing w:val="-3"/>
        </w:rPr>
        <w:t xml:space="preserve"> </w:t>
      </w:r>
      <w:r w:rsidRPr="0038628B">
        <w:rPr>
          <w:rFonts w:ascii="Verdana" w:hAnsi="Verdana"/>
        </w:rPr>
        <w:t>1.5%</w:t>
      </w:r>
      <w:r w:rsidRPr="0038628B">
        <w:rPr>
          <w:rFonts w:ascii="Verdana" w:hAnsi="Verdana"/>
          <w:spacing w:val="-3"/>
        </w:rPr>
        <w:t xml:space="preserve"> </w:t>
      </w:r>
      <w:r w:rsidRPr="0038628B">
        <w:rPr>
          <w:rFonts w:ascii="Verdana" w:hAnsi="Verdana"/>
        </w:rPr>
        <w:t>to</w:t>
      </w:r>
      <w:r w:rsidRPr="0038628B">
        <w:rPr>
          <w:rFonts w:ascii="Verdana" w:hAnsi="Verdana"/>
          <w:spacing w:val="-3"/>
        </w:rPr>
        <w:t xml:space="preserve"> </w:t>
      </w:r>
      <w:r w:rsidRPr="0038628B">
        <w:rPr>
          <w:rFonts w:ascii="Verdana" w:hAnsi="Verdana"/>
        </w:rPr>
        <w:t>over 7% of the total transaction value. These costs include a combination of currency conversion, interchange, network assessment, and intermediary bank fees</w:t>
      </w:r>
    </w:p>
    <w:p w:rsidR="00FF7EEB" w:rsidRPr="0038628B">
      <w:pPr>
        <w:pStyle w:val="BodyText"/>
        <w:spacing w:before="156" w:line="276" w:lineRule="auto"/>
        <w:ind w:left="23" w:right="46"/>
        <w:jc w:val="both"/>
        <w:rPr>
          <w:rFonts w:ascii="Verdana" w:hAnsi="Verdana"/>
        </w:rPr>
      </w:pPr>
      <w:r w:rsidRPr="0038628B">
        <w:rPr>
          <w:rFonts w:ascii="Verdana" w:hAnsi="Verdana"/>
        </w:rPr>
        <w:t>Total UK exports reached £925 billion in 2025.</w:t>
      </w:r>
      <w:r w:rsidRPr="0038628B">
        <w:rPr>
          <w:rFonts w:ascii="Verdana" w:hAnsi="Verdana"/>
          <w:spacing w:val="40"/>
        </w:rPr>
        <w:t xml:space="preserve"> </w:t>
      </w:r>
      <w:r w:rsidRPr="0038628B">
        <w:rPr>
          <w:rFonts w:ascii="Verdana" w:hAnsi="Verdana"/>
        </w:rPr>
        <w:t>Total UK goods and services imports in 2025 of £945 billion. So just a 3% saving could generate £56bn</w:t>
      </w:r>
      <w:r w:rsidRPr="0038628B">
        <w:rPr>
          <w:rFonts w:ascii="Verdana" w:hAnsi="Verdana"/>
          <w:spacing w:val="-4"/>
        </w:rPr>
        <w:t xml:space="preserve"> </w:t>
      </w:r>
      <w:r w:rsidRPr="0038628B">
        <w:rPr>
          <w:rFonts w:ascii="Verdana" w:hAnsi="Verdana"/>
        </w:rPr>
        <w:t>for</w:t>
      </w:r>
      <w:r w:rsidRPr="0038628B">
        <w:rPr>
          <w:rFonts w:ascii="Verdana" w:hAnsi="Verdana"/>
          <w:spacing w:val="-4"/>
        </w:rPr>
        <w:t xml:space="preserve"> </w:t>
      </w:r>
      <w:r w:rsidRPr="0038628B">
        <w:rPr>
          <w:rFonts w:ascii="Verdana" w:hAnsi="Verdana"/>
        </w:rPr>
        <w:t>UK</w:t>
      </w:r>
      <w:r w:rsidRPr="0038628B">
        <w:rPr>
          <w:rFonts w:ascii="Verdana" w:hAnsi="Verdana"/>
          <w:spacing w:val="-4"/>
        </w:rPr>
        <w:t xml:space="preserve"> </w:t>
      </w:r>
      <w:r w:rsidRPr="0038628B">
        <w:rPr>
          <w:rFonts w:ascii="Verdana" w:hAnsi="Verdana"/>
        </w:rPr>
        <w:t>businesses</w:t>
      </w:r>
      <w:r w:rsidRPr="0038628B">
        <w:rPr>
          <w:rFonts w:ascii="Verdana" w:hAnsi="Verdana"/>
          <w:spacing w:val="-4"/>
        </w:rPr>
        <w:t xml:space="preserve"> </w:t>
      </w:r>
      <w:r w:rsidRPr="0038628B">
        <w:rPr>
          <w:rFonts w:ascii="Verdana" w:hAnsi="Verdana"/>
        </w:rPr>
        <w:t xml:space="preserve">every </w:t>
      </w:r>
      <w:r w:rsidRPr="0038628B">
        <w:rPr>
          <w:rFonts w:ascii="Verdana" w:hAnsi="Verdana"/>
          <w:spacing w:val="-2"/>
        </w:rPr>
        <w:t>year.</w:t>
      </w:r>
    </w:p>
    <w:p w:rsidR="00FF7EEB" w:rsidRPr="0038628B">
      <w:pPr>
        <w:pStyle w:val="BodyText"/>
        <w:spacing w:before="157"/>
        <w:ind w:left="23"/>
        <w:jc w:val="both"/>
        <w:rPr>
          <w:rFonts w:ascii="Verdana" w:hAnsi="Verdana"/>
        </w:rPr>
      </w:pPr>
      <w:r w:rsidRPr="0038628B">
        <w:rPr>
          <w:rFonts w:ascii="Verdana" w:hAnsi="Verdana"/>
          <w:u w:val="thick"/>
        </w:rPr>
        <w:t>Capital</w:t>
      </w:r>
      <w:r w:rsidRPr="0038628B">
        <w:rPr>
          <w:rFonts w:ascii="Verdana" w:hAnsi="Verdana"/>
          <w:spacing w:val="-14"/>
          <w:u w:val="thick"/>
        </w:rPr>
        <w:t xml:space="preserve"> </w:t>
      </w:r>
      <w:r w:rsidRPr="0038628B">
        <w:rPr>
          <w:rFonts w:ascii="Verdana" w:hAnsi="Verdana"/>
          <w:spacing w:val="-2"/>
          <w:u w:val="thick"/>
        </w:rPr>
        <w:t>markets:</w:t>
      </w:r>
    </w:p>
    <w:p w:rsidR="00FF7EEB" w:rsidRPr="0038628B">
      <w:pPr>
        <w:pStyle w:val="BodyText"/>
        <w:spacing w:before="45" w:line="276" w:lineRule="auto"/>
        <w:ind w:left="23" w:right="35"/>
        <w:jc w:val="both"/>
        <w:rPr>
          <w:rFonts w:ascii="Verdana" w:hAnsi="Verdana"/>
        </w:rPr>
      </w:pPr>
      <w:r w:rsidRPr="0038628B">
        <w:rPr>
          <w:rFonts w:ascii="Verdana" w:hAnsi="Verdana"/>
        </w:rPr>
        <w:t xml:space="preserve">In capital markets in the medium to long </w:t>
      </w:r>
      <w:r w:rsidRPr="0038628B">
        <w:rPr>
          <w:rFonts w:ascii="Verdana" w:hAnsi="Verdana"/>
        </w:rPr>
        <w:t>term</w:t>
      </w:r>
      <w:r w:rsidRPr="0038628B">
        <w:rPr>
          <w:rFonts w:ascii="Verdana" w:hAnsi="Verdana"/>
        </w:rPr>
        <w:t xml:space="preserve"> we can expect to see a transition to</w:t>
      </w:r>
      <w:r w:rsidRPr="0038628B">
        <w:rPr>
          <w:rFonts w:ascii="Verdana" w:hAnsi="Verdana"/>
          <w:spacing w:val="40"/>
        </w:rPr>
        <w:t xml:space="preserve"> </w:t>
      </w:r>
      <w:r w:rsidRPr="0038628B">
        <w:rPr>
          <w:rFonts w:ascii="Verdana" w:hAnsi="Verdana"/>
        </w:rPr>
        <w:t xml:space="preserve">digital and </w:t>
      </w:r>
      <w:r w:rsidRPr="0038628B">
        <w:rPr>
          <w:rFonts w:ascii="Verdana" w:hAnsi="Verdana"/>
        </w:rPr>
        <w:t>tokenised</w:t>
      </w:r>
      <w:r w:rsidRPr="0038628B">
        <w:rPr>
          <w:rFonts w:ascii="Verdana" w:hAnsi="Verdana"/>
        </w:rPr>
        <w:t xml:space="preserve"> securities and gilts. Stablecoin</w:t>
      </w:r>
      <w:r w:rsidRPr="0038628B">
        <w:rPr>
          <w:rFonts w:ascii="Verdana" w:hAnsi="Verdana"/>
          <w:spacing w:val="-3"/>
        </w:rPr>
        <w:t xml:space="preserve"> </w:t>
      </w:r>
      <w:r w:rsidRPr="0038628B">
        <w:rPr>
          <w:rFonts w:ascii="Verdana" w:hAnsi="Verdana"/>
        </w:rPr>
        <w:t>is</w:t>
      </w:r>
      <w:r w:rsidRPr="0038628B">
        <w:rPr>
          <w:rFonts w:ascii="Verdana" w:hAnsi="Verdana"/>
          <w:spacing w:val="-3"/>
        </w:rPr>
        <w:t xml:space="preserve"> </w:t>
      </w:r>
      <w:r w:rsidRPr="0038628B">
        <w:rPr>
          <w:rFonts w:ascii="Verdana" w:hAnsi="Verdana"/>
        </w:rPr>
        <w:t>the</w:t>
      </w:r>
      <w:r w:rsidRPr="0038628B">
        <w:rPr>
          <w:rFonts w:ascii="Verdana" w:hAnsi="Verdana"/>
          <w:spacing w:val="-3"/>
        </w:rPr>
        <w:t xml:space="preserve"> </w:t>
      </w:r>
      <w:r w:rsidRPr="0038628B">
        <w:rPr>
          <w:rFonts w:ascii="Verdana" w:hAnsi="Verdana"/>
        </w:rPr>
        <w:t>obvious</w:t>
      </w:r>
      <w:r w:rsidRPr="0038628B">
        <w:rPr>
          <w:rFonts w:ascii="Verdana" w:hAnsi="Verdana"/>
          <w:spacing w:val="-3"/>
        </w:rPr>
        <w:t xml:space="preserve"> </w:t>
      </w:r>
      <w:r w:rsidRPr="0038628B">
        <w:rPr>
          <w:rFonts w:ascii="Verdana" w:hAnsi="Verdana"/>
        </w:rPr>
        <w:t>settlement</w:t>
      </w:r>
      <w:r w:rsidRPr="0038628B">
        <w:rPr>
          <w:rFonts w:ascii="Verdana" w:hAnsi="Verdana"/>
          <w:spacing w:val="-3"/>
        </w:rPr>
        <w:t xml:space="preserve"> </w:t>
      </w:r>
      <w:r w:rsidRPr="0038628B">
        <w:rPr>
          <w:rFonts w:ascii="Verdana" w:hAnsi="Verdana"/>
        </w:rPr>
        <w:t>for</w:t>
      </w:r>
      <w:r w:rsidRPr="0038628B">
        <w:rPr>
          <w:rFonts w:ascii="Verdana" w:hAnsi="Verdana"/>
          <w:spacing w:val="-3"/>
        </w:rPr>
        <w:t xml:space="preserve"> </w:t>
      </w:r>
      <w:r w:rsidRPr="0038628B">
        <w:rPr>
          <w:rFonts w:ascii="Verdana" w:hAnsi="Verdana"/>
        </w:rPr>
        <w:t>these. In 2024, the average daily value settled in CREST (the</w:t>
      </w:r>
      <w:r w:rsidRPr="0038628B">
        <w:rPr>
          <w:rFonts w:ascii="Verdana" w:hAnsi="Verdana"/>
          <w:spacing w:val="-3"/>
        </w:rPr>
        <w:t xml:space="preserve"> </w:t>
      </w:r>
      <w:r w:rsidRPr="0038628B">
        <w:rPr>
          <w:rFonts w:ascii="Verdana" w:hAnsi="Verdana"/>
        </w:rPr>
        <w:t>UK's</w:t>
      </w:r>
      <w:r w:rsidRPr="0038628B">
        <w:rPr>
          <w:rFonts w:ascii="Verdana" w:hAnsi="Verdana"/>
          <w:spacing w:val="-3"/>
        </w:rPr>
        <w:t xml:space="preserve"> </w:t>
      </w:r>
      <w:r w:rsidRPr="0038628B">
        <w:rPr>
          <w:rFonts w:ascii="Verdana" w:hAnsi="Verdana"/>
        </w:rPr>
        <w:t>central</w:t>
      </w:r>
      <w:r w:rsidRPr="0038628B">
        <w:rPr>
          <w:rFonts w:ascii="Verdana" w:hAnsi="Verdana"/>
          <w:spacing w:val="-3"/>
        </w:rPr>
        <w:t xml:space="preserve"> </w:t>
      </w:r>
      <w:r w:rsidRPr="0038628B">
        <w:rPr>
          <w:rFonts w:ascii="Verdana" w:hAnsi="Verdana"/>
        </w:rPr>
        <w:t>securities</w:t>
      </w:r>
      <w:r w:rsidRPr="0038628B">
        <w:rPr>
          <w:rFonts w:ascii="Verdana" w:hAnsi="Verdana"/>
          <w:spacing w:val="-3"/>
        </w:rPr>
        <w:t xml:space="preserve"> </w:t>
      </w:r>
      <w:r w:rsidRPr="0038628B">
        <w:rPr>
          <w:rFonts w:ascii="Verdana" w:hAnsi="Verdana"/>
        </w:rPr>
        <w:t>depository) was approximately £391.7 billion. Foreign Exchange (FX) markets will also adopt stablecoins</w:t>
      </w:r>
      <w:r w:rsidRPr="0038628B">
        <w:rPr>
          <w:rFonts w:ascii="Verdana" w:hAnsi="Verdana"/>
          <w:spacing w:val="26"/>
        </w:rPr>
        <w:t xml:space="preserve"> </w:t>
      </w:r>
      <w:r w:rsidRPr="0038628B">
        <w:rPr>
          <w:rFonts w:ascii="Verdana" w:hAnsi="Verdana"/>
        </w:rPr>
        <w:t>-</w:t>
      </w:r>
      <w:r w:rsidRPr="0038628B">
        <w:rPr>
          <w:rFonts w:ascii="Verdana" w:hAnsi="Verdana"/>
          <w:spacing w:val="26"/>
        </w:rPr>
        <w:t xml:space="preserve"> </w:t>
      </w:r>
      <w:r w:rsidRPr="0038628B">
        <w:rPr>
          <w:rFonts w:ascii="Verdana" w:hAnsi="Verdana"/>
        </w:rPr>
        <w:t>and</w:t>
      </w:r>
      <w:r w:rsidRPr="0038628B">
        <w:rPr>
          <w:rFonts w:ascii="Verdana" w:hAnsi="Verdana"/>
          <w:spacing w:val="26"/>
        </w:rPr>
        <w:t xml:space="preserve"> </w:t>
      </w:r>
      <w:r w:rsidRPr="0038628B">
        <w:rPr>
          <w:rFonts w:ascii="Verdana" w:hAnsi="Verdana"/>
        </w:rPr>
        <w:t xml:space="preserve">as the fourth most traded currency globally and home to nearly 40% of FX turnover, it is not unrealistic to suggest the UK could capture 10–20% of global </w:t>
      </w:r>
      <w:r w:rsidRPr="0038628B">
        <w:rPr>
          <w:rFonts w:ascii="Verdana" w:hAnsi="Verdana"/>
        </w:rPr>
        <w:t>tokenised</w:t>
      </w:r>
      <w:r w:rsidRPr="0038628B">
        <w:rPr>
          <w:rFonts w:ascii="Verdana" w:hAnsi="Verdana"/>
        </w:rPr>
        <w:t xml:space="preserve"> currency trade.</w:t>
      </w:r>
    </w:p>
    <w:p w:rsidR="00FF7EEB" w:rsidRPr="0038628B">
      <w:pPr>
        <w:pStyle w:val="BodyText"/>
        <w:spacing w:before="157"/>
        <w:ind w:left="23"/>
        <w:jc w:val="both"/>
        <w:rPr>
          <w:rFonts w:ascii="Verdana" w:hAnsi="Verdana"/>
        </w:rPr>
      </w:pPr>
      <w:r w:rsidRPr="0038628B">
        <w:rPr>
          <w:rFonts w:ascii="Verdana" w:hAnsi="Verdana"/>
          <w:u w:val="thick"/>
        </w:rPr>
        <w:t>Overseas</w:t>
      </w:r>
      <w:r w:rsidRPr="0038628B">
        <w:rPr>
          <w:rFonts w:ascii="Verdana" w:hAnsi="Verdana"/>
          <w:spacing w:val="-15"/>
          <w:u w:val="thick"/>
        </w:rPr>
        <w:t xml:space="preserve"> </w:t>
      </w:r>
      <w:r w:rsidRPr="0038628B">
        <w:rPr>
          <w:rFonts w:ascii="Verdana" w:hAnsi="Verdana"/>
          <w:spacing w:val="-2"/>
          <w:u w:val="thick"/>
        </w:rPr>
        <w:t>remittances</w:t>
      </w:r>
    </w:p>
    <w:p w:rsidR="00FF7EEB" w:rsidRPr="0038628B">
      <w:pPr>
        <w:pStyle w:val="BodyText"/>
        <w:spacing w:before="45" w:line="276" w:lineRule="auto"/>
        <w:ind w:left="23" w:right="36"/>
        <w:jc w:val="both"/>
        <w:rPr>
          <w:rFonts w:ascii="Verdana" w:hAnsi="Verdana"/>
        </w:rPr>
      </w:pPr>
      <w:r w:rsidRPr="0038628B">
        <w:rPr>
          <w:rFonts w:ascii="Verdana" w:hAnsi="Verdana"/>
        </w:rPr>
        <w:t xml:space="preserve">Another signiﬁcant use case is remittances overseas to friends and family in countries with high inﬂation/ volatile currency. Based on 2023 data from the Migration Observatory, remittances from the UK were approximately £9.3bn a year. The average cost of sending remittances from the UK is roughly 6%. So </w:t>
      </w:r>
      <w:r w:rsidRPr="0038628B">
        <w:rPr>
          <w:rFonts w:ascii="Verdana" w:hAnsi="Verdana"/>
        </w:rPr>
        <w:t>stablecoin</w:t>
      </w:r>
      <w:r w:rsidRPr="0038628B">
        <w:rPr>
          <w:rFonts w:ascii="Verdana" w:hAnsi="Verdana"/>
        </w:rPr>
        <w:t xml:space="preserve"> could save as much as £500m a year for people in Britain.</w:t>
      </w:r>
    </w:p>
    <w:p w:rsidR="00FF7EEB" w:rsidRPr="0038628B">
      <w:pPr>
        <w:pStyle w:val="BodyText"/>
        <w:spacing w:before="156"/>
        <w:ind w:left="23"/>
        <w:jc w:val="both"/>
        <w:rPr>
          <w:rFonts w:ascii="Verdana" w:hAnsi="Verdana"/>
        </w:rPr>
      </w:pPr>
      <w:r w:rsidRPr="0038628B">
        <w:rPr>
          <w:rFonts w:ascii="Verdana" w:hAnsi="Verdana"/>
          <w:color w:val="212121"/>
          <w:w w:val="105"/>
          <w:u w:val="thick" w:color="212121"/>
        </w:rPr>
        <w:t>Wider</w:t>
      </w:r>
      <w:r w:rsidRPr="0038628B">
        <w:rPr>
          <w:rFonts w:ascii="Verdana" w:hAnsi="Verdana"/>
          <w:color w:val="212121"/>
          <w:spacing w:val="-9"/>
          <w:w w:val="105"/>
          <w:u w:val="thick" w:color="212121"/>
        </w:rPr>
        <w:t xml:space="preserve"> </w:t>
      </w:r>
      <w:r w:rsidRPr="0038628B">
        <w:rPr>
          <w:rFonts w:ascii="Verdana" w:hAnsi="Verdana"/>
          <w:color w:val="212121"/>
          <w:w w:val="105"/>
          <w:u w:val="thick" w:color="212121"/>
        </w:rPr>
        <w:t>business</w:t>
      </w:r>
      <w:r w:rsidRPr="0038628B">
        <w:rPr>
          <w:rFonts w:ascii="Verdana" w:hAnsi="Verdana"/>
          <w:color w:val="212121"/>
          <w:spacing w:val="-9"/>
          <w:w w:val="105"/>
          <w:u w:val="thick" w:color="212121"/>
        </w:rPr>
        <w:t xml:space="preserve"> </w:t>
      </w:r>
      <w:r w:rsidRPr="0038628B">
        <w:rPr>
          <w:rFonts w:ascii="Verdana" w:hAnsi="Verdana"/>
          <w:color w:val="212121"/>
          <w:w w:val="105"/>
          <w:u w:val="thick" w:color="212121"/>
        </w:rPr>
        <w:t>support</w:t>
      </w:r>
      <w:r w:rsidRPr="0038628B">
        <w:rPr>
          <w:rFonts w:ascii="Verdana" w:hAnsi="Verdana"/>
          <w:color w:val="212121"/>
          <w:spacing w:val="-9"/>
          <w:w w:val="105"/>
          <w:u w:val="thick" w:color="212121"/>
        </w:rPr>
        <w:t xml:space="preserve"> </w:t>
      </w:r>
      <w:r w:rsidRPr="0038628B">
        <w:rPr>
          <w:rFonts w:ascii="Verdana" w:hAnsi="Verdana"/>
          <w:color w:val="212121"/>
          <w:w w:val="105"/>
          <w:u w:val="thick" w:color="212121"/>
        </w:rPr>
        <w:t>for</w:t>
      </w:r>
      <w:r w:rsidRPr="0038628B">
        <w:rPr>
          <w:rFonts w:ascii="Verdana" w:hAnsi="Verdana"/>
          <w:color w:val="212121"/>
          <w:spacing w:val="-9"/>
          <w:w w:val="105"/>
          <w:u w:val="thick" w:color="212121"/>
        </w:rPr>
        <w:t xml:space="preserve"> </w:t>
      </w:r>
      <w:r w:rsidRPr="0038628B">
        <w:rPr>
          <w:rFonts w:ascii="Verdana" w:hAnsi="Verdana"/>
          <w:color w:val="212121"/>
          <w:spacing w:val="-2"/>
          <w:w w:val="105"/>
          <w:u w:val="thick" w:color="212121"/>
        </w:rPr>
        <w:t>stablecoin</w:t>
      </w:r>
    </w:p>
    <w:p w:rsidR="00FF7EEB" w:rsidRPr="0038628B">
      <w:pPr>
        <w:pStyle w:val="BodyText"/>
        <w:spacing w:before="45" w:line="276" w:lineRule="auto"/>
        <w:ind w:left="23" w:right="37"/>
        <w:jc w:val="both"/>
        <w:rPr>
          <w:rFonts w:ascii="Verdana" w:hAnsi="Verdana"/>
        </w:rPr>
      </w:pPr>
      <w:r w:rsidRPr="0038628B">
        <w:rPr>
          <w:rFonts w:ascii="Verdana" w:hAnsi="Verdana"/>
          <w:color w:val="212121"/>
        </w:rPr>
        <w:t xml:space="preserve">We have created a cross-economy coalition of </w:t>
      </w:r>
      <w:r w:rsidRPr="0038628B">
        <w:rPr>
          <w:rFonts w:ascii="Verdana" w:hAnsi="Verdana"/>
          <w:color w:val="212121"/>
        </w:rPr>
        <w:t>organisations</w:t>
      </w:r>
      <w:r w:rsidRPr="0038628B">
        <w:rPr>
          <w:rFonts w:ascii="Verdana" w:hAnsi="Verdana"/>
          <w:color w:val="212121"/>
        </w:rPr>
        <w:t xml:space="preserve"> that believe the development of UK-issued, GBP-backed </w:t>
      </w:r>
      <w:r w:rsidRPr="0038628B">
        <w:rPr>
          <w:rFonts w:ascii="Verdana" w:hAnsi="Verdana"/>
          <w:color w:val="212121"/>
        </w:rPr>
        <w:t>stablecoins</w:t>
      </w:r>
      <w:r w:rsidRPr="0038628B">
        <w:rPr>
          <w:rFonts w:ascii="Verdana" w:hAnsi="Verdana"/>
          <w:color w:val="212121"/>
        </w:rPr>
        <w:t xml:space="preserve"> would support growth. The </w:t>
      </w:r>
      <w:r w:rsidRPr="0038628B">
        <w:rPr>
          <w:rFonts w:ascii="Verdana" w:hAnsi="Verdana"/>
          <w:color w:val="212121"/>
        </w:rPr>
        <w:t>organisations</w:t>
      </w:r>
      <w:r w:rsidRPr="0038628B">
        <w:rPr>
          <w:rFonts w:ascii="Verdana" w:hAnsi="Verdana"/>
          <w:color w:val="212121"/>
        </w:rPr>
        <w:t xml:space="preserve"> supporting our 'Let's Go for British Stablecoin Leadership' campaign are calling for government and regulators to act with urgency and unity to deliver a clear, forward-looking regulatory framework for stablecoins in the UK that supports the development of UK-issued, GBP-backed stablecoins. Supporters include </w:t>
      </w:r>
      <w:r w:rsidRPr="0038628B">
        <w:rPr>
          <w:rFonts w:ascii="Verdana" w:hAnsi="Verdana"/>
          <w:color w:val="212121"/>
        </w:rPr>
        <w:t>a number of</w:t>
      </w:r>
      <w:r w:rsidRPr="0038628B">
        <w:rPr>
          <w:rFonts w:ascii="Verdana" w:hAnsi="Verdana"/>
          <w:color w:val="212121"/>
        </w:rPr>
        <w:t xml:space="preserve"> business </w:t>
      </w:r>
      <w:r w:rsidRPr="0038628B">
        <w:rPr>
          <w:rFonts w:ascii="Verdana" w:hAnsi="Verdana"/>
          <w:color w:val="212121"/>
        </w:rPr>
        <w:t>organisations</w:t>
      </w:r>
      <w:r w:rsidRPr="0038628B">
        <w:rPr>
          <w:rFonts w:ascii="Verdana" w:hAnsi="Verdana"/>
          <w:color w:val="212121"/>
        </w:rPr>
        <w:t xml:space="preserve"> (representing the ‘real economy’) including th</w:t>
      </w:r>
      <w:r w:rsidRPr="0038628B">
        <w:rPr>
          <w:rFonts w:ascii="Verdana" w:hAnsi="Verdana"/>
          <w:color w:val="212121"/>
        </w:rPr>
        <w:t>e</w:t>
      </w:r>
      <w:r w:rsidRPr="0038628B">
        <w:rPr>
          <w:rFonts w:ascii="Verdana" w:hAnsi="Verdana"/>
          <w:color w:val="212121"/>
          <w:spacing w:val="40"/>
        </w:rPr>
        <w:t xml:space="preserve"> </w:t>
      </w:r>
      <w:r w:rsidRPr="0038628B">
        <w:rPr>
          <w:rFonts w:ascii="Verdana" w:hAnsi="Verdana"/>
          <w:color w:val="212121"/>
        </w:rPr>
        <w:t>International Chamber of Commerce in the UK and The Entrepreneurs Network.</w:t>
      </w:r>
    </w:p>
    <w:p w:rsidR="00FF7EEB" w:rsidRPr="0038628B">
      <w:pPr>
        <w:pStyle w:val="BodyText"/>
        <w:spacing w:line="276" w:lineRule="auto"/>
        <w:jc w:val="both"/>
        <w:rPr>
          <w:rFonts w:ascii="Verdana" w:hAnsi="Verdana"/>
        </w:rPr>
        <w:sectPr>
          <w:pgSz w:w="11920" w:h="16840"/>
          <w:pgMar w:top="1360" w:right="1417" w:bottom="980" w:left="1417" w:header="0" w:footer="799" w:gutter="0"/>
          <w:cols w:space="720"/>
        </w:sectPr>
      </w:pPr>
    </w:p>
    <w:p w:rsidR="00FF7EEB" w:rsidRPr="0038628B">
      <w:pPr>
        <w:pStyle w:val="Heading3"/>
        <w:numPr>
          <w:ilvl w:val="0"/>
          <w:numId w:val="2"/>
        </w:numPr>
        <w:tabs>
          <w:tab w:val="left" w:pos="742"/>
        </w:tabs>
        <w:spacing w:before="84"/>
        <w:ind w:left="742" w:hanging="719"/>
        <w:rPr>
          <w:rFonts w:ascii="Verdana" w:hAnsi="Verdana"/>
          <w:color w:val="212121"/>
        </w:rPr>
      </w:pPr>
      <w:r w:rsidRPr="0038628B">
        <w:rPr>
          <w:rFonts w:ascii="Verdana" w:hAnsi="Verdana"/>
          <w:color w:val="212121"/>
        </w:rPr>
        <w:t xml:space="preserve">Bank of England restrictions on </w:t>
      </w:r>
      <w:r w:rsidRPr="0038628B">
        <w:rPr>
          <w:rFonts w:ascii="Verdana" w:hAnsi="Verdana"/>
        </w:rPr>
        <w:t xml:space="preserve">banks issuing </w:t>
      </w:r>
      <w:r w:rsidRPr="0038628B">
        <w:rPr>
          <w:rFonts w:ascii="Verdana" w:hAnsi="Verdana"/>
          <w:spacing w:val="-2"/>
        </w:rPr>
        <w:t>stablecoins</w:t>
      </w:r>
    </w:p>
    <w:p w:rsidR="00FF7EEB" w:rsidRPr="0038628B">
      <w:pPr>
        <w:pStyle w:val="BodyText"/>
        <w:spacing w:before="227"/>
        <w:rPr>
          <w:rFonts w:ascii="Verdana" w:hAnsi="Verdana"/>
          <w:b/>
          <w:sz w:val="24"/>
        </w:rPr>
      </w:pPr>
    </w:p>
    <w:p w:rsidR="00FF7EEB" w:rsidRPr="0038628B">
      <w:pPr>
        <w:pStyle w:val="BodyText"/>
        <w:spacing w:line="276" w:lineRule="auto"/>
        <w:ind w:left="23" w:right="41"/>
        <w:jc w:val="both"/>
        <w:rPr>
          <w:rFonts w:ascii="Verdana" w:hAnsi="Verdana"/>
        </w:rPr>
      </w:pPr>
      <w:r w:rsidRPr="0038628B">
        <w:rPr>
          <w:rFonts w:ascii="Verdana" w:hAnsi="Verdana"/>
          <w:w w:val="105"/>
        </w:rPr>
        <w:t>I</w:t>
      </w:r>
      <w:r w:rsidRPr="0038628B">
        <w:rPr>
          <w:rFonts w:ascii="Verdana" w:hAnsi="Verdana"/>
          <w:w w:val="105"/>
        </w:rPr>
        <w:t xml:space="preserve">n evidence we referenced the fact that the UK is the only country in the world to ban banks from issuing </w:t>
      </w:r>
      <w:r w:rsidRPr="0038628B">
        <w:rPr>
          <w:rFonts w:ascii="Verdana" w:hAnsi="Verdana"/>
          <w:w w:val="105"/>
        </w:rPr>
        <w:t>stablecoins</w:t>
      </w:r>
      <w:r w:rsidRPr="0038628B">
        <w:rPr>
          <w:rFonts w:ascii="Verdana" w:hAnsi="Verdana"/>
          <w:w w:val="105"/>
        </w:rPr>
        <w:t>. This was set out by the Bank of England in a ‘Dear CEO’ letter in November 2023 to all UK regulated banks</w:t>
      </w:r>
      <w:r w:rsidRPr="0038628B">
        <w:rPr>
          <w:rFonts w:ascii="Verdana" w:hAnsi="Verdana"/>
          <w:w w:val="105"/>
          <w:vertAlign w:val="superscript"/>
        </w:rPr>
        <w:t>1</w:t>
      </w:r>
      <w:r w:rsidRPr="0038628B">
        <w:rPr>
          <w:rFonts w:ascii="Verdana" w:hAnsi="Verdana"/>
          <w:w w:val="105"/>
        </w:rPr>
        <w:t>.</w:t>
      </w:r>
      <w:r w:rsidRPr="0038628B">
        <w:rPr>
          <w:rFonts w:ascii="Verdana" w:hAnsi="Verdana"/>
          <w:spacing w:val="40"/>
          <w:w w:val="105"/>
        </w:rPr>
        <w:t xml:space="preserve"> </w:t>
      </w:r>
      <w:r w:rsidRPr="0038628B">
        <w:rPr>
          <w:rFonts w:ascii="Verdana" w:hAnsi="Verdana"/>
          <w:w w:val="105"/>
        </w:rPr>
        <w:t>This states:</w:t>
      </w:r>
    </w:p>
    <w:p w:rsidR="00FF7EEB" w:rsidRPr="0038628B">
      <w:pPr>
        <w:pStyle w:val="BodyText"/>
        <w:spacing w:before="17"/>
        <w:rPr>
          <w:rFonts w:ascii="Verdana" w:hAnsi="Verdana"/>
        </w:rPr>
      </w:pPr>
    </w:p>
    <w:p w:rsidR="00FF7EEB" w:rsidRPr="0038628B">
      <w:pPr>
        <w:spacing w:line="276" w:lineRule="auto"/>
        <w:ind w:left="743" w:right="40"/>
        <w:jc w:val="both"/>
        <w:rPr>
          <w:rFonts w:ascii="Verdana" w:hAnsi="Verdana"/>
          <w:i/>
        </w:rPr>
      </w:pPr>
      <w:r w:rsidRPr="0038628B">
        <w:rPr>
          <w:rFonts w:ascii="Verdana" w:hAnsi="Verdana"/>
          <w:i/>
          <w:w w:val="105"/>
        </w:rPr>
        <w:t>“If deposit-takers [deposit taking banks] or their groups want to</w:t>
      </w:r>
      <w:r w:rsidRPr="0038628B">
        <w:rPr>
          <w:rFonts w:ascii="Verdana" w:hAnsi="Verdana"/>
          <w:i/>
          <w:spacing w:val="-3"/>
          <w:w w:val="105"/>
        </w:rPr>
        <w:t xml:space="preserve"> </w:t>
      </w:r>
      <w:r w:rsidRPr="0038628B">
        <w:rPr>
          <w:rFonts w:ascii="Verdana" w:hAnsi="Verdana"/>
          <w:i/>
          <w:w w:val="105"/>
        </w:rPr>
        <w:t>issue</w:t>
      </w:r>
      <w:r w:rsidRPr="0038628B">
        <w:rPr>
          <w:rFonts w:ascii="Verdana" w:hAnsi="Verdana"/>
          <w:i/>
          <w:spacing w:val="-3"/>
          <w:w w:val="105"/>
        </w:rPr>
        <w:t xml:space="preserve"> </w:t>
      </w:r>
      <w:r w:rsidRPr="0038628B">
        <w:rPr>
          <w:rFonts w:ascii="Verdana" w:hAnsi="Verdana"/>
          <w:i/>
          <w:w w:val="105"/>
        </w:rPr>
        <w:t>e-money</w:t>
      </w:r>
      <w:r w:rsidRPr="0038628B">
        <w:rPr>
          <w:rFonts w:ascii="Verdana" w:hAnsi="Verdana"/>
          <w:i/>
          <w:spacing w:val="-3"/>
          <w:w w:val="105"/>
        </w:rPr>
        <w:t xml:space="preserve"> </w:t>
      </w:r>
      <w:r w:rsidRPr="0038628B">
        <w:rPr>
          <w:rFonts w:ascii="Verdana" w:hAnsi="Verdana"/>
          <w:i/>
          <w:w w:val="105"/>
        </w:rPr>
        <w:t>or regulated stablecoins to retail customers, then this should</w:t>
      </w:r>
      <w:r w:rsidRPr="0038628B">
        <w:rPr>
          <w:rFonts w:ascii="Verdana" w:hAnsi="Verdana"/>
          <w:i/>
          <w:spacing w:val="-6"/>
          <w:w w:val="105"/>
        </w:rPr>
        <w:t xml:space="preserve"> </w:t>
      </w:r>
      <w:r w:rsidRPr="0038628B">
        <w:rPr>
          <w:rFonts w:ascii="Verdana" w:hAnsi="Verdana"/>
          <w:i/>
          <w:w w:val="105"/>
        </w:rPr>
        <w:t>be</w:t>
      </w:r>
      <w:r w:rsidRPr="0038628B">
        <w:rPr>
          <w:rFonts w:ascii="Verdana" w:hAnsi="Verdana"/>
          <w:i/>
          <w:spacing w:val="-6"/>
          <w:w w:val="105"/>
        </w:rPr>
        <w:t xml:space="preserve"> </w:t>
      </w:r>
      <w:r w:rsidRPr="0038628B">
        <w:rPr>
          <w:rFonts w:ascii="Verdana" w:hAnsi="Verdana"/>
          <w:i/>
          <w:w w:val="105"/>
        </w:rPr>
        <w:t>done</w:t>
      </w:r>
      <w:r w:rsidRPr="0038628B">
        <w:rPr>
          <w:rFonts w:ascii="Verdana" w:hAnsi="Verdana"/>
          <w:i/>
          <w:spacing w:val="-6"/>
          <w:w w:val="105"/>
        </w:rPr>
        <w:t xml:space="preserve"> </w:t>
      </w:r>
      <w:r w:rsidRPr="0038628B">
        <w:rPr>
          <w:rFonts w:ascii="Verdana" w:hAnsi="Verdana"/>
          <w:i/>
          <w:w w:val="105"/>
        </w:rPr>
        <w:t>from</w:t>
      </w:r>
      <w:r w:rsidRPr="0038628B">
        <w:rPr>
          <w:rFonts w:ascii="Verdana" w:hAnsi="Verdana"/>
          <w:i/>
          <w:spacing w:val="-6"/>
          <w:w w:val="105"/>
        </w:rPr>
        <w:t xml:space="preserve"> </w:t>
      </w:r>
      <w:r w:rsidRPr="0038628B">
        <w:rPr>
          <w:rFonts w:ascii="Verdana" w:hAnsi="Verdana"/>
          <w:i/>
          <w:w w:val="105"/>
        </w:rPr>
        <w:t>separate non-deposit-taking and insolvency-remote entities, ensuring that: (</w:t>
      </w:r>
      <w:r w:rsidRPr="0038628B">
        <w:rPr>
          <w:rFonts w:ascii="Verdana" w:hAnsi="Verdana"/>
          <w:i/>
          <w:w w:val="105"/>
        </w:rPr>
        <w:t>i</w:t>
      </w:r>
      <w:r w:rsidRPr="0038628B">
        <w:rPr>
          <w:rFonts w:ascii="Verdana" w:hAnsi="Verdana"/>
          <w:i/>
          <w:w w:val="105"/>
        </w:rPr>
        <w:t>) they have distinct branding</w:t>
      </w:r>
      <w:r w:rsidRPr="0038628B">
        <w:rPr>
          <w:rFonts w:ascii="Verdana" w:hAnsi="Verdana"/>
          <w:i/>
          <w:spacing w:val="-6"/>
          <w:w w:val="105"/>
        </w:rPr>
        <w:t xml:space="preserve"> </w:t>
      </w:r>
      <w:r w:rsidRPr="0038628B">
        <w:rPr>
          <w:rFonts w:ascii="Verdana" w:hAnsi="Verdana"/>
          <w:i/>
          <w:w w:val="105"/>
        </w:rPr>
        <w:t>to</w:t>
      </w:r>
      <w:r w:rsidRPr="0038628B">
        <w:rPr>
          <w:rFonts w:ascii="Verdana" w:hAnsi="Verdana"/>
          <w:i/>
          <w:spacing w:val="-6"/>
          <w:w w:val="105"/>
        </w:rPr>
        <w:t xml:space="preserve"> </w:t>
      </w:r>
      <w:r w:rsidRPr="0038628B">
        <w:rPr>
          <w:rFonts w:ascii="Verdana" w:hAnsi="Verdana"/>
          <w:i/>
          <w:w w:val="105"/>
        </w:rPr>
        <w:t>the</w:t>
      </w:r>
      <w:r w:rsidRPr="0038628B">
        <w:rPr>
          <w:rFonts w:ascii="Verdana" w:hAnsi="Verdana"/>
          <w:i/>
          <w:spacing w:val="-6"/>
          <w:w w:val="105"/>
        </w:rPr>
        <w:t xml:space="preserve"> </w:t>
      </w:r>
      <w:r w:rsidRPr="0038628B">
        <w:rPr>
          <w:rFonts w:ascii="Verdana" w:hAnsi="Verdana"/>
          <w:i/>
          <w:w w:val="105"/>
        </w:rPr>
        <w:t>deposit-taker;</w:t>
      </w:r>
      <w:r w:rsidRPr="0038628B">
        <w:rPr>
          <w:rFonts w:ascii="Verdana" w:hAnsi="Verdana"/>
          <w:i/>
          <w:spacing w:val="-6"/>
          <w:w w:val="105"/>
        </w:rPr>
        <w:t xml:space="preserve"> </w:t>
      </w:r>
      <w:r w:rsidRPr="0038628B">
        <w:rPr>
          <w:rFonts w:ascii="Verdana" w:hAnsi="Verdana"/>
          <w:i/>
          <w:w w:val="105"/>
        </w:rPr>
        <w:t>and</w:t>
      </w:r>
      <w:r w:rsidRPr="0038628B">
        <w:rPr>
          <w:rFonts w:ascii="Verdana" w:hAnsi="Verdana"/>
          <w:i/>
          <w:spacing w:val="-6"/>
          <w:w w:val="105"/>
        </w:rPr>
        <w:t xml:space="preserve"> </w:t>
      </w:r>
      <w:r w:rsidRPr="0038628B">
        <w:rPr>
          <w:rFonts w:ascii="Verdana" w:hAnsi="Verdana"/>
          <w:i/>
          <w:w w:val="105"/>
        </w:rPr>
        <w:t>(ii)</w:t>
      </w:r>
      <w:r w:rsidRPr="0038628B">
        <w:rPr>
          <w:rFonts w:ascii="Verdana" w:hAnsi="Verdana"/>
          <w:i/>
          <w:spacing w:val="-6"/>
          <w:w w:val="105"/>
        </w:rPr>
        <w:t xml:space="preserve"> </w:t>
      </w:r>
      <w:r w:rsidRPr="0038628B">
        <w:rPr>
          <w:rFonts w:ascii="Verdana" w:hAnsi="Verdana"/>
          <w:i/>
          <w:w w:val="105"/>
        </w:rPr>
        <w:t>their</w:t>
      </w:r>
      <w:r w:rsidRPr="0038628B">
        <w:rPr>
          <w:rFonts w:ascii="Verdana" w:hAnsi="Verdana"/>
          <w:i/>
          <w:spacing w:val="-6"/>
          <w:w w:val="105"/>
        </w:rPr>
        <w:t xml:space="preserve"> </w:t>
      </w:r>
      <w:r w:rsidRPr="0038628B">
        <w:rPr>
          <w:rFonts w:ascii="Verdana" w:hAnsi="Verdana"/>
          <w:i/>
          <w:w w:val="105"/>
        </w:rPr>
        <w:t>failure</w:t>
      </w:r>
      <w:r w:rsidRPr="0038628B">
        <w:rPr>
          <w:rFonts w:ascii="Verdana" w:hAnsi="Verdana"/>
          <w:i/>
          <w:spacing w:val="-6"/>
          <w:w w:val="105"/>
        </w:rPr>
        <w:t xml:space="preserve"> </w:t>
      </w:r>
      <w:r w:rsidRPr="0038628B">
        <w:rPr>
          <w:rFonts w:ascii="Verdana" w:hAnsi="Verdana"/>
          <w:i/>
          <w:w w:val="105"/>
        </w:rPr>
        <w:t>would</w:t>
      </w:r>
      <w:r w:rsidRPr="0038628B">
        <w:rPr>
          <w:rFonts w:ascii="Verdana" w:hAnsi="Verdana"/>
          <w:i/>
          <w:spacing w:val="-6"/>
          <w:w w:val="105"/>
        </w:rPr>
        <w:t xml:space="preserve"> </w:t>
      </w:r>
      <w:r w:rsidRPr="0038628B">
        <w:rPr>
          <w:rFonts w:ascii="Verdana" w:hAnsi="Verdana"/>
          <w:i/>
          <w:w w:val="105"/>
        </w:rPr>
        <w:t>not</w:t>
      </w:r>
      <w:r w:rsidRPr="0038628B">
        <w:rPr>
          <w:rFonts w:ascii="Verdana" w:hAnsi="Verdana"/>
          <w:i/>
          <w:spacing w:val="-6"/>
          <w:w w:val="105"/>
        </w:rPr>
        <w:t xml:space="preserve"> </w:t>
      </w:r>
      <w:r w:rsidRPr="0038628B">
        <w:rPr>
          <w:rFonts w:ascii="Verdana" w:hAnsi="Verdana"/>
          <w:i/>
          <w:w w:val="105"/>
        </w:rPr>
        <w:t>have</w:t>
      </w:r>
      <w:r w:rsidRPr="0038628B">
        <w:rPr>
          <w:rFonts w:ascii="Verdana" w:hAnsi="Verdana"/>
          <w:i/>
          <w:spacing w:val="-6"/>
          <w:w w:val="105"/>
        </w:rPr>
        <w:t xml:space="preserve"> </w:t>
      </w:r>
      <w:r w:rsidRPr="0038628B">
        <w:rPr>
          <w:rFonts w:ascii="Verdana" w:hAnsi="Verdana"/>
          <w:i/>
          <w:w w:val="105"/>
        </w:rPr>
        <w:t>adverse impacts</w:t>
      </w:r>
      <w:r w:rsidRPr="0038628B">
        <w:rPr>
          <w:rFonts w:ascii="Verdana" w:hAnsi="Verdana"/>
          <w:i/>
          <w:spacing w:val="40"/>
          <w:w w:val="105"/>
        </w:rPr>
        <w:t xml:space="preserve"> </w:t>
      </w:r>
      <w:r w:rsidRPr="0038628B">
        <w:rPr>
          <w:rFonts w:ascii="Verdana" w:hAnsi="Verdana"/>
          <w:i/>
          <w:w w:val="105"/>
        </w:rPr>
        <w:t>on</w:t>
      </w:r>
      <w:r w:rsidRPr="0038628B">
        <w:rPr>
          <w:rFonts w:ascii="Verdana" w:hAnsi="Verdana"/>
          <w:i/>
          <w:spacing w:val="40"/>
          <w:w w:val="105"/>
        </w:rPr>
        <w:t xml:space="preserve"> </w:t>
      </w:r>
      <w:r w:rsidRPr="0038628B">
        <w:rPr>
          <w:rFonts w:ascii="Verdana" w:hAnsi="Verdana"/>
          <w:i/>
          <w:w w:val="105"/>
        </w:rPr>
        <w:t>the</w:t>
      </w:r>
      <w:r w:rsidRPr="0038628B">
        <w:rPr>
          <w:rFonts w:ascii="Verdana" w:hAnsi="Verdana"/>
          <w:i/>
          <w:spacing w:val="40"/>
          <w:w w:val="105"/>
        </w:rPr>
        <w:t xml:space="preserve"> </w:t>
      </w:r>
      <w:r w:rsidRPr="0038628B">
        <w:rPr>
          <w:rFonts w:ascii="Verdana" w:hAnsi="Verdana"/>
          <w:i/>
          <w:w w:val="105"/>
        </w:rPr>
        <w:t>rest</w:t>
      </w:r>
      <w:r w:rsidRPr="0038628B">
        <w:rPr>
          <w:rFonts w:ascii="Verdana" w:hAnsi="Verdana"/>
          <w:i/>
          <w:spacing w:val="40"/>
          <w:w w:val="105"/>
        </w:rPr>
        <w:t xml:space="preserve"> </w:t>
      </w:r>
      <w:r w:rsidRPr="0038628B">
        <w:rPr>
          <w:rFonts w:ascii="Verdana" w:hAnsi="Verdana"/>
          <w:i/>
          <w:w w:val="105"/>
        </w:rPr>
        <w:t>of</w:t>
      </w:r>
      <w:r w:rsidRPr="0038628B">
        <w:rPr>
          <w:rFonts w:ascii="Verdana" w:hAnsi="Verdana"/>
          <w:i/>
          <w:spacing w:val="40"/>
          <w:w w:val="105"/>
        </w:rPr>
        <w:t xml:space="preserve"> </w:t>
      </w:r>
      <w:r w:rsidRPr="0038628B">
        <w:rPr>
          <w:rFonts w:ascii="Verdana" w:hAnsi="Verdana"/>
          <w:i/>
          <w:w w:val="105"/>
        </w:rPr>
        <w:t>the</w:t>
      </w:r>
      <w:r w:rsidRPr="0038628B">
        <w:rPr>
          <w:rFonts w:ascii="Verdana" w:hAnsi="Verdana"/>
          <w:i/>
          <w:spacing w:val="40"/>
          <w:w w:val="105"/>
        </w:rPr>
        <w:t xml:space="preserve"> </w:t>
      </w:r>
      <w:r w:rsidRPr="0038628B">
        <w:rPr>
          <w:rFonts w:ascii="Verdana" w:hAnsi="Verdana"/>
          <w:i/>
          <w:w w:val="105"/>
        </w:rPr>
        <w:t>deposit-taking</w:t>
      </w:r>
      <w:r w:rsidRPr="0038628B">
        <w:rPr>
          <w:rFonts w:ascii="Verdana" w:hAnsi="Verdana"/>
          <w:i/>
          <w:spacing w:val="40"/>
          <w:w w:val="105"/>
        </w:rPr>
        <w:t xml:space="preserve"> </w:t>
      </w:r>
      <w:r w:rsidRPr="0038628B">
        <w:rPr>
          <w:rFonts w:ascii="Verdana" w:hAnsi="Verdana"/>
          <w:i/>
          <w:w w:val="105"/>
        </w:rPr>
        <w:t>group</w:t>
      </w:r>
      <w:r w:rsidRPr="0038628B">
        <w:rPr>
          <w:rFonts w:ascii="Verdana" w:hAnsi="Verdana"/>
          <w:i/>
          <w:spacing w:val="40"/>
          <w:w w:val="105"/>
        </w:rPr>
        <w:t xml:space="preserve"> </w:t>
      </w:r>
      <w:r w:rsidRPr="0038628B">
        <w:rPr>
          <w:rFonts w:ascii="Verdana" w:hAnsi="Verdana"/>
          <w:i/>
          <w:w w:val="105"/>
        </w:rPr>
        <w:t>and</w:t>
      </w:r>
      <w:r w:rsidRPr="0038628B">
        <w:rPr>
          <w:rFonts w:ascii="Verdana" w:hAnsi="Verdana"/>
          <w:i/>
          <w:spacing w:val="40"/>
          <w:w w:val="105"/>
        </w:rPr>
        <w:t xml:space="preserve"> </w:t>
      </w:r>
      <w:r w:rsidRPr="0038628B">
        <w:rPr>
          <w:rFonts w:ascii="Verdana" w:hAnsi="Verdana"/>
          <w:i/>
          <w:w w:val="105"/>
        </w:rPr>
        <w:t>the</w:t>
      </w:r>
      <w:r w:rsidRPr="0038628B">
        <w:rPr>
          <w:rFonts w:ascii="Verdana" w:hAnsi="Verdana"/>
          <w:i/>
          <w:spacing w:val="40"/>
          <w:w w:val="105"/>
        </w:rPr>
        <w:t xml:space="preserve"> </w:t>
      </w:r>
      <w:r w:rsidRPr="0038628B">
        <w:rPr>
          <w:rFonts w:ascii="Verdana" w:hAnsi="Verdana"/>
          <w:i/>
          <w:w w:val="105"/>
        </w:rPr>
        <w:t>continuity</w:t>
      </w:r>
      <w:r w:rsidRPr="0038628B">
        <w:rPr>
          <w:rFonts w:ascii="Verdana" w:hAnsi="Verdana"/>
          <w:i/>
          <w:spacing w:val="40"/>
          <w:w w:val="105"/>
        </w:rPr>
        <w:t xml:space="preserve"> </w:t>
      </w:r>
      <w:r w:rsidRPr="0038628B">
        <w:rPr>
          <w:rFonts w:ascii="Verdana" w:hAnsi="Verdana"/>
          <w:i/>
          <w:w w:val="105"/>
        </w:rPr>
        <w:t>of</w:t>
      </w:r>
      <w:r w:rsidRPr="0038628B">
        <w:rPr>
          <w:rFonts w:ascii="Verdana" w:hAnsi="Verdana"/>
          <w:i/>
          <w:spacing w:val="40"/>
          <w:w w:val="105"/>
        </w:rPr>
        <w:t xml:space="preserve"> </w:t>
      </w:r>
      <w:r w:rsidRPr="0038628B">
        <w:rPr>
          <w:rFonts w:ascii="Verdana" w:hAnsi="Verdana"/>
          <w:i/>
          <w:w w:val="105"/>
        </w:rPr>
        <w:t>its deposit-taking services.”</w:t>
      </w:r>
    </w:p>
    <w:p w:rsidR="00FF7EEB" w:rsidRPr="0038628B">
      <w:pPr>
        <w:pStyle w:val="BodyText"/>
        <w:spacing w:before="205"/>
        <w:rPr>
          <w:rFonts w:ascii="Verdana" w:hAnsi="Verdana"/>
          <w:i/>
        </w:rPr>
      </w:pPr>
    </w:p>
    <w:p w:rsidR="00FF7EEB" w:rsidRPr="0038628B">
      <w:pPr>
        <w:pStyle w:val="BodyText"/>
        <w:spacing w:line="276" w:lineRule="auto"/>
        <w:ind w:left="23" w:right="42"/>
        <w:jc w:val="both"/>
        <w:rPr>
          <w:rFonts w:ascii="Verdana" w:hAnsi="Verdana"/>
        </w:rPr>
      </w:pPr>
      <w:r w:rsidRPr="0038628B">
        <w:rPr>
          <w:rFonts w:ascii="Verdana" w:hAnsi="Verdana"/>
          <w:w w:val="105"/>
        </w:rPr>
        <w:t>In practice this is an eﬀective ban on banks issuing stablecoins. We understand that</w:t>
      </w:r>
      <w:r w:rsidRPr="0038628B">
        <w:rPr>
          <w:rFonts w:ascii="Verdana" w:hAnsi="Verdana"/>
          <w:spacing w:val="40"/>
          <w:w w:val="105"/>
        </w:rPr>
        <w:t xml:space="preserve"> </w:t>
      </w:r>
      <w:r w:rsidRPr="0038628B">
        <w:rPr>
          <w:rFonts w:ascii="Verdana" w:hAnsi="Verdana"/>
          <w:w w:val="105"/>
        </w:rPr>
        <w:t xml:space="preserve">this has been reinforced by supervisory teams, discouraging any </w:t>
      </w:r>
      <w:r w:rsidRPr="0038628B">
        <w:rPr>
          <w:rFonts w:ascii="Verdana" w:hAnsi="Verdana"/>
          <w:w w:val="105"/>
        </w:rPr>
        <w:t>stablecoin</w:t>
      </w:r>
      <w:r w:rsidRPr="0038628B">
        <w:rPr>
          <w:rFonts w:ascii="Verdana" w:hAnsi="Verdana"/>
          <w:w w:val="105"/>
        </w:rPr>
        <w:t xml:space="preserve"> development by banks. We are aware of at least one </w:t>
      </w:r>
      <w:r w:rsidRPr="0038628B">
        <w:rPr>
          <w:rFonts w:ascii="Verdana" w:hAnsi="Verdana"/>
          <w:color w:val="212121"/>
          <w:w w:val="105"/>
        </w:rPr>
        <w:t xml:space="preserve">bank in our membership that applied for an FCA VASP (Virtual Asset Service Provider) </w:t>
      </w:r>
      <w:r w:rsidRPr="0038628B">
        <w:rPr>
          <w:rFonts w:ascii="Verdana" w:hAnsi="Verdana"/>
          <w:color w:val="212121"/>
          <w:w w:val="105"/>
        </w:rPr>
        <w:t>authorisation</w:t>
      </w:r>
      <w:r w:rsidRPr="0038628B">
        <w:rPr>
          <w:rFonts w:ascii="Verdana" w:hAnsi="Verdana"/>
          <w:color w:val="212121"/>
          <w:w w:val="105"/>
        </w:rPr>
        <w:t xml:space="preserve"> to cover </w:t>
      </w:r>
      <w:r w:rsidRPr="0038628B">
        <w:rPr>
          <w:rFonts w:ascii="Verdana" w:hAnsi="Verdana"/>
          <w:color w:val="212121"/>
          <w:w w:val="105"/>
        </w:rPr>
        <w:t>stablecoin</w:t>
      </w:r>
      <w:r w:rsidRPr="0038628B">
        <w:rPr>
          <w:rFonts w:ascii="Verdana" w:hAnsi="Verdana"/>
          <w:color w:val="212121"/>
          <w:w w:val="105"/>
        </w:rPr>
        <w:t xml:space="preserve"> services; the Bank of England supervisory team advised them to withdraw their application.</w:t>
      </w:r>
    </w:p>
    <w:p w:rsidR="00FF7EEB" w:rsidRPr="0038628B">
      <w:pPr>
        <w:pStyle w:val="BodyText"/>
        <w:spacing w:before="17"/>
        <w:rPr>
          <w:rFonts w:ascii="Verdana" w:hAnsi="Verdana"/>
        </w:rPr>
      </w:pPr>
    </w:p>
    <w:p w:rsidR="00FF7EEB" w:rsidRPr="0038628B">
      <w:pPr>
        <w:pStyle w:val="BodyText"/>
        <w:spacing w:line="276" w:lineRule="auto"/>
        <w:ind w:left="23" w:right="40"/>
        <w:jc w:val="both"/>
        <w:rPr>
          <w:rFonts w:ascii="Verdana" w:hAnsi="Verdana"/>
        </w:rPr>
      </w:pPr>
      <w:r w:rsidRPr="0038628B">
        <w:rPr>
          <w:rFonts w:ascii="Verdana" w:hAnsi="Verdana"/>
          <w:w w:val="105"/>
        </w:rPr>
        <w:t>In her evidence to the Committee, the deputy governor of the Bank of England, Sarah Breedon,</w:t>
      </w:r>
      <w:r w:rsidRPr="0038628B">
        <w:rPr>
          <w:rFonts w:ascii="Verdana" w:hAnsi="Verdana"/>
          <w:spacing w:val="40"/>
          <w:w w:val="105"/>
        </w:rPr>
        <w:t xml:space="preserve"> </w:t>
      </w:r>
      <w:r w:rsidRPr="0038628B">
        <w:rPr>
          <w:rFonts w:ascii="Verdana" w:hAnsi="Verdana"/>
          <w:w w:val="105"/>
        </w:rPr>
        <w:t>suggested</w:t>
      </w:r>
      <w:r w:rsidRPr="0038628B">
        <w:rPr>
          <w:rFonts w:ascii="Verdana" w:hAnsi="Verdana"/>
          <w:spacing w:val="40"/>
          <w:w w:val="105"/>
        </w:rPr>
        <w:t xml:space="preserve"> </w:t>
      </w:r>
      <w:r w:rsidRPr="0038628B">
        <w:rPr>
          <w:rFonts w:ascii="Verdana" w:hAnsi="Verdana"/>
          <w:w w:val="105"/>
        </w:rPr>
        <w:t>that</w:t>
      </w:r>
      <w:r w:rsidRPr="0038628B">
        <w:rPr>
          <w:rFonts w:ascii="Verdana" w:hAnsi="Verdana"/>
          <w:spacing w:val="40"/>
          <w:w w:val="105"/>
        </w:rPr>
        <w:t xml:space="preserve"> </w:t>
      </w:r>
      <w:r w:rsidRPr="0038628B">
        <w:rPr>
          <w:rFonts w:ascii="Verdana" w:hAnsi="Verdana"/>
          <w:w w:val="105"/>
        </w:rPr>
        <w:t xml:space="preserve">other jurisdictions have taken the same </w:t>
      </w:r>
      <w:r w:rsidRPr="0038628B">
        <w:rPr>
          <w:rFonts w:ascii="Verdana" w:hAnsi="Verdana"/>
          <w:w w:val="105"/>
        </w:rPr>
        <w:t>approach (“</w:t>
      </w:r>
      <w:r w:rsidRPr="0038628B">
        <w:rPr>
          <w:rFonts w:ascii="Verdana" w:hAnsi="Verdana"/>
          <w:w w:val="105"/>
        </w:rPr>
        <w:t>that is the same policy all around the world. The US and the Europeans are insisting on that policy”). The witness subsequently provided</w:t>
      </w:r>
      <w:r w:rsidRPr="0038628B">
        <w:rPr>
          <w:rFonts w:ascii="Verdana" w:hAnsi="Verdana"/>
          <w:spacing w:val="40"/>
          <w:w w:val="105"/>
        </w:rPr>
        <w:t xml:space="preserve"> </w:t>
      </w:r>
      <w:r w:rsidRPr="0038628B">
        <w:rPr>
          <w:rFonts w:ascii="Verdana" w:hAnsi="Verdana"/>
          <w:w w:val="105"/>
        </w:rPr>
        <w:t>a clariﬁcation to the Committee that “Under</w:t>
      </w:r>
      <w:r w:rsidRPr="0038628B">
        <w:rPr>
          <w:rFonts w:ascii="Verdana" w:hAnsi="Verdana"/>
          <w:spacing w:val="40"/>
          <w:w w:val="105"/>
        </w:rPr>
        <w:t xml:space="preserve"> </w:t>
      </w:r>
      <w:r w:rsidRPr="0038628B">
        <w:rPr>
          <w:rFonts w:ascii="Verdana" w:hAnsi="Verdana"/>
          <w:w w:val="105"/>
        </w:rPr>
        <w:t>European</w:t>
      </w:r>
      <w:r w:rsidRPr="0038628B">
        <w:rPr>
          <w:rFonts w:ascii="Verdana" w:hAnsi="Verdana"/>
          <w:spacing w:val="40"/>
          <w:w w:val="105"/>
        </w:rPr>
        <w:t xml:space="preserve"> </w:t>
      </w:r>
      <w:r w:rsidRPr="0038628B">
        <w:rPr>
          <w:rFonts w:ascii="Verdana" w:hAnsi="Verdana"/>
          <w:w w:val="105"/>
        </w:rPr>
        <w:t>proposals,</w:t>
      </w:r>
      <w:r w:rsidRPr="0038628B">
        <w:rPr>
          <w:rFonts w:ascii="Verdana" w:hAnsi="Verdana"/>
          <w:spacing w:val="40"/>
          <w:w w:val="105"/>
        </w:rPr>
        <w:t xml:space="preserve"> </w:t>
      </w:r>
      <w:r w:rsidRPr="0038628B">
        <w:rPr>
          <w:rFonts w:ascii="Verdana" w:hAnsi="Verdana"/>
          <w:w w:val="105"/>
        </w:rPr>
        <w:t>it</w:t>
      </w:r>
      <w:r w:rsidRPr="0038628B">
        <w:rPr>
          <w:rFonts w:ascii="Verdana" w:hAnsi="Verdana"/>
          <w:spacing w:val="40"/>
          <w:w w:val="105"/>
        </w:rPr>
        <w:t xml:space="preserve"> </w:t>
      </w:r>
      <w:r w:rsidRPr="0038628B">
        <w:rPr>
          <w:rFonts w:ascii="Verdana" w:hAnsi="Verdana"/>
          <w:w w:val="105"/>
        </w:rPr>
        <w:t>is</w:t>
      </w:r>
      <w:r w:rsidRPr="0038628B">
        <w:rPr>
          <w:rFonts w:ascii="Verdana" w:hAnsi="Verdana"/>
          <w:spacing w:val="40"/>
          <w:w w:val="105"/>
        </w:rPr>
        <w:t xml:space="preserve"> </w:t>
      </w:r>
      <w:r w:rsidRPr="0038628B">
        <w:rPr>
          <w:rFonts w:ascii="Verdana" w:hAnsi="Verdana"/>
          <w:w w:val="105"/>
        </w:rPr>
        <w:t>not</w:t>
      </w:r>
      <w:r w:rsidRPr="0038628B">
        <w:rPr>
          <w:rFonts w:ascii="Verdana" w:hAnsi="Verdana"/>
          <w:spacing w:val="40"/>
          <w:w w:val="105"/>
        </w:rPr>
        <w:t xml:space="preserve"> </w:t>
      </w:r>
      <w:r w:rsidRPr="0038628B">
        <w:rPr>
          <w:rFonts w:ascii="Verdana" w:hAnsi="Verdana"/>
          <w:w w:val="105"/>
        </w:rPr>
        <w:t>required</w:t>
      </w:r>
      <w:r w:rsidRPr="0038628B">
        <w:rPr>
          <w:rFonts w:ascii="Verdana" w:hAnsi="Verdana"/>
          <w:spacing w:val="40"/>
          <w:w w:val="105"/>
        </w:rPr>
        <w:t xml:space="preserve"> </w:t>
      </w:r>
      <w:r w:rsidRPr="0038628B">
        <w:rPr>
          <w:rFonts w:ascii="Verdana" w:hAnsi="Verdana"/>
          <w:w w:val="105"/>
        </w:rPr>
        <w:t>that</w:t>
      </w:r>
      <w:r w:rsidRPr="0038628B">
        <w:rPr>
          <w:rFonts w:ascii="Verdana" w:hAnsi="Verdana"/>
          <w:spacing w:val="40"/>
          <w:w w:val="105"/>
        </w:rPr>
        <w:t xml:space="preserve"> </w:t>
      </w:r>
      <w:r w:rsidRPr="0038628B">
        <w:rPr>
          <w:rFonts w:ascii="Verdana" w:hAnsi="Verdana"/>
          <w:w w:val="105"/>
        </w:rPr>
        <w:t>banks issue stablecoins</w:t>
      </w:r>
      <w:r w:rsidRPr="0038628B">
        <w:rPr>
          <w:rFonts w:ascii="Verdana" w:hAnsi="Verdana"/>
          <w:w w:val="105"/>
        </w:rPr>
        <w:t xml:space="preserve"> via separate legal entities, although some banks are choosing to do so”.</w:t>
      </w:r>
    </w:p>
    <w:p w:rsidR="00FF7EEB" w:rsidRPr="0038628B">
      <w:pPr>
        <w:pStyle w:val="BodyText"/>
        <w:spacing w:before="17"/>
        <w:rPr>
          <w:rFonts w:ascii="Verdana" w:hAnsi="Verdana"/>
        </w:rPr>
      </w:pPr>
    </w:p>
    <w:p w:rsidR="00FF7EEB" w:rsidRPr="0038628B">
      <w:pPr>
        <w:pStyle w:val="BodyText"/>
        <w:spacing w:line="276" w:lineRule="auto"/>
        <w:ind w:left="23" w:right="46"/>
        <w:jc w:val="both"/>
        <w:rPr>
          <w:rFonts w:ascii="Verdana" w:hAnsi="Verdana"/>
        </w:rPr>
      </w:pPr>
      <w:r w:rsidRPr="0038628B">
        <w:rPr>
          <w:rFonts w:ascii="Verdana" w:hAnsi="Verdana"/>
          <w:w w:val="110"/>
        </w:rPr>
        <w:t>Our analysis of</w:t>
      </w:r>
      <w:r w:rsidRPr="0038628B">
        <w:rPr>
          <w:rFonts w:ascii="Verdana" w:hAnsi="Verdana"/>
          <w:spacing w:val="-9"/>
          <w:w w:val="110"/>
        </w:rPr>
        <w:t xml:space="preserve"> </w:t>
      </w:r>
      <w:r w:rsidRPr="0038628B">
        <w:rPr>
          <w:rFonts w:ascii="Verdana" w:hAnsi="Verdana"/>
          <w:w w:val="110"/>
        </w:rPr>
        <w:t>other</w:t>
      </w:r>
      <w:r w:rsidRPr="0038628B">
        <w:rPr>
          <w:rFonts w:ascii="Verdana" w:hAnsi="Verdana"/>
          <w:spacing w:val="-9"/>
          <w:w w:val="110"/>
        </w:rPr>
        <w:t xml:space="preserve"> </w:t>
      </w:r>
      <w:r w:rsidRPr="0038628B">
        <w:rPr>
          <w:rFonts w:ascii="Verdana" w:hAnsi="Verdana"/>
          <w:w w:val="110"/>
        </w:rPr>
        <w:t>jurisdictions</w:t>
      </w:r>
      <w:r w:rsidRPr="0038628B">
        <w:rPr>
          <w:rFonts w:ascii="Verdana" w:hAnsi="Verdana"/>
          <w:spacing w:val="-9"/>
          <w:w w:val="110"/>
        </w:rPr>
        <w:t xml:space="preserve"> </w:t>
      </w:r>
      <w:r w:rsidRPr="0038628B">
        <w:rPr>
          <w:rFonts w:ascii="Verdana" w:hAnsi="Verdana"/>
          <w:w w:val="110"/>
        </w:rPr>
        <w:t>shows</w:t>
      </w:r>
      <w:r w:rsidRPr="0038628B">
        <w:rPr>
          <w:rFonts w:ascii="Verdana" w:hAnsi="Verdana"/>
          <w:spacing w:val="-9"/>
          <w:w w:val="110"/>
        </w:rPr>
        <w:t xml:space="preserve"> </w:t>
      </w:r>
      <w:r w:rsidRPr="0038628B">
        <w:rPr>
          <w:rFonts w:ascii="Verdana" w:hAnsi="Verdana"/>
          <w:w w:val="110"/>
        </w:rPr>
        <w:t>that</w:t>
      </w:r>
      <w:r w:rsidRPr="0038628B">
        <w:rPr>
          <w:rFonts w:ascii="Verdana" w:hAnsi="Verdana"/>
          <w:spacing w:val="-9"/>
          <w:w w:val="110"/>
        </w:rPr>
        <w:t xml:space="preserve"> </w:t>
      </w:r>
      <w:r w:rsidRPr="0038628B">
        <w:rPr>
          <w:rFonts w:ascii="Verdana" w:hAnsi="Verdana"/>
          <w:w w:val="110"/>
        </w:rPr>
        <w:t>the</w:t>
      </w:r>
      <w:r w:rsidRPr="0038628B">
        <w:rPr>
          <w:rFonts w:ascii="Verdana" w:hAnsi="Verdana"/>
          <w:spacing w:val="-9"/>
          <w:w w:val="110"/>
        </w:rPr>
        <w:t xml:space="preserve"> </w:t>
      </w:r>
      <w:r w:rsidRPr="0038628B">
        <w:rPr>
          <w:rFonts w:ascii="Verdana" w:hAnsi="Verdana"/>
          <w:w w:val="110"/>
        </w:rPr>
        <w:t>UK</w:t>
      </w:r>
      <w:r w:rsidRPr="0038628B">
        <w:rPr>
          <w:rFonts w:ascii="Verdana" w:hAnsi="Verdana"/>
          <w:spacing w:val="-9"/>
          <w:w w:val="110"/>
        </w:rPr>
        <w:t xml:space="preserve"> </w:t>
      </w:r>
      <w:r w:rsidRPr="0038628B">
        <w:rPr>
          <w:rFonts w:ascii="Verdana" w:hAnsi="Verdana"/>
          <w:w w:val="110"/>
        </w:rPr>
        <w:t>is</w:t>
      </w:r>
      <w:r w:rsidRPr="0038628B">
        <w:rPr>
          <w:rFonts w:ascii="Verdana" w:hAnsi="Verdana"/>
          <w:spacing w:val="-9"/>
          <w:w w:val="110"/>
        </w:rPr>
        <w:t xml:space="preserve"> </w:t>
      </w:r>
      <w:r w:rsidRPr="0038628B">
        <w:rPr>
          <w:rFonts w:ascii="Verdana" w:hAnsi="Verdana"/>
          <w:w w:val="110"/>
        </w:rPr>
        <w:t>the</w:t>
      </w:r>
      <w:r w:rsidRPr="0038628B">
        <w:rPr>
          <w:rFonts w:ascii="Verdana" w:hAnsi="Verdana"/>
          <w:spacing w:val="-9"/>
          <w:w w:val="110"/>
        </w:rPr>
        <w:t xml:space="preserve"> </w:t>
      </w:r>
      <w:r w:rsidRPr="0038628B">
        <w:rPr>
          <w:rFonts w:ascii="Verdana" w:hAnsi="Verdana"/>
          <w:w w:val="110"/>
        </w:rPr>
        <w:t>only</w:t>
      </w:r>
      <w:r w:rsidRPr="0038628B">
        <w:rPr>
          <w:rFonts w:ascii="Verdana" w:hAnsi="Verdana"/>
          <w:spacing w:val="-9"/>
          <w:w w:val="110"/>
        </w:rPr>
        <w:t xml:space="preserve"> </w:t>
      </w:r>
      <w:r w:rsidRPr="0038628B">
        <w:rPr>
          <w:rFonts w:ascii="Verdana" w:hAnsi="Verdana"/>
          <w:w w:val="110"/>
        </w:rPr>
        <w:t>country</w:t>
      </w:r>
      <w:r w:rsidRPr="0038628B">
        <w:rPr>
          <w:rFonts w:ascii="Verdana" w:hAnsi="Verdana"/>
          <w:spacing w:val="-9"/>
          <w:w w:val="110"/>
        </w:rPr>
        <w:t xml:space="preserve"> </w:t>
      </w:r>
      <w:r w:rsidRPr="0038628B">
        <w:rPr>
          <w:rFonts w:ascii="Verdana" w:hAnsi="Verdana"/>
          <w:w w:val="110"/>
        </w:rPr>
        <w:t>in</w:t>
      </w:r>
      <w:r w:rsidRPr="0038628B">
        <w:rPr>
          <w:rFonts w:ascii="Verdana" w:hAnsi="Verdana"/>
          <w:spacing w:val="-9"/>
          <w:w w:val="110"/>
        </w:rPr>
        <w:t xml:space="preserve"> </w:t>
      </w:r>
      <w:r w:rsidRPr="0038628B">
        <w:rPr>
          <w:rFonts w:ascii="Verdana" w:hAnsi="Verdana"/>
          <w:w w:val="110"/>
        </w:rPr>
        <w:t>the</w:t>
      </w:r>
      <w:r w:rsidRPr="0038628B">
        <w:rPr>
          <w:rFonts w:ascii="Verdana" w:hAnsi="Verdana"/>
          <w:spacing w:val="-9"/>
          <w:w w:val="110"/>
        </w:rPr>
        <w:t xml:space="preserve"> </w:t>
      </w:r>
      <w:r w:rsidRPr="0038628B">
        <w:rPr>
          <w:rFonts w:ascii="Verdana" w:hAnsi="Verdana"/>
          <w:w w:val="110"/>
        </w:rPr>
        <w:t>world to</w:t>
      </w:r>
      <w:r w:rsidRPr="0038628B">
        <w:rPr>
          <w:rFonts w:ascii="Verdana" w:hAnsi="Verdana"/>
          <w:spacing w:val="-8"/>
          <w:w w:val="110"/>
        </w:rPr>
        <w:t xml:space="preserve"> </w:t>
      </w:r>
      <w:r w:rsidRPr="0038628B">
        <w:rPr>
          <w:rFonts w:ascii="Verdana" w:hAnsi="Verdana"/>
          <w:w w:val="110"/>
        </w:rPr>
        <w:t>take</w:t>
      </w:r>
      <w:r w:rsidRPr="0038628B">
        <w:rPr>
          <w:rFonts w:ascii="Verdana" w:hAnsi="Verdana"/>
          <w:spacing w:val="-8"/>
          <w:w w:val="110"/>
        </w:rPr>
        <w:t xml:space="preserve"> </w:t>
      </w:r>
      <w:r w:rsidRPr="0038628B">
        <w:rPr>
          <w:rFonts w:ascii="Verdana" w:hAnsi="Verdana"/>
          <w:w w:val="110"/>
        </w:rPr>
        <w:t>the</w:t>
      </w:r>
      <w:r w:rsidRPr="0038628B">
        <w:rPr>
          <w:rFonts w:ascii="Verdana" w:hAnsi="Verdana"/>
          <w:spacing w:val="-8"/>
          <w:w w:val="110"/>
        </w:rPr>
        <w:t xml:space="preserve"> </w:t>
      </w:r>
      <w:r w:rsidRPr="0038628B">
        <w:rPr>
          <w:rFonts w:ascii="Verdana" w:hAnsi="Verdana"/>
          <w:w w:val="110"/>
        </w:rPr>
        <w:t>‘Dear</w:t>
      </w:r>
      <w:r w:rsidRPr="0038628B">
        <w:rPr>
          <w:rFonts w:ascii="Verdana" w:hAnsi="Verdana"/>
          <w:spacing w:val="-8"/>
          <w:w w:val="110"/>
        </w:rPr>
        <w:t xml:space="preserve"> </w:t>
      </w:r>
      <w:r w:rsidRPr="0038628B">
        <w:rPr>
          <w:rFonts w:ascii="Verdana" w:hAnsi="Verdana"/>
          <w:w w:val="110"/>
        </w:rPr>
        <w:t>CEO’</w:t>
      </w:r>
      <w:r w:rsidRPr="0038628B">
        <w:rPr>
          <w:rFonts w:ascii="Verdana" w:hAnsi="Verdana"/>
          <w:spacing w:val="-8"/>
          <w:w w:val="110"/>
        </w:rPr>
        <w:t xml:space="preserve"> </w:t>
      </w:r>
      <w:r w:rsidRPr="0038628B">
        <w:rPr>
          <w:rFonts w:ascii="Verdana" w:hAnsi="Verdana"/>
          <w:w w:val="110"/>
        </w:rPr>
        <w:t>approach</w:t>
      </w:r>
      <w:r w:rsidRPr="0038628B">
        <w:rPr>
          <w:rFonts w:ascii="Verdana" w:hAnsi="Verdana"/>
          <w:spacing w:val="-8"/>
          <w:w w:val="110"/>
        </w:rPr>
        <w:t xml:space="preserve"> </w:t>
      </w:r>
      <w:r w:rsidRPr="0038628B">
        <w:rPr>
          <w:rFonts w:ascii="Verdana" w:hAnsi="Verdana"/>
          <w:w w:val="110"/>
        </w:rPr>
        <w:t>in</w:t>
      </w:r>
      <w:r w:rsidRPr="0038628B">
        <w:rPr>
          <w:rFonts w:ascii="Verdana" w:hAnsi="Verdana"/>
          <w:spacing w:val="-8"/>
          <w:w w:val="110"/>
        </w:rPr>
        <w:t xml:space="preserve"> </w:t>
      </w:r>
      <w:r w:rsidRPr="0038628B">
        <w:rPr>
          <w:rFonts w:ascii="Verdana" w:hAnsi="Verdana"/>
          <w:w w:val="110"/>
        </w:rPr>
        <w:t>its</w:t>
      </w:r>
      <w:r w:rsidRPr="0038628B">
        <w:rPr>
          <w:rFonts w:ascii="Verdana" w:hAnsi="Verdana"/>
          <w:spacing w:val="-8"/>
          <w:w w:val="110"/>
        </w:rPr>
        <w:t xml:space="preserve"> </w:t>
      </w:r>
      <w:r w:rsidRPr="0038628B">
        <w:rPr>
          <w:rFonts w:ascii="Verdana" w:hAnsi="Verdana"/>
          <w:w w:val="110"/>
        </w:rPr>
        <w:t>entirety:</w:t>
      </w:r>
    </w:p>
    <w:p w:rsidR="00FF7EEB" w:rsidRPr="0038628B">
      <w:pPr>
        <w:pStyle w:val="BodyText"/>
        <w:rPr>
          <w:rFonts w:ascii="Verdana" w:hAnsi="Verdana"/>
          <w:sz w:val="20"/>
        </w:rPr>
      </w:pPr>
    </w:p>
    <w:p w:rsidR="00FF7EEB" w:rsidRPr="0038628B">
      <w:pPr>
        <w:pStyle w:val="BodyText"/>
        <w:rPr>
          <w:rFonts w:ascii="Verdana" w:hAnsi="Verdana"/>
          <w:sz w:val="20"/>
        </w:rPr>
      </w:pPr>
    </w:p>
    <w:p w:rsidR="00FF7EEB" w:rsidRPr="0038628B">
      <w:pPr>
        <w:pStyle w:val="BodyText"/>
        <w:rPr>
          <w:rFonts w:ascii="Verdana" w:hAnsi="Verdana"/>
          <w:sz w:val="20"/>
        </w:rPr>
      </w:pPr>
    </w:p>
    <w:p w:rsidR="00FF7EEB" w:rsidRPr="0038628B">
      <w:pPr>
        <w:pStyle w:val="BodyText"/>
        <w:rPr>
          <w:rFonts w:ascii="Verdana" w:hAnsi="Verdana"/>
          <w:sz w:val="20"/>
        </w:rPr>
      </w:pPr>
    </w:p>
    <w:p w:rsidR="00FF7EEB" w:rsidRPr="0038628B">
      <w:pPr>
        <w:pStyle w:val="BodyText"/>
        <w:rPr>
          <w:rFonts w:ascii="Verdana" w:hAnsi="Verdana"/>
          <w:sz w:val="20"/>
        </w:rPr>
      </w:pPr>
    </w:p>
    <w:p w:rsidR="00FF7EEB" w:rsidRPr="0038628B">
      <w:pPr>
        <w:pStyle w:val="BodyText"/>
        <w:rPr>
          <w:rFonts w:ascii="Verdana" w:hAnsi="Verdana"/>
          <w:sz w:val="20"/>
        </w:rPr>
      </w:pPr>
    </w:p>
    <w:p w:rsidR="00FF7EEB" w:rsidRPr="0038628B">
      <w:pPr>
        <w:pStyle w:val="BodyText"/>
        <w:rPr>
          <w:rFonts w:ascii="Verdana" w:hAnsi="Verdana"/>
          <w:sz w:val="20"/>
        </w:rPr>
      </w:pPr>
    </w:p>
    <w:p w:rsidR="00FF7EEB" w:rsidRPr="0038628B">
      <w:pPr>
        <w:pStyle w:val="BodyText"/>
        <w:rPr>
          <w:rFonts w:ascii="Verdana" w:hAnsi="Verdana"/>
          <w:sz w:val="20"/>
        </w:rPr>
      </w:pPr>
    </w:p>
    <w:p w:rsidR="00FF7EEB" w:rsidRPr="0038628B">
      <w:pPr>
        <w:pStyle w:val="BodyText"/>
        <w:spacing w:before="3"/>
        <w:rPr>
          <w:rFonts w:ascii="Verdana" w:hAnsi="Verdana"/>
          <w:sz w:val="20"/>
        </w:rPr>
      </w:pPr>
      <w:r w:rsidRPr="0038628B">
        <w:rPr>
          <w:rFonts w:ascii="Verdana" w:hAnsi="Verdana"/>
          <w:noProof/>
          <w:sz w:val="20"/>
        </w:rPr>
        <mc:AlternateContent>
          <mc:Choice Requires="wps">
            <w:drawing>
              <wp:anchor distT="0" distB="0" distL="0" distR="0" simplePos="0" relativeHeight="251658240" behindDoc="1" locked="0" layoutInCell="1" allowOverlap="1">
                <wp:simplePos x="0" y="0"/>
                <wp:positionH relativeFrom="page">
                  <wp:posOffset>914400</wp:posOffset>
                </wp:positionH>
                <wp:positionV relativeFrom="paragraph">
                  <wp:posOffset>190572</wp:posOffset>
                </wp:positionV>
                <wp:extent cx="1828800" cy="1270"/>
                <wp:effectExtent l="0" t="0" r="0" b="0"/>
                <wp:wrapTopAndBottom/>
                <wp:docPr id="2" name="Graphic 2"/>
                <wp:cNvGraphicFramePr/>
                <a:graphic xmlns:a="http://schemas.openxmlformats.org/drawingml/2006/main">
                  <a:graphicData uri="http://schemas.microsoft.com/office/word/2010/wordprocessingShape">
                    <wps:wsp xmlns:wps="http://schemas.microsoft.com/office/word/2010/wordprocessingShape">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 o:spid="_x0000_s1025" style="height:0.1pt;margin-left:1in;margin-top:15pt;mso-position-horizontal-relative:page;mso-wrap-distance-bottom:0;mso-wrap-distance-left:0;mso-wrap-distance-right:0;mso-wrap-distance-top:0;mso-wrap-style:square;position:absolute;v-text-anchor:top;visibility:visible;width:2in;z-index:-251657216" coordsize="1828800,1270" path="m,l1828800,e" filled="f">
                <v:path arrowok="t"/>
                <w10:wrap type="topAndBottom"/>
              </v:shape>
            </w:pict>
          </mc:Fallback>
        </mc:AlternateContent>
      </w:r>
    </w:p>
    <w:p w:rsidR="00FF7EEB" w:rsidRPr="0038628B">
      <w:pPr>
        <w:spacing w:before="97"/>
        <w:ind w:left="23"/>
        <w:rPr>
          <w:rFonts w:ascii="Verdana" w:hAnsi="Verdana"/>
          <w:sz w:val="12"/>
        </w:rPr>
      </w:pPr>
      <w:r w:rsidRPr="0038628B">
        <w:rPr>
          <w:rFonts w:ascii="Verdana" w:hAnsi="Verdana"/>
          <w:spacing w:val="-10"/>
          <w:sz w:val="12"/>
        </w:rPr>
        <w:t>1</w:t>
      </w:r>
    </w:p>
    <w:p w:rsidR="00FF7EEB" w:rsidRPr="0038628B">
      <w:pPr>
        <w:spacing w:before="93"/>
        <w:ind w:left="23" w:right="49"/>
        <w:rPr>
          <w:rFonts w:ascii="Verdana" w:hAnsi="Verdana"/>
          <w:sz w:val="20"/>
        </w:rPr>
      </w:pPr>
      <w:r>
        <w:fldChar w:fldCharType="begin"/>
      </w:r>
      <w:r>
        <w:instrText xml:space="preserve"> HYPERLINK "https://www.bankofengland.co.uk/-/media/boe/files/prudential-regulation/letter/2023/november/innovations-in-the-use-of-deposits-emoney-and-regulated-stablecoins.pdf" </w:instrText>
      </w:r>
      <w:r>
        <w:fldChar w:fldCharType="separate"/>
      </w:r>
      <w:r w:rsidRPr="0038628B">
        <w:rPr>
          <w:rFonts w:ascii="Verdana" w:hAnsi="Verdana"/>
          <w:color w:val="1154CC"/>
          <w:spacing w:val="-2"/>
          <w:sz w:val="20"/>
          <w:u w:val="thick" w:color="1154CC"/>
        </w:rPr>
        <w:t>https://www.bankofengland.co.uk/-/media/boe/files/prudential-regulation/letter/2023/november/innovati</w:t>
      </w:r>
      <w:r>
        <w:fldChar w:fldCharType="end"/>
      </w:r>
      <w:r w:rsidRPr="0038628B">
        <w:rPr>
          <w:rFonts w:ascii="Verdana" w:hAnsi="Verdana"/>
          <w:color w:val="1154CC"/>
          <w:spacing w:val="-2"/>
          <w:sz w:val="20"/>
        </w:rPr>
        <w:t xml:space="preserve"> </w:t>
      </w:r>
      <w:r>
        <w:fldChar w:fldCharType="begin"/>
      </w:r>
      <w:r>
        <w:instrText xml:space="preserve"> HYPERLINK "https://www.bankofengland.co.uk/-/media/boe/files/prudential-regulation/letter/2023/november/innovations-in-the-use-of-deposits-emoney-and-regulated-stablecoins.pdf" </w:instrText>
      </w:r>
      <w:r>
        <w:fldChar w:fldCharType="separate"/>
      </w:r>
      <w:r w:rsidRPr="0038628B">
        <w:rPr>
          <w:rFonts w:ascii="Verdana" w:hAnsi="Verdana"/>
          <w:color w:val="1154CC"/>
          <w:spacing w:val="-2"/>
          <w:sz w:val="20"/>
          <w:u w:val="thick" w:color="1154CC"/>
        </w:rPr>
        <w:t>ons-in-the-use-of-deposits-emoney-and-regulated-stablecoins.pdf</w:t>
      </w:r>
      <w:r>
        <w:fldChar w:fldCharType="end"/>
      </w:r>
    </w:p>
    <w:p w:rsidR="00FF7EEB" w:rsidRPr="0038628B">
      <w:pPr>
        <w:rPr>
          <w:rFonts w:ascii="Verdana" w:hAnsi="Verdana"/>
          <w:sz w:val="20"/>
        </w:rPr>
        <w:sectPr>
          <w:pgSz w:w="11920" w:h="16840"/>
          <w:pgMar w:top="1780" w:right="1417" w:bottom="980" w:left="1417" w:header="0" w:footer="799" w:gutter="0"/>
          <w:cols w:space="720"/>
        </w:sectPr>
      </w:pPr>
    </w:p>
    <w:p w:rsidR="00FF7EEB" w:rsidRPr="0038628B">
      <w:pPr>
        <w:pStyle w:val="BodyText"/>
        <w:spacing w:before="2"/>
        <w:rPr>
          <w:rFonts w:ascii="Verdana" w:hAnsi="Verdana"/>
          <w:sz w:val="3"/>
        </w:rPr>
      </w:pPr>
    </w:p>
    <w:tbl>
      <w:tblPr>
        <w:tblW w:w="0" w:type="auto"/>
        <w:tblInd w:w="85" w:type="dxa"/>
        <w:tblLayout w:type="fixed"/>
        <w:tblCellMar>
          <w:left w:w="0" w:type="dxa"/>
          <w:right w:w="0" w:type="dxa"/>
        </w:tblCellMar>
        <w:tblLook w:val="01E0"/>
      </w:tblPr>
      <w:tblGrid>
        <w:gridCol w:w="1502"/>
        <w:gridCol w:w="2402"/>
        <w:gridCol w:w="3140"/>
        <w:gridCol w:w="1402"/>
      </w:tblGrid>
      <w:tr>
        <w:tblPrEx>
          <w:tblW w:w="0" w:type="auto"/>
          <w:tblInd w:w="85" w:type="dxa"/>
          <w:tblLayout w:type="fixed"/>
          <w:tblCellMar>
            <w:left w:w="0" w:type="dxa"/>
            <w:right w:w="0" w:type="dxa"/>
          </w:tblCellMar>
          <w:tblLook w:val="01E0"/>
        </w:tblPrEx>
        <w:trPr>
          <w:trHeight w:val="660"/>
        </w:trPr>
        <w:tc>
          <w:tcPr>
            <w:tcW w:w="1502" w:type="dxa"/>
          </w:tcPr>
          <w:p w:rsidR="00FF7EEB" w:rsidRPr="0038628B">
            <w:pPr>
              <w:pStyle w:val="TableParagraph"/>
              <w:spacing w:before="0" w:line="246" w:lineRule="exact"/>
              <w:ind w:left="117"/>
              <w:rPr>
                <w:rFonts w:ascii="Verdana" w:hAnsi="Verdana"/>
                <w:b/>
              </w:rPr>
            </w:pPr>
            <w:r w:rsidRPr="0038628B">
              <w:rPr>
                <w:rFonts w:ascii="Verdana" w:hAnsi="Verdana"/>
                <w:b/>
                <w:spacing w:val="-2"/>
              </w:rPr>
              <w:t>Jurisdiction</w:t>
            </w:r>
          </w:p>
        </w:tc>
        <w:tc>
          <w:tcPr>
            <w:tcW w:w="2402" w:type="dxa"/>
          </w:tcPr>
          <w:p w:rsidR="00FF7EEB" w:rsidRPr="0038628B">
            <w:pPr>
              <w:pStyle w:val="TableParagraph"/>
              <w:spacing w:before="0" w:line="276" w:lineRule="auto"/>
              <w:ind w:left="138" w:right="694"/>
              <w:rPr>
                <w:rFonts w:ascii="Verdana" w:hAnsi="Verdana"/>
                <w:b/>
              </w:rPr>
            </w:pPr>
            <w:r w:rsidRPr="0038628B">
              <w:rPr>
                <w:rFonts w:ascii="Verdana" w:hAnsi="Verdana"/>
                <w:b/>
              </w:rPr>
              <w:t>Separate</w:t>
            </w:r>
            <w:r w:rsidRPr="0038628B">
              <w:rPr>
                <w:rFonts w:ascii="Verdana" w:hAnsi="Verdana"/>
                <w:b/>
                <w:spacing w:val="-16"/>
              </w:rPr>
              <w:t xml:space="preserve"> </w:t>
            </w:r>
            <w:r w:rsidRPr="0038628B">
              <w:rPr>
                <w:rFonts w:ascii="Verdana" w:hAnsi="Verdana"/>
                <w:b/>
              </w:rPr>
              <w:t xml:space="preserve">Legal </w:t>
            </w:r>
            <w:r w:rsidRPr="0038628B">
              <w:rPr>
                <w:rFonts w:ascii="Verdana" w:hAnsi="Verdana"/>
                <w:b/>
                <w:spacing w:val="-2"/>
              </w:rPr>
              <w:t>Entity?</w:t>
            </w:r>
          </w:p>
        </w:tc>
        <w:tc>
          <w:tcPr>
            <w:tcW w:w="3140" w:type="dxa"/>
          </w:tcPr>
          <w:p w:rsidR="00FF7EEB" w:rsidRPr="0038628B">
            <w:pPr>
              <w:pStyle w:val="TableParagraph"/>
              <w:spacing w:before="0" w:line="246" w:lineRule="exact"/>
              <w:ind w:left="151"/>
              <w:rPr>
                <w:rFonts w:ascii="Verdana" w:hAnsi="Verdana"/>
                <w:b/>
              </w:rPr>
            </w:pPr>
            <w:r w:rsidRPr="0038628B">
              <w:rPr>
                <w:rFonts w:ascii="Verdana" w:hAnsi="Verdana"/>
                <w:b/>
                <w:spacing w:val="-2"/>
              </w:rPr>
              <w:t>Insolvency-Remote?</w:t>
            </w:r>
          </w:p>
        </w:tc>
        <w:tc>
          <w:tcPr>
            <w:tcW w:w="1402" w:type="dxa"/>
          </w:tcPr>
          <w:p w:rsidR="00FF7EEB" w:rsidRPr="0038628B">
            <w:pPr>
              <w:pStyle w:val="TableParagraph"/>
              <w:spacing w:before="0" w:line="276" w:lineRule="auto"/>
              <w:ind w:left="251"/>
              <w:rPr>
                <w:rFonts w:ascii="Verdana" w:hAnsi="Verdana"/>
                <w:b/>
              </w:rPr>
            </w:pPr>
            <w:r w:rsidRPr="0038628B">
              <w:rPr>
                <w:rFonts w:ascii="Verdana" w:hAnsi="Verdana"/>
                <w:b/>
                <w:spacing w:val="-2"/>
              </w:rPr>
              <w:t>Separate Branding?</w:t>
            </w:r>
          </w:p>
        </w:tc>
      </w:tr>
      <w:tr>
        <w:tblPrEx>
          <w:tblW w:w="0" w:type="auto"/>
          <w:tblInd w:w="85" w:type="dxa"/>
          <w:tblLayout w:type="fixed"/>
          <w:tblCellMar>
            <w:left w:w="0" w:type="dxa"/>
            <w:right w:w="0" w:type="dxa"/>
          </w:tblCellMar>
          <w:tblLook w:val="01E0"/>
        </w:tblPrEx>
        <w:trPr>
          <w:trHeight w:val="697"/>
        </w:trPr>
        <w:tc>
          <w:tcPr>
            <w:tcW w:w="1502" w:type="dxa"/>
          </w:tcPr>
          <w:p w:rsidR="00FF7EEB" w:rsidRPr="0038628B">
            <w:pPr>
              <w:pStyle w:val="TableParagraph"/>
              <w:spacing w:before="124"/>
              <w:rPr>
                <w:rFonts w:ascii="Verdana" w:hAnsi="Verdana"/>
                <w:b/>
              </w:rPr>
            </w:pPr>
            <w:r w:rsidRPr="0038628B">
              <w:rPr>
                <w:rFonts w:ascii="Verdana" w:hAnsi="Verdana"/>
                <w:b/>
                <w:spacing w:val="-5"/>
              </w:rPr>
              <w:t>UK</w:t>
            </w:r>
          </w:p>
        </w:tc>
        <w:tc>
          <w:tcPr>
            <w:tcW w:w="2402" w:type="dxa"/>
          </w:tcPr>
          <w:p w:rsidR="00FF7EEB" w:rsidRPr="0038628B">
            <w:pPr>
              <w:pStyle w:val="TableParagraph"/>
              <w:spacing w:before="49"/>
              <w:ind w:left="138"/>
              <w:rPr>
                <w:rFonts w:ascii="Verdana" w:hAnsi="Verdana"/>
              </w:rPr>
            </w:pPr>
            <w:r w:rsidRPr="0038628B">
              <w:rPr>
                <w:rFonts w:ascii="Segoe UI Emoji" w:hAnsi="Segoe UI Emoji" w:cs="Segoe UI Emoji"/>
                <w:w w:val="105"/>
                <w:sz w:val="26"/>
              </w:rPr>
              <w:t>✅</w:t>
            </w:r>
            <w:r w:rsidRPr="0038628B">
              <w:rPr>
                <w:rFonts w:ascii="Verdana" w:hAnsi="Verdana"/>
                <w:spacing w:val="-15"/>
                <w:w w:val="105"/>
                <w:sz w:val="26"/>
              </w:rPr>
              <w:t xml:space="preserve"> </w:t>
            </w:r>
            <w:r w:rsidRPr="0038628B">
              <w:rPr>
                <w:rFonts w:ascii="Verdana" w:hAnsi="Verdana"/>
                <w:spacing w:val="-5"/>
                <w:w w:val="105"/>
              </w:rPr>
              <w:t>Yes</w:t>
            </w:r>
          </w:p>
        </w:tc>
        <w:tc>
          <w:tcPr>
            <w:tcW w:w="3140" w:type="dxa"/>
          </w:tcPr>
          <w:p w:rsidR="00FF7EEB" w:rsidRPr="0038628B">
            <w:pPr>
              <w:pStyle w:val="TableParagraph"/>
              <w:spacing w:before="49"/>
              <w:ind w:left="151"/>
              <w:rPr>
                <w:rFonts w:ascii="Verdana" w:hAnsi="Verdana"/>
              </w:rPr>
            </w:pPr>
            <w:r w:rsidRPr="0038628B">
              <w:rPr>
                <w:rFonts w:ascii="Segoe UI Emoji" w:hAnsi="Segoe UI Emoji" w:cs="Segoe UI Emoji"/>
                <w:w w:val="105"/>
                <w:sz w:val="26"/>
              </w:rPr>
              <w:t>✅</w:t>
            </w:r>
            <w:r w:rsidRPr="0038628B">
              <w:rPr>
                <w:rFonts w:ascii="Verdana" w:hAnsi="Verdana"/>
                <w:spacing w:val="-15"/>
                <w:w w:val="105"/>
                <w:sz w:val="26"/>
              </w:rPr>
              <w:t xml:space="preserve"> </w:t>
            </w:r>
            <w:r w:rsidRPr="0038628B">
              <w:rPr>
                <w:rFonts w:ascii="Verdana" w:hAnsi="Verdana"/>
                <w:spacing w:val="-5"/>
                <w:w w:val="105"/>
              </w:rPr>
              <w:t>Yes</w:t>
            </w:r>
          </w:p>
        </w:tc>
        <w:tc>
          <w:tcPr>
            <w:tcW w:w="1402" w:type="dxa"/>
          </w:tcPr>
          <w:p w:rsidR="00FF7EEB" w:rsidRPr="0038628B">
            <w:pPr>
              <w:pStyle w:val="TableParagraph"/>
              <w:spacing w:before="49"/>
              <w:ind w:left="251"/>
              <w:rPr>
                <w:rFonts w:ascii="Verdana" w:hAnsi="Verdana"/>
              </w:rPr>
            </w:pPr>
            <w:r w:rsidRPr="0038628B">
              <w:rPr>
                <w:rFonts w:ascii="Segoe UI Emoji" w:hAnsi="Segoe UI Emoji" w:cs="Segoe UI Emoji"/>
                <w:w w:val="105"/>
                <w:sz w:val="26"/>
              </w:rPr>
              <w:t>✅</w:t>
            </w:r>
            <w:r w:rsidRPr="0038628B">
              <w:rPr>
                <w:rFonts w:ascii="Verdana" w:hAnsi="Verdana"/>
                <w:spacing w:val="-15"/>
                <w:w w:val="105"/>
                <w:sz w:val="26"/>
              </w:rPr>
              <w:t xml:space="preserve"> </w:t>
            </w:r>
            <w:r w:rsidRPr="0038628B">
              <w:rPr>
                <w:rFonts w:ascii="Verdana" w:hAnsi="Verdana"/>
                <w:spacing w:val="-5"/>
                <w:w w:val="105"/>
              </w:rPr>
              <w:t>Yes</w:t>
            </w:r>
          </w:p>
        </w:tc>
      </w:tr>
      <w:tr>
        <w:tblPrEx>
          <w:tblW w:w="0" w:type="auto"/>
          <w:tblInd w:w="85" w:type="dxa"/>
          <w:tblLayout w:type="fixed"/>
          <w:tblCellMar>
            <w:left w:w="0" w:type="dxa"/>
            <w:right w:w="0" w:type="dxa"/>
          </w:tblCellMar>
          <w:tblLook w:val="01E0"/>
        </w:tblPrEx>
        <w:trPr>
          <w:trHeight w:val="988"/>
        </w:trPr>
        <w:tc>
          <w:tcPr>
            <w:tcW w:w="1502" w:type="dxa"/>
          </w:tcPr>
          <w:p w:rsidR="00FF7EEB" w:rsidRPr="0038628B">
            <w:pPr>
              <w:pStyle w:val="TableParagraph"/>
              <w:spacing w:before="58"/>
              <w:ind w:left="0"/>
              <w:rPr>
                <w:rFonts w:ascii="Verdana" w:hAnsi="Verdana"/>
              </w:rPr>
            </w:pPr>
          </w:p>
          <w:p w:rsidR="00FF7EEB" w:rsidRPr="0038628B">
            <w:pPr>
              <w:pStyle w:val="TableParagraph"/>
              <w:spacing w:before="0"/>
              <w:rPr>
                <w:rFonts w:ascii="Verdana" w:hAnsi="Verdana"/>
                <w:b/>
              </w:rPr>
            </w:pPr>
            <w:r w:rsidRPr="0038628B">
              <w:rPr>
                <w:rFonts w:ascii="Verdana" w:hAnsi="Verdana"/>
                <w:b/>
                <w:spacing w:val="-5"/>
              </w:rPr>
              <w:t>USA</w:t>
            </w:r>
          </w:p>
        </w:tc>
        <w:tc>
          <w:tcPr>
            <w:tcW w:w="2402" w:type="dxa"/>
          </w:tcPr>
          <w:p w:rsidR="00FF7EEB" w:rsidRPr="0038628B">
            <w:pPr>
              <w:pStyle w:val="TableParagraph"/>
              <w:spacing w:before="237" w:line="254" w:lineRule="auto"/>
              <w:ind w:left="138"/>
              <w:rPr>
                <w:rFonts w:ascii="Verdana" w:hAnsi="Verdana"/>
              </w:rPr>
            </w:pPr>
            <w:r w:rsidRPr="0038628B">
              <w:rPr>
                <w:rFonts w:ascii="Segoe UI Emoji" w:hAnsi="Segoe UI Emoji" w:cs="Segoe UI Emoji"/>
                <w:sz w:val="26"/>
              </w:rPr>
              <w:t>✅</w:t>
            </w:r>
            <w:r w:rsidRPr="0038628B">
              <w:rPr>
                <w:rFonts w:ascii="Verdana" w:hAnsi="Verdana"/>
                <w:spacing w:val="-18"/>
                <w:sz w:val="26"/>
              </w:rPr>
              <w:t xml:space="preserve"> </w:t>
            </w:r>
            <w:r w:rsidRPr="0038628B">
              <w:rPr>
                <w:rFonts w:ascii="Verdana" w:hAnsi="Verdana"/>
              </w:rPr>
              <w:t>Yes</w:t>
            </w:r>
            <w:r w:rsidRPr="0038628B">
              <w:rPr>
                <w:rFonts w:ascii="Verdana" w:hAnsi="Verdana"/>
                <w:spacing w:val="-16"/>
              </w:rPr>
              <w:t xml:space="preserve"> </w:t>
            </w:r>
            <w:r w:rsidRPr="0038628B">
              <w:rPr>
                <w:rFonts w:ascii="Verdana" w:hAnsi="Verdana"/>
              </w:rPr>
              <w:t>(GENIUS</w:t>
            </w:r>
            <w:r w:rsidRPr="0038628B">
              <w:rPr>
                <w:rFonts w:ascii="Verdana" w:hAnsi="Verdana"/>
                <w:spacing w:val="-15"/>
              </w:rPr>
              <w:t xml:space="preserve"> </w:t>
            </w:r>
            <w:r w:rsidRPr="0038628B">
              <w:rPr>
                <w:rFonts w:ascii="Verdana" w:hAnsi="Verdana"/>
              </w:rPr>
              <w:t xml:space="preserve">Act, </w:t>
            </w:r>
            <w:r w:rsidRPr="0038628B">
              <w:rPr>
                <w:rFonts w:ascii="Verdana" w:hAnsi="Verdana"/>
                <w:spacing w:val="-2"/>
              </w:rPr>
              <w:t>2025)</w:t>
            </w:r>
          </w:p>
        </w:tc>
        <w:tc>
          <w:tcPr>
            <w:tcW w:w="3140" w:type="dxa"/>
          </w:tcPr>
          <w:p w:rsidR="00FF7EEB" w:rsidRPr="0038628B">
            <w:pPr>
              <w:pStyle w:val="TableParagraph"/>
              <w:spacing w:before="237" w:line="254" w:lineRule="auto"/>
              <w:ind w:left="151"/>
              <w:rPr>
                <w:rFonts w:ascii="Verdana" w:hAnsi="Verdana"/>
              </w:rPr>
            </w:pPr>
            <w:r w:rsidRPr="0038628B">
              <w:rPr>
                <w:rFonts w:ascii="Segoe UI Emoji" w:hAnsi="Segoe UI Emoji" w:cs="Segoe UI Emoji"/>
                <w:sz w:val="26"/>
              </w:rPr>
              <w:t>✅</w:t>
            </w:r>
            <w:r w:rsidRPr="0038628B">
              <w:rPr>
                <w:rFonts w:ascii="Verdana" w:hAnsi="Verdana"/>
                <w:spacing w:val="-18"/>
                <w:sz w:val="26"/>
              </w:rPr>
              <w:t xml:space="preserve"> </w:t>
            </w:r>
            <w:r w:rsidRPr="0038628B">
              <w:rPr>
                <w:rFonts w:ascii="Verdana" w:hAnsi="Verdana"/>
              </w:rPr>
              <w:t>Yes</w:t>
            </w:r>
            <w:r w:rsidRPr="0038628B">
              <w:rPr>
                <w:rFonts w:ascii="Verdana" w:hAnsi="Verdana"/>
                <w:spacing w:val="-15"/>
              </w:rPr>
              <w:t xml:space="preserve"> </w:t>
            </w:r>
            <w:r w:rsidRPr="0038628B">
              <w:rPr>
                <w:rFonts w:ascii="Verdana" w:hAnsi="Verdana"/>
              </w:rPr>
              <w:t>(implied</w:t>
            </w:r>
            <w:r w:rsidRPr="0038628B">
              <w:rPr>
                <w:rFonts w:ascii="Verdana" w:hAnsi="Verdana"/>
                <w:spacing w:val="-12"/>
              </w:rPr>
              <w:t xml:space="preserve"> </w:t>
            </w:r>
            <w:r w:rsidRPr="0038628B">
              <w:rPr>
                <w:rFonts w:ascii="Verdana" w:hAnsi="Verdana"/>
              </w:rPr>
              <w:t>by</w:t>
            </w:r>
            <w:r w:rsidRPr="0038628B">
              <w:rPr>
                <w:rFonts w:ascii="Verdana" w:hAnsi="Verdana"/>
                <w:spacing w:val="-12"/>
              </w:rPr>
              <w:t xml:space="preserve"> </w:t>
            </w:r>
            <w:r w:rsidRPr="0038628B">
              <w:rPr>
                <w:rFonts w:ascii="Verdana" w:hAnsi="Verdana"/>
              </w:rPr>
              <w:t>separate balance sheet)</w:t>
            </w:r>
          </w:p>
        </w:tc>
        <w:tc>
          <w:tcPr>
            <w:tcW w:w="1402" w:type="dxa"/>
          </w:tcPr>
          <w:p w:rsidR="00FF7EEB" w:rsidRPr="0038628B">
            <w:pPr>
              <w:pStyle w:val="TableParagraph"/>
              <w:spacing w:before="237"/>
              <w:ind w:left="251"/>
              <w:rPr>
                <w:rFonts w:ascii="Verdana" w:hAnsi="Verdana"/>
              </w:rPr>
            </w:pPr>
            <w:r w:rsidRPr="0038628B">
              <w:rPr>
                <w:rFonts w:ascii="Segoe UI Emoji" w:hAnsi="Segoe UI Emoji" w:cs="Segoe UI Emoji"/>
                <w:w w:val="105"/>
                <w:sz w:val="26"/>
              </w:rPr>
              <w:t>❌</w:t>
            </w:r>
            <w:r w:rsidRPr="0038628B">
              <w:rPr>
                <w:rFonts w:ascii="Verdana" w:hAnsi="Verdana"/>
                <w:spacing w:val="-15"/>
                <w:w w:val="105"/>
                <w:sz w:val="26"/>
              </w:rPr>
              <w:t xml:space="preserve"> </w:t>
            </w:r>
            <w:r w:rsidRPr="0038628B">
              <w:rPr>
                <w:rFonts w:ascii="Verdana" w:hAnsi="Verdana"/>
                <w:spacing w:val="-5"/>
                <w:w w:val="105"/>
              </w:rPr>
              <w:t>No</w:t>
            </w:r>
          </w:p>
        </w:tc>
      </w:tr>
      <w:tr>
        <w:tblPrEx>
          <w:tblW w:w="0" w:type="auto"/>
          <w:tblInd w:w="85" w:type="dxa"/>
          <w:tblLayout w:type="fixed"/>
          <w:tblCellMar>
            <w:left w:w="0" w:type="dxa"/>
            <w:right w:w="0" w:type="dxa"/>
          </w:tblCellMar>
          <w:tblLook w:val="01E0"/>
        </w:tblPrEx>
        <w:trPr>
          <w:trHeight w:val="533"/>
        </w:trPr>
        <w:tc>
          <w:tcPr>
            <w:tcW w:w="1502" w:type="dxa"/>
          </w:tcPr>
          <w:p w:rsidR="00FF7EEB" w:rsidRPr="0038628B">
            <w:pPr>
              <w:pStyle w:val="TableParagraph"/>
              <w:spacing w:before="133"/>
              <w:rPr>
                <w:rFonts w:ascii="Verdana" w:hAnsi="Verdana"/>
                <w:b/>
              </w:rPr>
            </w:pPr>
            <w:r w:rsidRPr="0038628B">
              <w:rPr>
                <w:rFonts w:ascii="Verdana" w:hAnsi="Verdana"/>
                <w:b/>
                <w:spacing w:val="-5"/>
              </w:rPr>
              <w:t>EU</w:t>
            </w:r>
          </w:p>
        </w:tc>
        <w:tc>
          <w:tcPr>
            <w:tcW w:w="2402" w:type="dxa"/>
          </w:tcPr>
          <w:p w:rsidR="00FF7EEB" w:rsidRPr="0038628B">
            <w:pPr>
              <w:pStyle w:val="TableParagraph"/>
              <w:spacing w:before="58"/>
              <w:ind w:left="138"/>
              <w:rPr>
                <w:rFonts w:ascii="Verdana" w:hAnsi="Verdana"/>
              </w:rPr>
            </w:pPr>
            <w:r w:rsidRPr="0038628B">
              <w:rPr>
                <w:rFonts w:ascii="Segoe UI Emoji" w:hAnsi="Segoe UI Emoji" w:cs="Segoe UI Emoji"/>
                <w:w w:val="105"/>
                <w:sz w:val="26"/>
              </w:rPr>
              <w:t>❌</w:t>
            </w:r>
            <w:r w:rsidRPr="0038628B">
              <w:rPr>
                <w:rFonts w:ascii="Verdana" w:hAnsi="Verdana"/>
                <w:spacing w:val="-15"/>
                <w:w w:val="105"/>
                <w:sz w:val="26"/>
              </w:rPr>
              <w:t xml:space="preserve"> </w:t>
            </w:r>
            <w:r w:rsidRPr="0038628B">
              <w:rPr>
                <w:rFonts w:ascii="Verdana" w:hAnsi="Verdana"/>
                <w:spacing w:val="-5"/>
                <w:w w:val="105"/>
              </w:rPr>
              <w:t>No</w:t>
            </w:r>
          </w:p>
        </w:tc>
        <w:tc>
          <w:tcPr>
            <w:tcW w:w="3140" w:type="dxa"/>
          </w:tcPr>
          <w:p w:rsidR="00FF7EEB" w:rsidRPr="0038628B">
            <w:pPr>
              <w:pStyle w:val="TableParagraph"/>
              <w:spacing w:before="58"/>
              <w:ind w:left="151"/>
              <w:rPr>
                <w:rFonts w:ascii="Verdana" w:hAnsi="Verdana"/>
              </w:rPr>
            </w:pPr>
            <w:r w:rsidRPr="0038628B">
              <w:rPr>
                <w:rFonts w:ascii="Segoe UI Emoji" w:hAnsi="Segoe UI Emoji" w:cs="Segoe UI Emoji"/>
                <w:w w:val="105"/>
                <w:sz w:val="26"/>
              </w:rPr>
              <w:t>❌</w:t>
            </w:r>
            <w:r w:rsidRPr="0038628B">
              <w:rPr>
                <w:rFonts w:ascii="Verdana" w:hAnsi="Verdana"/>
                <w:spacing w:val="-15"/>
                <w:w w:val="105"/>
                <w:sz w:val="26"/>
              </w:rPr>
              <w:t xml:space="preserve"> </w:t>
            </w:r>
            <w:r w:rsidRPr="0038628B">
              <w:rPr>
                <w:rFonts w:ascii="Verdana" w:hAnsi="Verdana"/>
                <w:spacing w:val="-5"/>
                <w:w w:val="105"/>
              </w:rPr>
              <w:t>No</w:t>
            </w:r>
          </w:p>
        </w:tc>
        <w:tc>
          <w:tcPr>
            <w:tcW w:w="1402" w:type="dxa"/>
          </w:tcPr>
          <w:p w:rsidR="00FF7EEB" w:rsidRPr="0038628B">
            <w:pPr>
              <w:pStyle w:val="TableParagraph"/>
              <w:spacing w:before="58"/>
              <w:ind w:left="251"/>
              <w:rPr>
                <w:rFonts w:ascii="Verdana" w:hAnsi="Verdana"/>
              </w:rPr>
            </w:pPr>
            <w:r w:rsidRPr="0038628B">
              <w:rPr>
                <w:rFonts w:ascii="Segoe UI Emoji" w:hAnsi="Segoe UI Emoji" w:cs="Segoe UI Emoji"/>
                <w:w w:val="105"/>
                <w:sz w:val="26"/>
              </w:rPr>
              <w:t>❌</w:t>
            </w:r>
            <w:r w:rsidRPr="0038628B">
              <w:rPr>
                <w:rFonts w:ascii="Verdana" w:hAnsi="Verdana"/>
                <w:spacing w:val="-15"/>
                <w:w w:val="105"/>
                <w:sz w:val="26"/>
              </w:rPr>
              <w:t xml:space="preserve"> </w:t>
            </w:r>
            <w:r w:rsidRPr="0038628B">
              <w:rPr>
                <w:rFonts w:ascii="Verdana" w:hAnsi="Verdana"/>
                <w:spacing w:val="-5"/>
                <w:w w:val="105"/>
              </w:rPr>
              <w:t>No</w:t>
            </w:r>
          </w:p>
        </w:tc>
      </w:tr>
      <w:tr>
        <w:tblPrEx>
          <w:tblW w:w="0" w:type="auto"/>
          <w:tblInd w:w="85" w:type="dxa"/>
          <w:tblLayout w:type="fixed"/>
          <w:tblCellMar>
            <w:left w:w="0" w:type="dxa"/>
            <w:right w:w="0" w:type="dxa"/>
          </w:tblCellMar>
          <w:tblLook w:val="01E0"/>
        </w:tblPrEx>
        <w:trPr>
          <w:trHeight w:val="540"/>
        </w:trPr>
        <w:tc>
          <w:tcPr>
            <w:tcW w:w="1502" w:type="dxa"/>
          </w:tcPr>
          <w:p w:rsidR="00FF7EEB" w:rsidRPr="0038628B">
            <w:pPr>
              <w:pStyle w:val="TableParagraph"/>
              <w:spacing w:before="139"/>
              <w:rPr>
                <w:rFonts w:ascii="Verdana" w:hAnsi="Verdana"/>
                <w:b/>
              </w:rPr>
            </w:pPr>
            <w:r w:rsidRPr="0038628B">
              <w:rPr>
                <w:rFonts w:ascii="Verdana" w:hAnsi="Verdana"/>
                <w:b/>
                <w:spacing w:val="-2"/>
              </w:rPr>
              <w:t>Japan</w:t>
            </w:r>
          </w:p>
        </w:tc>
        <w:tc>
          <w:tcPr>
            <w:tcW w:w="2402" w:type="dxa"/>
          </w:tcPr>
          <w:p w:rsidR="00FF7EEB" w:rsidRPr="0038628B">
            <w:pPr>
              <w:pStyle w:val="TableParagraph"/>
              <w:spacing w:before="65"/>
              <w:ind w:left="138"/>
              <w:rPr>
                <w:rFonts w:ascii="Verdana" w:hAnsi="Verdana"/>
              </w:rPr>
            </w:pPr>
            <w:r w:rsidRPr="0038628B">
              <w:rPr>
                <w:rFonts w:ascii="Segoe UI Emoji" w:hAnsi="Segoe UI Emoji" w:cs="Segoe UI Emoji"/>
                <w:w w:val="105"/>
                <w:sz w:val="26"/>
              </w:rPr>
              <w:t>❌</w:t>
            </w:r>
            <w:r w:rsidRPr="0038628B">
              <w:rPr>
                <w:rFonts w:ascii="Verdana" w:hAnsi="Verdana"/>
                <w:spacing w:val="-15"/>
                <w:w w:val="105"/>
                <w:sz w:val="26"/>
              </w:rPr>
              <w:t xml:space="preserve"> </w:t>
            </w:r>
            <w:r w:rsidRPr="0038628B">
              <w:rPr>
                <w:rFonts w:ascii="Verdana" w:hAnsi="Verdana"/>
                <w:spacing w:val="-5"/>
                <w:w w:val="105"/>
              </w:rPr>
              <w:t>No</w:t>
            </w:r>
          </w:p>
        </w:tc>
        <w:tc>
          <w:tcPr>
            <w:tcW w:w="3140" w:type="dxa"/>
          </w:tcPr>
          <w:p w:rsidR="00FF7EEB" w:rsidRPr="0038628B">
            <w:pPr>
              <w:pStyle w:val="TableParagraph"/>
              <w:spacing w:before="65"/>
              <w:ind w:left="151"/>
              <w:rPr>
                <w:rFonts w:ascii="Verdana" w:hAnsi="Verdana"/>
              </w:rPr>
            </w:pPr>
            <w:r w:rsidRPr="0038628B">
              <w:rPr>
                <w:rFonts w:ascii="Segoe UI Emoji" w:hAnsi="Segoe UI Emoji" w:cs="Segoe UI Emoji"/>
                <w:w w:val="105"/>
                <w:sz w:val="26"/>
              </w:rPr>
              <w:t>❌</w:t>
            </w:r>
            <w:r w:rsidRPr="0038628B">
              <w:rPr>
                <w:rFonts w:ascii="Verdana" w:hAnsi="Verdana"/>
                <w:spacing w:val="-15"/>
                <w:w w:val="105"/>
                <w:sz w:val="26"/>
              </w:rPr>
              <w:t xml:space="preserve"> </w:t>
            </w:r>
            <w:r w:rsidRPr="0038628B">
              <w:rPr>
                <w:rFonts w:ascii="Verdana" w:hAnsi="Verdana"/>
                <w:spacing w:val="-5"/>
                <w:w w:val="105"/>
              </w:rPr>
              <w:t>No</w:t>
            </w:r>
          </w:p>
        </w:tc>
        <w:tc>
          <w:tcPr>
            <w:tcW w:w="1402" w:type="dxa"/>
          </w:tcPr>
          <w:p w:rsidR="00FF7EEB" w:rsidRPr="0038628B">
            <w:pPr>
              <w:pStyle w:val="TableParagraph"/>
              <w:spacing w:before="65"/>
              <w:ind w:left="251"/>
              <w:rPr>
                <w:rFonts w:ascii="Verdana" w:hAnsi="Verdana"/>
              </w:rPr>
            </w:pPr>
            <w:r w:rsidRPr="0038628B">
              <w:rPr>
                <w:rFonts w:ascii="Segoe UI Emoji" w:hAnsi="Segoe UI Emoji" w:cs="Segoe UI Emoji"/>
                <w:w w:val="105"/>
                <w:sz w:val="26"/>
              </w:rPr>
              <w:t>❌</w:t>
            </w:r>
            <w:r w:rsidRPr="0038628B">
              <w:rPr>
                <w:rFonts w:ascii="Verdana" w:hAnsi="Verdana"/>
                <w:spacing w:val="-15"/>
                <w:w w:val="105"/>
                <w:sz w:val="26"/>
              </w:rPr>
              <w:t xml:space="preserve"> </w:t>
            </w:r>
            <w:r w:rsidRPr="0038628B">
              <w:rPr>
                <w:rFonts w:ascii="Verdana" w:hAnsi="Verdana"/>
                <w:spacing w:val="-5"/>
                <w:w w:val="105"/>
              </w:rPr>
              <w:t>No</w:t>
            </w:r>
          </w:p>
        </w:tc>
      </w:tr>
      <w:tr>
        <w:tblPrEx>
          <w:tblW w:w="0" w:type="auto"/>
          <w:tblInd w:w="85" w:type="dxa"/>
          <w:tblLayout w:type="fixed"/>
          <w:tblCellMar>
            <w:left w:w="0" w:type="dxa"/>
            <w:right w:w="0" w:type="dxa"/>
          </w:tblCellMar>
          <w:tblLook w:val="01E0"/>
        </w:tblPrEx>
        <w:trPr>
          <w:trHeight w:val="540"/>
        </w:trPr>
        <w:tc>
          <w:tcPr>
            <w:tcW w:w="1502" w:type="dxa"/>
          </w:tcPr>
          <w:p w:rsidR="00FF7EEB" w:rsidRPr="0038628B">
            <w:pPr>
              <w:pStyle w:val="TableParagraph"/>
              <w:spacing w:before="139"/>
              <w:rPr>
                <w:rFonts w:ascii="Verdana" w:hAnsi="Verdana"/>
                <w:b/>
              </w:rPr>
            </w:pPr>
            <w:r w:rsidRPr="0038628B">
              <w:rPr>
                <w:rFonts w:ascii="Verdana" w:hAnsi="Verdana"/>
                <w:b/>
                <w:spacing w:val="-2"/>
              </w:rPr>
              <w:t>Canada</w:t>
            </w:r>
          </w:p>
        </w:tc>
        <w:tc>
          <w:tcPr>
            <w:tcW w:w="2402" w:type="dxa"/>
          </w:tcPr>
          <w:p w:rsidR="00FF7EEB" w:rsidRPr="0038628B">
            <w:pPr>
              <w:pStyle w:val="TableParagraph"/>
              <w:spacing w:before="65"/>
              <w:ind w:left="138"/>
              <w:rPr>
                <w:rFonts w:ascii="Verdana" w:hAnsi="Verdana"/>
              </w:rPr>
            </w:pPr>
            <w:r w:rsidRPr="0038628B">
              <w:rPr>
                <w:rFonts w:ascii="Segoe UI Emoji" w:hAnsi="Segoe UI Emoji" w:cs="Segoe UI Emoji"/>
                <w:w w:val="105"/>
                <w:sz w:val="26"/>
              </w:rPr>
              <w:t>❌</w:t>
            </w:r>
            <w:r w:rsidRPr="0038628B">
              <w:rPr>
                <w:rFonts w:ascii="Verdana" w:hAnsi="Verdana"/>
                <w:spacing w:val="-15"/>
                <w:w w:val="105"/>
                <w:sz w:val="26"/>
              </w:rPr>
              <w:t xml:space="preserve"> </w:t>
            </w:r>
            <w:r w:rsidRPr="0038628B">
              <w:rPr>
                <w:rFonts w:ascii="Verdana" w:hAnsi="Verdana"/>
                <w:spacing w:val="-5"/>
                <w:w w:val="105"/>
              </w:rPr>
              <w:t>No</w:t>
            </w:r>
          </w:p>
        </w:tc>
        <w:tc>
          <w:tcPr>
            <w:tcW w:w="3140" w:type="dxa"/>
          </w:tcPr>
          <w:p w:rsidR="00FF7EEB" w:rsidRPr="0038628B">
            <w:pPr>
              <w:pStyle w:val="TableParagraph"/>
              <w:spacing w:before="65"/>
              <w:ind w:left="151"/>
              <w:rPr>
                <w:rFonts w:ascii="Verdana" w:hAnsi="Verdana"/>
              </w:rPr>
            </w:pPr>
            <w:r w:rsidRPr="0038628B">
              <w:rPr>
                <w:rFonts w:ascii="Segoe UI Emoji" w:hAnsi="Segoe UI Emoji" w:cs="Segoe UI Emoji"/>
                <w:w w:val="105"/>
                <w:sz w:val="26"/>
              </w:rPr>
              <w:t>❌</w:t>
            </w:r>
            <w:r w:rsidRPr="0038628B">
              <w:rPr>
                <w:rFonts w:ascii="Verdana" w:hAnsi="Verdana"/>
                <w:spacing w:val="-15"/>
                <w:w w:val="105"/>
                <w:sz w:val="26"/>
              </w:rPr>
              <w:t xml:space="preserve"> </w:t>
            </w:r>
            <w:r w:rsidRPr="0038628B">
              <w:rPr>
                <w:rFonts w:ascii="Verdana" w:hAnsi="Verdana"/>
                <w:spacing w:val="-5"/>
                <w:w w:val="105"/>
              </w:rPr>
              <w:t>No</w:t>
            </w:r>
          </w:p>
        </w:tc>
        <w:tc>
          <w:tcPr>
            <w:tcW w:w="1402" w:type="dxa"/>
          </w:tcPr>
          <w:p w:rsidR="00FF7EEB" w:rsidRPr="0038628B">
            <w:pPr>
              <w:pStyle w:val="TableParagraph"/>
              <w:spacing w:before="65"/>
              <w:ind w:left="251"/>
              <w:rPr>
                <w:rFonts w:ascii="Verdana" w:hAnsi="Verdana"/>
              </w:rPr>
            </w:pPr>
            <w:r w:rsidRPr="0038628B">
              <w:rPr>
                <w:rFonts w:ascii="Segoe UI Emoji" w:hAnsi="Segoe UI Emoji" w:cs="Segoe UI Emoji"/>
                <w:w w:val="105"/>
                <w:sz w:val="26"/>
              </w:rPr>
              <w:t>❌</w:t>
            </w:r>
            <w:r w:rsidRPr="0038628B">
              <w:rPr>
                <w:rFonts w:ascii="Verdana" w:hAnsi="Verdana"/>
                <w:spacing w:val="-15"/>
                <w:w w:val="105"/>
                <w:sz w:val="26"/>
              </w:rPr>
              <w:t xml:space="preserve"> </w:t>
            </w:r>
            <w:r w:rsidRPr="0038628B">
              <w:rPr>
                <w:rFonts w:ascii="Verdana" w:hAnsi="Verdana"/>
                <w:spacing w:val="-5"/>
                <w:w w:val="105"/>
              </w:rPr>
              <w:t>No</w:t>
            </w:r>
          </w:p>
        </w:tc>
      </w:tr>
      <w:tr>
        <w:tblPrEx>
          <w:tblW w:w="0" w:type="auto"/>
          <w:tblInd w:w="85" w:type="dxa"/>
          <w:tblLayout w:type="fixed"/>
          <w:tblCellMar>
            <w:left w:w="0" w:type="dxa"/>
            <w:right w:w="0" w:type="dxa"/>
          </w:tblCellMar>
          <w:tblLook w:val="01E0"/>
        </w:tblPrEx>
        <w:trPr>
          <w:trHeight w:val="540"/>
        </w:trPr>
        <w:tc>
          <w:tcPr>
            <w:tcW w:w="1502" w:type="dxa"/>
          </w:tcPr>
          <w:p w:rsidR="00FF7EEB" w:rsidRPr="0038628B">
            <w:pPr>
              <w:pStyle w:val="TableParagraph"/>
              <w:spacing w:before="139"/>
              <w:rPr>
                <w:rFonts w:ascii="Verdana" w:hAnsi="Verdana"/>
                <w:b/>
              </w:rPr>
            </w:pPr>
            <w:r w:rsidRPr="0038628B">
              <w:rPr>
                <w:rFonts w:ascii="Verdana" w:hAnsi="Verdana"/>
                <w:b/>
                <w:spacing w:val="-2"/>
              </w:rPr>
              <w:t>Singapore</w:t>
            </w:r>
          </w:p>
        </w:tc>
        <w:tc>
          <w:tcPr>
            <w:tcW w:w="2402" w:type="dxa"/>
          </w:tcPr>
          <w:p w:rsidR="00FF7EEB" w:rsidRPr="0038628B">
            <w:pPr>
              <w:pStyle w:val="TableParagraph"/>
              <w:spacing w:before="65"/>
              <w:ind w:left="138"/>
              <w:rPr>
                <w:rFonts w:ascii="Verdana" w:hAnsi="Verdana"/>
              </w:rPr>
            </w:pPr>
            <w:r w:rsidRPr="0038628B">
              <w:rPr>
                <w:rFonts w:ascii="Segoe UI Emoji" w:hAnsi="Segoe UI Emoji" w:cs="Segoe UI Emoji"/>
                <w:w w:val="105"/>
                <w:sz w:val="26"/>
              </w:rPr>
              <w:t>❌</w:t>
            </w:r>
            <w:r w:rsidRPr="0038628B">
              <w:rPr>
                <w:rFonts w:ascii="Verdana" w:hAnsi="Verdana"/>
                <w:spacing w:val="-15"/>
                <w:w w:val="105"/>
                <w:sz w:val="26"/>
              </w:rPr>
              <w:t xml:space="preserve"> </w:t>
            </w:r>
            <w:r w:rsidRPr="0038628B">
              <w:rPr>
                <w:rFonts w:ascii="Verdana" w:hAnsi="Verdana"/>
                <w:spacing w:val="-5"/>
                <w:w w:val="105"/>
              </w:rPr>
              <w:t>No</w:t>
            </w:r>
          </w:p>
        </w:tc>
        <w:tc>
          <w:tcPr>
            <w:tcW w:w="3140" w:type="dxa"/>
          </w:tcPr>
          <w:p w:rsidR="00FF7EEB" w:rsidRPr="0038628B">
            <w:pPr>
              <w:pStyle w:val="TableParagraph"/>
              <w:spacing w:before="65"/>
              <w:ind w:left="151"/>
              <w:rPr>
                <w:rFonts w:ascii="Verdana" w:hAnsi="Verdana"/>
              </w:rPr>
            </w:pPr>
            <w:r w:rsidRPr="0038628B">
              <w:rPr>
                <w:rFonts w:ascii="Segoe UI Emoji" w:hAnsi="Segoe UI Emoji" w:cs="Segoe UI Emoji"/>
                <w:w w:val="105"/>
                <w:sz w:val="26"/>
              </w:rPr>
              <w:t>❌</w:t>
            </w:r>
            <w:r w:rsidRPr="0038628B">
              <w:rPr>
                <w:rFonts w:ascii="Verdana" w:hAnsi="Verdana"/>
                <w:spacing w:val="-15"/>
                <w:w w:val="105"/>
                <w:sz w:val="26"/>
              </w:rPr>
              <w:t xml:space="preserve"> </w:t>
            </w:r>
            <w:r w:rsidRPr="0038628B">
              <w:rPr>
                <w:rFonts w:ascii="Verdana" w:hAnsi="Verdana"/>
                <w:spacing w:val="-5"/>
                <w:w w:val="105"/>
              </w:rPr>
              <w:t>No</w:t>
            </w:r>
          </w:p>
        </w:tc>
        <w:tc>
          <w:tcPr>
            <w:tcW w:w="1402" w:type="dxa"/>
          </w:tcPr>
          <w:p w:rsidR="00FF7EEB" w:rsidRPr="0038628B">
            <w:pPr>
              <w:pStyle w:val="TableParagraph"/>
              <w:spacing w:before="65"/>
              <w:ind w:left="251"/>
              <w:rPr>
                <w:rFonts w:ascii="Verdana" w:hAnsi="Verdana"/>
              </w:rPr>
            </w:pPr>
            <w:r w:rsidRPr="0038628B">
              <w:rPr>
                <w:rFonts w:ascii="Segoe UI Emoji" w:hAnsi="Segoe UI Emoji" w:cs="Segoe UI Emoji"/>
                <w:w w:val="105"/>
                <w:sz w:val="26"/>
              </w:rPr>
              <w:t>❌</w:t>
            </w:r>
            <w:r w:rsidRPr="0038628B">
              <w:rPr>
                <w:rFonts w:ascii="Verdana" w:hAnsi="Verdana"/>
                <w:spacing w:val="-15"/>
                <w:w w:val="105"/>
                <w:sz w:val="26"/>
              </w:rPr>
              <w:t xml:space="preserve"> </w:t>
            </w:r>
            <w:r w:rsidRPr="0038628B">
              <w:rPr>
                <w:rFonts w:ascii="Verdana" w:hAnsi="Verdana"/>
                <w:spacing w:val="-5"/>
                <w:w w:val="105"/>
              </w:rPr>
              <w:t>No</w:t>
            </w:r>
          </w:p>
        </w:tc>
      </w:tr>
      <w:tr>
        <w:tblPrEx>
          <w:tblW w:w="0" w:type="auto"/>
          <w:tblInd w:w="85" w:type="dxa"/>
          <w:tblLayout w:type="fixed"/>
          <w:tblCellMar>
            <w:left w:w="0" w:type="dxa"/>
            <w:right w:w="0" w:type="dxa"/>
          </w:tblCellMar>
          <w:tblLook w:val="01E0"/>
        </w:tblPrEx>
        <w:trPr>
          <w:trHeight w:val="400"/>
        </w:trPr>
        <w:tc>
          <w:tcPr>
            <w:tcW w:w="1502" w:type="dxa"/>
          </w:tcPr>
          <w:p w:rsidR="00FF7EEB" w:rsidRPr="0038628B">
            <w:pPr>
              <w:pStyle w:val="TableParagraph"/>
              <w:spacing w:before="139" w:line="241" w:lineRule="exact"/>
              <w:rPr>
                <w:rFonts w:ascii="Verdana" w:hAnsi="Verdana"/>
                <w:b/>
              </w:rPr>
            </w:pPr>
            <w:r w:rsidRPr="0038628B">
              <w:rPr>
                <w:rFonts w:ascii="Verdana" w:hAnsi="Verdana"/>
                <w:b/>
                <w:spacing w:val="-5"/>
              </w:rPr>
              <w:t>UAE</w:t>
            </w:r>
          </w:p>
        </w:tc>
        <w:tc>
          <w:tcPr>
            <w:tcW w:w="2402" w:type="dxa"/>
          </w:tcPr>
          <w:p w:rsidR="00FF7EEB" w:rsidRPr="0038628B">
            <w:pPr>
              <w:pStyle w:val="TableParagraph"/>
              <w:spacing w:before="65" w:line="316" w:lineRule="exact"/>
              <w:ind w:left="138"/>
              <w:rPr>
                <w:rFonts w:ascii="Verdana" w:hAnsi="Verdana"/>
              </w:rPr>
            </w:pPr>
            <w:r w:rsidRPr="0038628B">
              <w:rPr>
                <w:rFonts w:ascii="Segoe UI Emoji" w:hAnsi="Segoe UI Emoji" w:cs="Segoe UI Emoji"/>
                <w:w w:val="105"/>
                <w:sz w:val="26"/>
              </w:rPr>
              <w:t>❌</w:t>
            </w:r>
            <w:r w:rsidRPr="0038628B">
              <w:rPr>
                <w:rFonts w:ascii="Verdana" w:hAnsi="Verdana"/>
                <w:spacing w:val="-15"/>
                <w:w w:val="105"/>
                <w:sz w:val="26"/>
              </w:rPr>
              <w:t xml:space="preserve"> </w:t>
            </w:r>
            <w:r w:rsidRPr="0038628B">
              <w:rPr>
                <w:rFonts w:ascii="Verdana" w:hAnsi="Verdana"/>
                <w:spacing w:val="-5"/>
                <w:w w:val="105"/>
              </w:rPr>
              <w:t>No</w:t>
            </w:r>
          </w:p>
        </w:tc>
        <w:tc>
          <w:tcPr>
            <w:tcW w:w="3140" w:type="dxa"/>
          </w:tcPr>
          <w:p w:rsidR="00FF7EEB" w:rsidRPr="0038628B">
            <w:pPr>
              <w:pStyle w:val="TableParagraph"/>
              <w:spacing w:before="65" w:line="316" w:lineRule="exact"/>
              <w:ind w:left="151"/>
              <w:rPr>
                <w:rFonts w:ascii="Verdana" w:hAnsi="Verdana"/>
              </w:rPr>
            </w:pPr>
            <w:r w:rsidRPr="0038628B">
              <w:rPr>
                <w:rFonts w:ascii="Segoe UI Emoji" w:hAnsi="Segoe UI Emoji" w:cs="Segoe UI Emoji"/>
                <w:w w:val="105"/>
                <w:sz w:val="26"/>
              </w:rPr>
              <w:t>❌</w:t>
            </w:r>
            <w:r w:rsidRPr="0038628B">
              <w:rPr>
                <w:rFonts w:ascii="Verdana" w:hAnsi="Verdana"/>
                <w:spacing w:val="-15"/>
                <w:w w:val="105"/>
                <w:sz w:val="26"/>
              </w:rPr>
              <w:t xml:space="preserve"> </w:t>
            </w:r>
            <w:r w:rsidRPr="0038628B">
              <w:rPr>
                <w:rFonts w:ascii="Verdana" w:hAnsi="Verdana"/>
                <w:spacing w:val="-5"/>
                <w:w w:val="105"/>
              </w:rPr>
              <w:t>No</w:t>
            </w:r>
          </w:p>
        </w:tc>
        <w:tc>
          <w:tcPr>
            <w:tcW w:w="1402" w:type="dxa"/>
          </w:tcPr>
          <w:p w:rsidR="00FF7EEB" w:rsidRPr="0038628B">
            <w:pPr>
              <w:pStyle w:val="TableParagraph"/>
              <w:spacing w:before="65" w:line="316" w:lineRule="exact"/>
              <w:ind w:left="251"/>
              <w:rPr>
                <w:rFonts w:ascii="Verdana" w:hAnsi="Verdana"/>
              </w:rPr>
            </w:pPr>
            <w:r w:rsidRPr="0038628B">
              <w:rPr>
                <w:rFonts w:ascii="Segoe UI Emoji" w:hAnsi="Segoe UI Emoji" w:cs="Segoe UI Emoji"/>
                <w:w w:val="105"/>
                <w:sz w:val="26"/>
              </w:rPr>
              <w:t>❌</w:t>
            </w:r>
            <w:r w:rsidRPr="0038628B">
              <w:rPr>
                <w:rFonts w:ascii="Verdana" w:hAnsi="Verdana"/>
                <w:spacing w:val="-15"/>
                <w:w w:val="105"/>
                <w:sz w:val="26"/>
              </w:rPr>
              <w:t xml:space="preserve"> </w:t>
            </w:r>
            <w:r w:rsidRPr="0038628B">
              <w:rPr>
                <w:rFonts w:ascii="Verdana" w:hAnsi="Verdana"/>
                <w:spacing w:val="-5"/>
                <w:w w:val="105"/>
              </w:rPr>
              <w:t>No</w:t>
            </w:r>
          </w:p>
        </w:tc>
      </w:tr>
    </w:tbl>
    <w:p w:rsidR="00FF7EEB" w:rsidRPr="0038628B">
      <w:pPr>
        <w:pStyle w:val="BodyText"/>
        <w:rPr>
          <w:rFonts w:ascii="Verdana" w:hAnsi="Verdana"/>
        </w:rPr>
      </w:pPr>
    </w:p>
    <w:p w:rsidR="00FF7EEB" w:rsidRPr="0038628B">
      <w:pPr>
        <w:pStyle w:val="BodyText"/>
        <w:rPr>
          <w:rFonts w:ascii="Verdana" w:hAnsi="Verdana"/>
        </w:rPr>
      </w:pPr>
    </w:p>
    <w:p w:rsidR="00FF7EEB" w:rsidRPr="0038628B">
      <w:pPr>
        <w:pStyle w:val="BodyText"/>
        <w:spacing w:before="242"/>
        <w:rPr>
          <w:rFonts w:ascii="Verdana" w:hAnsi="Verdana"/>
        </w:rPr>
      </w:pPr>
    </w:p>
    <w:p w:rsidR="00FF7EEB" w:rsidRPr="0038628B">
      <w:pPr>
        <w:pStyle w:val="BodyText"/>
        <w:spacing w:line="276" w:lineRule="auto"/>
        <w:ind w:left="23" w:right="50"/>
        <w:jc w:val="both"/>
        <w:rPr>
          <w:rFonts w:ascii="Verdana" w:hAnsi="Verdana"/>
        </w:rPr>
      </w:pPr>
      <w:r w:rsidRPr="0038628B">
        <w:rPr>
          <w:rFonts w:ascii="Verdana" w:hAnsi="Verdana"/>
          <w:w w:val="105"/>
        </w:rPr>
        <w:t>The UK and US</w:t>
      </w:r>
      <w:r w:rsidRPr="0038628B">
        <w:rPr>
          <w:rFonts w:ascii="Verdana" w:hAnsi="Verdana"/>
          <w:w w:val="105"/>
        </w:rPr>
        <w:t xml:space="preserve"> are the only two jurisdictions that structurally ring-fence bank-issued stablecoins from the parent bank's balance sheet — but the UK goes further by also mandating separate branding</w:t>
      </w:r>
      <w:r w:rsidRPr="0038628B">
        <w:rPr>
          <w:rFonts w:ascii="Verdana" w:hAnsi="Verdana"/>
          <w:w w:val="105"/>
          <w:vertAlign w:val="superscript"/>
        </w:rPr>
        <w:t>2</w:t>
      </w:r>
      <w:r w:rsidRPr="0038628B">
        <w:rPr>
          <w:rFonts w:ascii="Verdana" w:hAnsi="Verdana"/>
          <w:w w:val="105"/>
        </w:rPr>
        <w:t>.</w:t>
      </w:r>
    </w:p>
    <w:p w:rsidR="00FF7EEB" w:rsidRPr="0038628B">
      <w:pPr>
        <w:pStyle w:val="BodyText"/>
        <w:spacing w:before="240" w:line="276" w:lineRule="auto"/>
        <w:ind w:left="23" w:right="37"/>
        <w:jc w:val="both"/>
        <w:rPr>
          <w:rFonts w:ascii="Verdana" w:hAnsi="Verdana"/>
        </w:rPr>
      </w:pPr>
      <w:r w:rsidRPr="0038628B">
        <w:rPr>
          <w:rFonts w:ascii="Verdana" w:hAnsi="Verdana"/>
          <w:w w:val="105"/>
        </w:rPr>
        <w:t>The UK therefore currently has the most restrictive approach. Furthermore, the restrictive attitude of supervisory teams at the Bank can ensure that this is applied in an even more restrictive way.</w:t>
      </w:r>
    </w:p>
    <w:p w:rsidR="00FF7EEB" w:rsidRPr="0038628B">
      <w:pPr>
        <w:pStyle w:val="BodyText"/>
        <w:spacing w:before="240"/>
        <w:ind w:left="23"/>
        <w:jc w:val="both"/>
        <w:rPr>
          <w:rFonts w:ascii="Verdana" w:hAnsi="Verdana"/>
        </w:rPr>
      </w:pPr>
      <w:r w:rsidRPr="0038628B">
        <w:rPr>
          <w:rFonts w:ascii="Verdana" w:hAnsi="Verdana"/>
          <w:w w:val="105"/>
        </w:rPr>
        <w:t>We</w:t>
      </w:r>
      <w:r w:rsidRPr="0038628B">
        <w:rPr>
          <w:rFonts w:ascii="Verdana" w:hAnsi="Verdana"/>
          <w:spacing w:val="-4"/>
          <w:w w:val="105"/>
        </w:rPr>
        <w:t xml:space="preserve"> </w:t>
      </w:r>
      <w:r w:rsidRPr="0038628B">
        <w:rPr>
          <w:rFonts w:ascii="Verdana" w:hAnsi="Verdana"/>
          <w:w w:val="105"/>
        </w:rPr>
        <w:t>agree</w:t>
      </w:r>
      <w:r w:rsidRPr="0038628B">
        <w:rPr>
          <w:rFonts w:ascii="Verdana" w:hAnsi="Verdana"/>
          <w:spacing w:val="-4"/>
          <w:w w:val="105"/>
        </w:rPr>
        <w:t xml:space="preserve"> </w:t>
      </w:r>
      <w:r w:rsidRPr="0038628B">
        <w:rPr>
          <w:rFonts w:ascii="Verdana" w:hAnsi="Verdana"/>
          <w:w w:val="105"/>
        </w:rPr>
        <w:t>with</w:t>
      </w:r>
      <w:r w:rsidRPr="0038628B">
        <w:rPr>
          <w:rFonts w:ascii="Verdana" w:hAnsi="Verdana"/>
          <w:spacing w:val="-3"/>
          <w:w w:val="105"/>
        </w:rPr>
        <w:t xml:space="preserve"> </w:t>
      </w:r>
      <w:r w:rsidRPr="0038628B">
        <w:rPr>
          <w:rFonts w:ascii="Verdana" w:hAnsi="Verdana"/>
          <w:w w:val="105"/>
        </w:rPr>
        <w:t>the</w:t>
      </w:r>
      <w:r w:rsidRPr="0038628B">
        <w:rPr>
          <w:rFonts w:ascii="Verdana" w:hAnsi="Verdana"/>
          <w:spacing w:val="-4"/>
          <w:w w:val="105"/>
        </w:rPr>
        <w:t xml:space="preserve"> </w:t>
      </w:r>
      <w:r w:rsidRPr="0038628B">
        <w:rPr>
          <w:rFonts w:ascii="Verdana" w:hAnsi="Verdana"/>
          <w:w w:val="105"/>
        </w:rPr>
        <w:t>principles</w:t>
      </w:r>
      <w:r w:rsidRPr="0038628B">
        <w:rPr>
          <w:rFonts w:ascii="Verdana" w:hAnsi="Verdana"/>
          <w:spacing w:val="-3"/>
          <w:w w:val="105"/>
        </w:rPr>
        <w:t xml:space="preserve"> </w:t>
      </w:r>
      <w:r w:rsidRPr="0038628B">
        <w:rPr>
          <w:rFonts w:ascii="Verdana" w:hAnsi="Verdana"/>
          <w:spacing w:val="-2"/>
          <w:w w:val="105"/>
        </w:rPr>
        <w:t>that:</w:t>
      </w:r>
    </w:p>
    <w:p w:rsidR="00FF7EEB" w:rsidRPr="0038628B">
      <w:pPr>
        <w:pStyle w:val="ListParagraph"/>
        <w:numPr>
          <w:ilvl w:val="0"/>
          <w:numId w:val="1"/>
        </w:numPr>
        <w:tabs>
          <w:tab w:val="left" w:pos="743"/>
        </w:tabs>
        <w:spacing w:before="285" w:line="276" w:lineRule="auto"/>
        <w:ind w:right="40"/>
        <w:rPr>
          <w:rFonts w:ascii="Verdana" w:hAnsi="Verdana"/>
        </w:rPr>
      </w:pPr>
      <w:r w:rsidRPr="0038628B">
        <w:rPr>
          <w:rFonts w:ascii="Verdana" w:hAnsi="Verdana"/>
          <w:w w:val="105"/>
        </w:rPr>
        <w:t>Consumers should understand the diﬀerence between a bank deposit and</w:t>
      </w:r>
      <w:r w:rsidRPr="0038628B">
        <w:rPr>
          <w:rFonts w:ascii="Verdana" w:hAnsi="Verdana"/>
          <w:spacing w:val="40"/>
          <w:w w:val="105"/>
        </w:rPr>
        <w:t xml:space="preserve"> </w:t>
      </w:r>
      <w:r w:rsidRPr="0038628B">
        <w:rPr>
          <w:rFonts w:ascii="Verdana" w:hAnsi="Verdana"/>
          <w:w w:val="105"/>
        </w:rPr>
        <w:t xml:space="preserve">a </w:t>
      </w:r>
      <w:r w:rsidRPr="0038628B">
        <w:rPr>
          <w:rFonts w:ascii="Verdana" w:hAnsi="Verdana"/>
          <w:w w:val="105"/>
        </w:rPr>
        <w:t>stablecoin</w:t>
      </w:r>
      <w:r w:rsidRPr="0038628B">
        <w:rPr>
          <w:rFonts w:ascii="Verdana" w:hAnsi="Verdana"/>
          <w:w w:val="105"/>
        </w:rPr>
        <w:t>; and that banks should ensure there is no confusion.</w:t>
      </w:r>
    </w:p>
    <w:p w:rsidR="00FF7EEB" w:rsidRPr="0038628B">
      <w:pPr>
        <w:pStyle w:val="ListParagraph"/>
        <w:numPr>
          <w:ilvl w:val="0"/>
          <w:numId w:val="1"/>
        </w:numPr>
        <w:tabs>
          <w:tab w:val="left" w:pos="743"/>
        </w:tabs>
        <w:spacing w:line="276" w:lineRule="auto"/>
        <w:ind w:right="40"/>
        <w:rPr>
          <w:rFonts w:ascii="Verdana" w:hAnsi="Verdana"/>
        </w:rPr>
      </w:pPr>
      <w:r w:rsidRPr="0038628B">
        <w:rPr>
          <w:rFonts w:ascii="Verdana" w:hAnsi="Verdana"/>
          <w:w w:val="105"/>
        </w:rPr>
        <w:t>Stablecoin</w:t>
      </w:r>
      <w:r w:rsidRPr="0038628B">
        <w:rPr>
          <w:rFonts w:ascii="Verdana" w:hAnsi="Verdana"/>
          <w:spacing w:val="31"/>
          <w:w w:val="105"/>
        </w:rPr>
        <w:t xml:space="preserve"> </w:t>
      </w:r>
      <w:r w:rsidRPr="0038628B">
        <w:rPr>
          <w:rFonts w:ascii="Verdana" w:hAnsi="Verdana"/>
          <w:w w:val="105"/>
        </w:rPr>
        <w:t>backing</w:t>
      </w:r>
      <w:r w:rsidRPr="0038628B">
        <w:rPr>
          <w:rFonts w:ascii="Verdana" w:hAnsi="Verdana"/>
          <w:spacing w:val="31"/>
          <w:w w:val="105"/>
        </w:rPr>
        <w:t xml:space="preserve"> </w:t>
      </w:r>
      <w:r w:rsidRPr="0038628B">
        <w:rPr>
          <w:rFonts w:ascii="Verdana" w:hAnsi="Verdana"/>
          <w:w w:val="105"/>
        </w:rPr>
        <w:t>assets</w:t>
      </w:r>
      <w:r w:rsidRPr="0038628B">
        <w:rPr>
          <w:rFonts w:ascii="Verdana" w:hAnsi="Verdana"/>
          <w:spacing w:val="31"/>
          <w:w w:val="105"/>
        </w:rPr>
        <w:t xml:space="preserve"> </w:t>
      </w:r>
      <w:r w:rsidRPr="0038628B">
        <w:rPr>
          <w:rFonts w:ascii="Verdana" w:hAnsi="Verdana"/>
          <w:w w:val="105"/>
        </w:rPr>
        <w:t>should</w:t>
      </w:r>
      <w:r w:rsidRPr="0038628B">
        <w:rPr>
          <w:rFonts w:ascii="Verdana" w:hAnsi="Verdana"/>
          <w:spacing w:val="31"/>
          <w:w w:val="105"/>
        </w:rPr>
        <w:t xml:space="preserve"> </w:t>
      </w:r>
      <w:r w:rsidRPr="0038628B">
        <w:rPr>
          <w:rFonts w:ascii="Verdana" w:hAnsi="Verdana"/>
          <w:w w:val="105"/>
        </w:rPr>
        <w:t xml:space="preserve">be segregated from the issuer’s (i.e. a </w:t>
      </w:r>
      <w:r w:rsidRPr="0038628B">
        <w:rPr>
          <w:rFonts w:ascii="Verdana" w:hAnsi="Verdana"/>
          <w:w w:val="105"/>
        </w:rPr>
        <w:t>bank’s</w:t>
      </w:r>
      <w:r w:rsidRPr="0038628B">
        <w:rPr>
          <w:rFonts w:ascii="Verdana" w:hAnsi="Verdana"/>
          <w:w w:val="105"/>
        </w:rPr>
        <w:t xml:space="preserve"> in this context) own assets, and the backing assets should be exclusively available to holders of stablecoins (and not to creditors more generally) if the issuer [bank] were to become insolvent.</w:t>
      </w:r>
    </w:p>
    <w:p w:rsidR="00FF7EEB" w:rsidRPr="0038628B">
      <w:pPr>
        <w:pStyle w:val="BodyText"/>
        <w:rPr>
          <w:rFonts w:ascii="Verdana" w:hAnsi="Verdana"/>
          <w:sz w:val="20"/>
        </w:rPr>
      </w:pPr>
    </w:p>
    <w:p w:rsidR="00FF7EEB" w:rsidRPr="0038628B">
      <w:pPr>
        <w:pStyle w:val="BodyText"/>
        <w:spacing w:before="269"/>
        <w:rPr>
          <w:rFonts w:ascii="Verdana" w:hAnsi="Verdana"/>
          <w:sz w:val="20"/>
        </w:rPr>
      </w:pPr>
      <w:r w:rsidRPr="0038628B">
        <w:rPr>
          <w:rFonts w:ascii="Verdana" w:hAnsi="Verdana"/>
          <w:noProof/>
          <w:sz w:val="20"/>
        </w:rPr>
        <mc:AlternateContent>
          <mc:Choice Requires="wps">
            <w:drawing>
              <wp:anchor distT="0" distB="0" distL="0" distR="0" simplePos="0" relativeHeight="251660288" behindDoc="1" locked="0" layoutInCell="1" allowOverlap="1">
                <wp:simplePos x="0" y="0"/>
                <wp:positionH relativeFrom="page">
                  <wp:posOffset>914400</wp:posOffset>
                </wp:positionH>
                <wp:positionV relativeFrom="paragraph">
                  <wp:posOffset>359174</wp:posOffset>
                </wp:positionV>
                <wp:extent cx="1828800" cy="1270"/>
                <wp:effectExtent l="0" t="0" r="0" b="0"/>
                <wp:wrapTopAndBottom/>
                <wp:docPr id="3" name="Graphic 3"/>
                <wp:cNvGraphicFramePr/>
                <a:graphic xmlns:a="http://schemas.openxmlformats.org/drawingml/2006/main">
                  <a:graphicData uri="http://schemas.microsoft.com/office/word/2010/wordprocessingShape">
                    <wps:wsp xmlns:wps="http://schemas.microsoft.com/office/word/2010/wordprocessingShape">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3" o:spid="_x0000_s1026" style="height:0.1pt;margin-left:1in;margin-top:28.3pt;mso-position-horizontal-relative:page;mso-wrap-distance-bottom:0;mso-wrap-distance-left:0;mso-wrap-distance-right:0;mso-wrap-distance-top:0;mso-wrap-style:square;position:absolute;v-text-anchor:top;visibility:visible;width:2in;z-index:-251655168" coordsize="1828800,1270" path="m,l1828800,e" filled="f">
                <v:path arrowok="t"/>
                <w10:wrap type="topAndBottom"/>
              </v:shape>
            </w:pict>
          </mc:Fallback>
        </mc:AlternateContent>
      </w:r>
    </w:p>
    <w:p w:rsidR="00FF7EEB" w:rsidRPr="0038628B">
      <w:pPr>
        <w:spacing w:before="98"/>
        <w:ind w:left="23" w:right="40"/>
        <w:rPr>
          <w:rFonts w:ascii="Verdana" w:hAnsi="Verdana"/>
          <w:sz w:val="20"/>
        </w:rPr>
      </w:pPr>
      <w:r w:rsidRPr="0038628B">
        <w:rPr>
          <w:rFonts w:ascii="Verdana" w:hAnsi="Verdana"/>
          <w:sz w:val="20"/>
          <w:vertAlign w:val="superscript"/>
        </w:rPr>
        <w:t>2</w:t>
      </w:r>
      <w:r w:rsidRPr="0038628B">
        <w:rPr>
          <w:rFonts w:ascii="Verdana" w:hAnsi="Verdana"/>
          <w:sz w:val="20"/>
        </w:rPr>
        <w:t xml:space="preserve"> The US </w:t>
      </w:r>
      <w:r w:rsidRPr="0038628B">
        <w:rPr>
          <w:rFonts w:ascii="Verdana" w:hAnsi="Verdana"/>
          <w:color w:val="090909"/>
          <w:sz w:val="20"/>
        </w:rPr>
        <w:t>Office of the Comptroller of the Currency (OCC) proposed rules in February 2026 that include</w:t>
      </w:r>
      <w:r w:rsidRPr="0038628B">
        <w:rPr>
          <w:rFonts w:ascii="Verdana" w:hAnsi="Verdana"/>
          <w:color w:val="090909"/>
          <w:spacing w:val="-3"/>
          <w:sz w:val="20"/>
        </w:rPr>
        <w:t xml:space="preserve"> </w:t>
      </w:r>
      <w:r w:rsidRPr="0038628B">
        <w:rPr>
          <w:rFonts w:ascii="Verdana" w:hAnsi="Verdana"/>
          <w:color w:val="090909"/>
          <w:sz w:val="20"/>
        </w:rPr>
        <w:t>a</w:t>
      </w:r>
      <w:r w:rsidRPr="0038628B">
        <w:rPr>
          <w:rFonts w:ascii="Verdana" w:hAnsi="Verdana"/>
          <w:color w:val="090909"/>
          <w:spacing w:val="-3"/>
          <w:sz w:val="20"/>
        </w:rPr>
        <w:t xml:space="preserve"> </w:t>
      </w:r>
      <w:r w:rsidRPr="0038628B">
        <w:rPr>
          <w:rFonts w:ascii="Verdana" w:hAnsi="Verdana"/>
          <w:color w:val="090909"/>
          <w:sz w:val="20"/>
        </w:rPr>
        <w:t>"Single-Brand</w:t>
      </w:r>
      <w:r w:rsidRPr="0038628B">
        <w:rPr>
          <w:rFonts w:ascii="Verdana" w:hAnsi="Verdana"/>
          <w:color w:val="090909"/>
          <w:spacing w:val="-3"/>
          <w:sz w:val="20"/>
        </w:rPr>
        <w:t xml:space="preserve"> </w:t>
      </w:r>
      <w:r w:rsidRPr="0038628B">
        <w:rPr>
          <w:rFonts w:ascii="Verdana" w:hAnsi="Verdana"/>
          <w:color w:val="090909"/>
          <w:sz w:val="20"/>
        </w:rPr>
        <w:t>Stablecoin</w:t>
      </w:r>
      <w:r w:rsidRPr="0038628B">
        <w:rPr>
          <w:rFonts w:ascii="Verdana" w:hAnsi="Verdana"/>
          <w:color w:val="090909"/>
          <w:spacing w:val="-3"/>
          <w:sz w:val="20"/>
        </w:rPr>
        <w:t xml:space="preserve"> </w:t>
      </w:r>
      <w:r w:rsidRPr="0038628B">
        <w:rPr>
          <w:rFonts w:ascii="Verdana" w:hAnsi="Verdana"/>
          <w:color w:val="090909"/>
          <w:sz w:val="20"/>
        </w:rPr>
        <w:t>Rule"</w:t>
      </w:r>
      <w:r w:rsidRPr="0038628B">
        <w:rPr>
          <w:rFonts w:ascii="Verdana" w:hAnsi="Verdana"/>
          <w:color w:val="090909"/>
          <w:spacing w:val="-3"/>
          <w:sz w:val="20"/>
        </w:rPr>
        <w:t xml:space="preserve"> </w:t>
      </w:r>
      <w:r w:rsidRPr="0038628B">
        <w:rPr>
          <w:rFonts w:ascii="Verdana" w:hAnsi="Verdana"/>
          <w:color w:val="090909"/>
          <w:sz w:val="20"/>
        </w:rPr>
        <w:t>that</w:t>
      </w:r>
      <w:r w:rsidRPr="0038628B">
        <w:rPr>
          <w:rFonts w:ascii="Verdana" w:hAnsi="Verdana"/>
          <w:color w:val="090909"/>
          <w:spacing w:val="-3"/>
          <w:sz w:val="20"/>
        </w:rPr>
        <w:t xml:space="preserve"> </w:t>
      </w:r>
      <w:r w:rsidRPr="0038628B">
        <w:rPr>
          <w:rFonts w:ascii="Verdana" w:hAnsi="Verdana"/>
          <w:color w:val="090909"/>
          <w:sz w:val="20"/>
        </w:rPr>
        <w:t>would</w:t>
      </w:r>
      <w:r w:rsidRPr="0038628B">
        <w:rPr>
          <w:rFonts w:ascii="Verdana" w:hAnsi="Verdana"/>
          <w:color w:val="090909"/>
          <w:spacing w:val="-3"/>
          <w:sz w:val="20"/>
        </w:rPr>
        <w:t xml:space="preserve"> </w:t>
      </w:r>
      <w:r w:rsidRPr="0038628B">
        <w:rPr>
          <w:rFonts w:ascii="Verdana" w:hAnsi="Verdana"/>
          <w:color w:val="090909"/>
          <w:sz w:val="20"/>
        </w:rPr>
        <w:t>restrict</w:t>
      </w:r>
      <w:r w:rsidRPr="0038628B">
        <w:rPr>
          <w:rFonts w:ascii="Verdana" w:hAnsi="Verdana"/>
          <w:color w:val="090909"/>
          <w:spacing w:val="-3"/>
          <w:sz w:val="20"/>
        </w:rPr>
        <w:t xml:space="preserve"> </w:t>
      </w:r>
      <w:r w:rsidRPr="0038628B">
        <w:rPr>
          <w:rFonts w:ascii="Verdana" w:hAnsi="Verdana"/>
          <w:color w:val="090909"/>
          <w:sz w:val="20"/>
        </w:rPr>
        <w:t>each</w:t>
      </w:r>
      <w:r w:rsidRPr="0038628B">
        <w:rPr>
          <w:rFonts w:ascii="Verdana" w:hAnsi="Verdana"/>
          <w:color w:val="090909"/>
          <w:spacing w:val="-3"/>
          <w:sz w:val="20"/>
        </w:rPr>
        <w:t xml:space="preserve"> </w:t>
      </w:r>
      <w:r w:rsidRPr="0038628B">
        <w:rPr>
          <w:rFonts w:ascii="Verdana" w:hAnsi="Verdana"/>
          <w:color w:val="090909"/>
          <w:sz w:val="20"/>
        </w:rPr>
        <w:t>permitted</w:t>
      </w:r>
      <w:r w:rsidRPr="0038628B">
        <w:rPr>
          <w:rFonts w:ascii="Verdana" w:hAnsi="Verdana"/>
          <w:color w:val="090909"/>
          <w:spacing w:val="-3"/>
          <w:sz w:val="20"/>
        </w:rPr>
        <w:t xml:space="preserve"> </w:t>
      </w:r>
      <w:r w:rsidRPr="0038628B">
        <w:rPr>
          <w:rFonts w:ascii="Verdana" w:hAnsi="Verdana"/>
          <w:color w:val="090909"/>
          <w:sz w:val="20"/>
        </w:rPr>
        <w:t>issuer</w:t>
      </w:r>
      <w:r w:rsidRPr="0038628B">
        <w:rPr>
          <w:rFonts w:ascii="Verdana" w:hAnsi="Verdana"/>
          <w:color w:val="090909"/>
          <w:spacing w:val="-3"/>
          <w:sz w:val="20"/>
        </w:rPr>
        <w:t xml:space="preserve"> </w:t>
      </w:r>
      <w:r w:rsidRPr="0038628B">
        <w:rPr>
          <w:rFonts w:ascii="Verdana" w:hAnsi="Verdana"/>
          <w:color w:val="090909"/>
          <w:sz w:val="20"/>
        </w:rPr>
        <w:t>to</w:t>
      </w:r>
      <w:r w:rsidRPr="0038628B">
        <w:rPr>
          <w:rFonts w:ascii="Verdana" w:hAnsi="Verdana"/>
          <w:color w:val="090909"/>
          <w:spacing w:val="-3"/>
          <w:sz w:val="20"/>
        </w:rPr>
        <w:t xml:space="preserve"> </w:t>
      </w:r>
      <w:r w:rsidRPr="0038628B">
        <w:rPr>
          <w:rFonts w:ascii="Verdana" w:hAnsi="Verdana"/>
          <w:color w:val="090909"/>
          <w:sz w:val="20"/>
        </w:rPr>
        <w:t>only</w:t>
      </w:r>
      <w:r w:rsidRPr="0038628B">
        <w:rPr>
          <w:rFonts w:ascii="Verdana" w:hAnsi="Verdana"/>
          <w:color w:val="090909"/>
          <w:spacing w:val="-3"/>
          <w:sz w:val="20"/>
        </w:rPr>
        <w:t xml:space="preserve"> </w:t>
      </w:r>
      <w:r w:rsidRPr="0038628B">
        <w:rPr>
          <w:rFonts w:ascii="Verdana" w:hAnsi="Verdana"/>
          <w:color w:val="090909"/>
          <w:sz w:val="20"/>
        </w:rPr>
        <w:t>one</w:t>
      </w:r>
      <w:r w:rsidRPr="0038628B">
        <w:rPr>
          <w:rFonts w:ascii="Verdana" w:hAnsi="Verdana"/>
          <w:color w:val="090909"/>
          <w:spacing w:val="-3"/>
          <w:sz w:val="20"/>
        </w:rPr>
        <w:t xml:space="preserve"> </w:t>
      </w:r>
      <w:r w:rsidRPr="0038628B">
        <w:rPr>
          <w:rFonts w:ascii="Verdana" w:hAnsi="Verdana"/>
          <w:color w:val="090909"/>
          <w:sz w:val="20"/>
        </w:rPr>
        <w:t xml:space="preserve">branded stablecoin; this is specifically aimed at "white-label" models where one regulated entity (like a bank) issues multiple branded tokens for different partners. This does </w:t>
      </w:r>
      <w:r w:rsidRPr="0038628B">
        <w:rPr>
          <w:rFonts w:ascii="Verdana" w:hAnsi="Verdana"/>
          <w:color w:val="090909"/>
          <w:sz w:val="20"/>
        </w:rPr>
        <w:t>not however</w:t>
      </w:r>
      <w:r w:rsidRPr="0038628B">
        <w:rPr>
          <w:rFonts w:ascii="Verdana" w:hAnsi="Verdana"/>
          <w:color w:val="090909"/>
          <w:sz w:val="20"/>
        </w:rPr>
        <w:t xml:space="preserve"> ban a bank from</w:t>
      </w:r>
      <w:r w:rsidRPr="0038628B">
        <w:rPr>
          <w:rFonts w:ascii="Verdana" w:hAnsi="Verdana"/>
          <w:color w:val="090909"/>
          <w:spacing w:val="40"/>
          <w:sz w:val="20"/>
        </w:rPr>
        <w:t xml:space="preserve"> </w:t>
      </w:r>
      <w:r w:rsidRPr="0038628B">
        <w:rPr>
          <w:rFonts w:ascii="Verdana" w:hAnsi="Verdana"/>
          <w:color w:val="090909"/>
          <w:sz w:val="20"/>
        </w:rPr>
        <w:t xml:space="preserve">branding a </w:t>
      </w:r>
      <w:r w:rsidRPr="0038628B">
        <w:rPr>
          <w:rFonts w:ascii="Verdana" w:hAnsi="Verdana"/>
          <w:color w:val="090909"/>
          <w:sz w:val="20"/>
        </w:rPr>
        <w:t>stablecoin</w:t>
      </w:r>
      <w:r w:rsidRPr="0038628B">
        <w:rPr>
          <w:rFonts w:ascii="Verdana" w:hAnsi="Verdana"/>
          <w:color w:val="090909"/>
          <w:sz w:val="20"/>
        </w:rPr>
        <w:t xml:space="preserve"> with its own brand.</w:t>
      </w:r>
    </w:p>
    <w:p w:rsidR="00FF7EEB" w:rsidRPr="0038628B">
      <w:pPr>
        <w:rPr>
          <w:rFonts w:ascii="Verdana" w:hAnsi="Verdana"/>
          <w:sz w:val="20"/>
        </w:rPr>
        <w:sectPr>
          <w:pgSz w:w="11920" w:h="16840"/>
          <w:pgMar w:top="1940" w:right="1417" w:bottom="980" w:left="1417" w:header="0" w:footer="799" w:gutter="0"/>
          <w:cols w:space="720"/>
        </w:sectPr>
      </w:pPr>
    </w:p>
    <w:p w:rsidR="00FF7EEB" w:rsidRPr="0038628B">
      <w:pPr>
        <w:pStyle w:val="BodyText"/>
        <w:spacing w:before="80" w:line="276" w:lineRule="auto"/>
        <w:ind w:left="23" w:right="38"/>
        <w:jc w:val="both"/>
        <w:rPr>
          <w:rFonts w:ascii="Verdana" w:hAnsi="Verdana"/>
        </w:rPr>
      </w:pPr>
      <w:r w:rsidRPr="0038628B">
        <w:rPr>
          <w:rFonts w:ascii="Verdana" w:hAnsi="Verdana"/>
          <w:w w:val="105"/>
        </w:rPr>
        <w:t>We consider that the prescriptive nature of the Bank’s approach - requiring a separate entity</w:t>
      </w:r>
      <w:r w:rsidRPr="0038628B">
        <w:rPr>
          <w:rFonts w:ascii="Verdana" w:hAnsi="Verdana"/>
          <w:spacing w:val="40"/>
          <w:w w:val="105"/>
        </w:rPr>
        <w:t xml:space="preserve"> </w:t>
      </w:r>
      <w:r w:rsidRPr="0038628B">
        <w:rPr>
          <w:rFonts w:ascii="Verdana" w:hAnsi="Verdana"/>
          <w:w w:val="105"/>
        </w:rPr>
        <w:t>and</w:t>
      </w:r>
      <w:r w:rsidRPr="0038628B">
        <w:rPr>
          <w:rFonts w:ascii="Verdana" w:hAnsi="Verdana"/>
          <w:spacing w:val="40"/>
          <w:w w:val="105"/>
        </w:rPr>
        <w:t xml:space="preserve"> </w:t>
      </w:r>
      <w:r w:rsidRPr="0038628B">
        <w:rPr>
          <w:rFonts w:ascii="Verdana" w:hAnsi="Verdana"/>
          <w:w w:val="105"/>
        </w:rPr>
        <w:t>separate</w:t>
      </w:r>
      <w:r w:rsidRPr="0038628B">
        <w:rPr>
          <w:rFonts w:ascii="Verdana" w:hAnsi="Verdana"/>
          <w:spacing w:val="40"/>
          <w:w w:val="105"/>
        </w:rPr>
        <w:t xml:space="preserve"> </w:t>
      </w:r>
      <w:r w:rsidRPr="0038628B">
        <w:rPr>
          <w:rFonts w:ascii="Verdana" w:hAnsi="Verdana"/>
          <w:w w:val="105"/>
        </w:rPr>
        <w:t>branding</w:t>
      </w:r>
      <w:r w:rsidRPr="0038628B">
        <w:rPr>
          <w:rFonts w:ascii="Verdana" w:hAnsi="Verdana"/>
          <w:spacing w:val="40"/>
          <w:w w:val="105"/>
        </w:rPr>
        <w:t xml:space="preserve"> </w:t>
      </w:r>
      <w:r w:rsidRPr="0038628B">
        <w:rPr>
          <w:rFonts w:ascii="Verdana" w:hAnsi="Verdana"/>
          <w:w w:val="105"/>
        </w:rPr>
        <w:t>and</w:t>
      </w:r>
      <w:r w:rsidRPr="0038628B">
        <w:rPr>
          <w:rFonts w:ascii="Verdana" w:hAnsi="Verdana"/>
          <w:spacing w:val="40"/>
          <w:w w:val="105"/>
        </w:rPr>
        <w:t xml:space="preserve"> </w:t>
      </w:r>
      <w:r w:rsidRPr="0038628B">
        <w:rPr>
          <w:rFonts w:ascii="Verdana" w:hAnsi="Verdana"/>
          <w:w w:val="105"/>
        </w:rPr>
        <w:t>discouraging</w:t>
      </w:r>
      <w:r w:rsidRPr="0038628B">
        <w:rPr>
          <w:rFonts w:ascii="Verdana" w:hAnsi="Verdana"/>
          <w:spacing w:val="40"/>
          <w:w w:val="105"/>
        </w:rPr>
        <w:t xml:space="preserve"> </w:t>
      </w:r>
      <w:r w:rsidRPr="0038628B">
        <w:rPr>
          <w:rFonts w:ascii="Verdana" w:hAnsi="Verdana"/>
          <w:w w:val="105"/>
        </w:rPr>
        <w:t>banks</w:t>
      </w:r>
      <w:r w:rsidRPr="0038628B">
        <w:rPr>
          <w:rFonts w:ascii="Verdana" w:hAnsi="Verdana"/>
          <w:spacing w:val="40"/>
          <w:w w:val="105"/>
        </w:rPr>
        <w:t xml:space="preserve"> </w:t>
      </w:r>
      <w:r w:rsidRPr="0038628B">
        <w:rPr>
          <w:rFonts w:ascii="Verdana" w:hAnsi="Verdana"/>
          <w:w w:val="105"/>
        </w:rPr>
        <w:t xml:space="preserve">from even pursuing these - could be replaced by an outcome based regulatory approach: with banks required to demonstrate they are taking eﬀective measures to ensure consumers understand the diﬀerence and ensuring </w:t>
      </w:r>
      <w:r w:rsidRPr="0038628B">
        <w:rPr>
          <w:rFonts w:ascii="Verdana" w:hAnsi="Verdana"/>
          <w:w w:val="105"/>
        </w:rPr>
        <w:t>stablecoin</w:t>
      </w:r>
      <w:r w:rsidRPr="0038628B">
        <w:rPr>
          <w:rFonts w:ascii="Verdana" w:hAnsi="Verdana"/>
          <w:w w:val="105"/>
        </w:rPr>
        <w:t xml:space="preserve"> is held from insolvency.</w:t>
      </w:r>
    </w:p>
    <w:p w:rsidR="00FF7EEB" w:rsidRPr="0038628B">
      <w:pPr>
        <w:pStyle w:val="BodyText"/>
        <w:spacing w:before="240" w:line="276" w:lineRule="auto"/>
        <w:ind w:left="23" w:right="35"/>
        <w:jc w:val="both"/>
        <w:rPr>
          <w:rFonts w:ascii="Verdana" w:hAnsi="Verdana"/>
        </w:rPr>
      </w:pPr>
      <w:r w:rsidRPr="0038628B">
        <w:rPr>
          <w:rFonts w:ascii="Verdana" w:hAnsi="Verdana"/>
          <w:w w:val="105"/>
        </w:rPr>
        <w:t>There are a variety of ways of achieving these outcomes, However the Bank of England Dear CEO letter would seem to specify two prescriptive solutions:</w:t>
      </w:r>
      <w:r w:rsidRPr="0038628B">
        <w:rPr>
          <w:rFonts w:ascii="Verdana" w:hAnsi="Verdana"/>
          <w:spacing w:val="40"/>
          <w:w w:val="105"/>
        </w:rPr>
        <w:t xml:space="preserve"> </w:t>
      </w:r>
      <w:r w:rsidRPr="0038628B">
        <w:rPr>
          <w:rFonts w:ascii="Verdana" w:hAnsi="Verdana"/>
          <w:w w:val="105"/>
        </w:rPr>
        <w:t xml:space="preserve">separate branding and a separate legal entity. On the question of consumer </w:t>
      </w:r>
      <w:r w:rsidRPr="0038628B">
        <w:rPr>
          <w:rFonts w:ascii="Verdana" w:hAnsi="Verdana"/>
          <w:w w:val="105"/>
        </w:rPr>
        <w:t>confusion</w:t>
      </w:r>
      <w:r w:rsidRPr="0038628B">
        <w:rPr>
          <w:rFonts w:ascii="Verdana" w:hAnsi="Verdana"/>
          <w:w w:val="105"/>
        </w:rPr>
        <w:t xml:space="preserve"> this ignores alternative approaches such as clear communication and education to ensure the customer understands the speciﬁc product or service (as, for example, required under the</w:t>
      </w:r>
      <w:r w:rsidRPr="0038628B">
        <w:rPr>
          <w:rFonts w:ascii="Verdana" w:hAnsi="Verdana"/>
          <w:spacing w:val="40"/>
          <w:w w:val="105"/>
        </w:rPr>
        <w:t xml:space="preserve"> </w:t>
      </w:r>
      <w:r w:rsidRPr="0038628B">
        <w:rPr>
          <w:rFonts w:ascii="Verdana" w:hAnsi="Verdana"/>
          <w:w w:val="105"/>
        </w:rPr>
        <w:t>FCA’s</w:t>
      </w:r>
      <w:r w:rsidRPr="0038628B">
        <w:rPr>
          <w:rFonts w:ascii="Verdana" w:hAnsi="Verdana"/>
          <w:spacing w:val="40"/>
          <w:w w:val="105"/>
        </w:rPr>
        <w:t xml:space="preserve"> </w:t>
      </w:r>
      <w:r w:rsidRPr="0038628B">
        <w:rPr>
          <w:rFonts w:ascii="Verdana" w:hAnsi="Verdana"/>
          <w:w w:val="105"/>
        </w:rPr>
        <w:t xml:space="preserve">consumer duty). On ensuring backing assets are insolvency remote, there are also a variety of options - something which is explicitly </w:t>
      </w:r>
      <w:r w:rsidRPr="0038628B">
        <w:rPr>
          <w:rFonts w:ascii="Verdana" w:hAnsi="Verdana"/>
          <w:w w:val="105"/>
        </w:rPr>
        <w:t>recognised</w:t>
      </w:r>
      <w:r w:rsidRPr="0038628B">
        <w:rPr>
          <w:rFonts w:ascii="Verdana" w:hAnsi="Verdana"/>
          <w:spacing w:val="40"/>
          <w:w w:val="105"/>
        </w:rPr>
        <w:t xml:space="preserve"> </w:t>
      </w:r>
      <w:r w:rsidRPr="0038628B">
        <w:rPr>
          <w:rFonts w:ascii="Verdana" w:hAnsi="Verdana"/>
          <w:w w:val="105"/>
        </w:rPr>
        <w:t>by the FCA in its custody</w:t>
      </w:r>
      <w:r w:rsidRPr="0038628B">
        <w:rPr>
          <w:rFonts w:ascii="Verdana" w:hAnsi="Verdana"/>
          <w:spacing w:val="29"/>
          <w:w w:val="105"/>
        </w:rPr>
        <w:t xml:space="preserve"> </w:t>
      </w:r>
      <w:r w:rsidRPr="0038628B">
        <w:rPr>
          <w:rFonts w:ascii="Verdana" w:hAnsi="Verdana"/>
          <w:w w:val="105"/>
        </w:rPr>
        <w:t>rules</w:t>
      </w:r>
      <w:r w:rsidRPr="0038628B">
        <w:rPr>
          <w:rFonts w:ascii="Verdana" w:hAnsi="Verdana"/>
          <w:spacing w:val="29"/>
          <w:w w:val="105"/>
        </w:rPr>
        <w:t xml:space="preserve"> </w:t>
      </w:r>
      <w:r w:rsidRPr="0038628B">
        <w:rPr>
          <w:rFonts w:ascii="Verdana" w:hAnsi="Verdana"/>
          <w:w w:val="105"/>
        </w:rPr>
        <w:t xml:space="preserve">(CASS - </w:t>
      </w:r>
      <w:r w:rsidRPr="0038628B">
        <w:rPr>
          <w:rFonts w:ascii="Verdana" w:hAnsi="Verdana"/>
          <w:color w:val="090909"/>
          <w:w w:val="105"/>
        </w:rPr>
        <w:t>Client Assets Sourcebook which is a set of regulations</w:t>
      </w:r>
      <w:r w:rsidRPr="0038628B">
        <w:rPr>
          <w:rFonts w:ascii="Verdana" w:hAnsi="Verdana"/>
          <w:color w:val="090909"/>
          <w:w w:val="105"/>
        </w:rPr>
        <w:t xml:space="preserve"> designed to protect client money and assets held by ﬁnancial ﬁrms</w:t>
      </w:r>
      <w:r w:rsidRPr="0038628B">
        <w:rPr>
          <w:rFonts w:ascii="Verdana" w:hAnsi="Verdana"/>
          <w:w w:val="105"/>
        </w:rPr>
        <w:t>) which</w:t>
      </w:r>
      <w:r w:rsidRPr="0038628B">
        <w:rPr>
          <w:rFonts w:ascii="Verdana" w:hAnsi="Verdana"/>
          <w:spacing w:val="40"/>
          <w:w w:val="105"/>
        </w:rPr>
        <w:t xml:space="preserve"> </w:t>
      </w:r>
      <w:r w:rsidRPr="0038628B">
        <w:rPr>
          <w:rFonts w:ascii="Verdana" w:hAnsi="Verdana"/>
          <w:w w:val="105"/>
        </w:rPr>
        <w:t>gives ﬁrms ﬂexibility and is based instead on the twin concepts that assets should be segregated, and should fall outside the insolvent estate in the event of the crypto-custodian's</w:t>
      </w:r>
      <w:r w:rsidRPr="0038628B">
        <w:rPr>
          <w:rFonts w:ascii="Verdana" w:hAnsi="Verdana"/>
          <w:spacing w:val="40"/>
          <w:w w:val="105"/>
        </w:rPr>
        <w:t xml:space="preserve"> </w:t>
      </w:r>
      <w:r w:rsidRPr="0038628B">
        <w:rPr>
          <w:rFonts w:ascii="Verdana" w:hAnsi="Verdana"/>
          <w:spacing w:val="-2"/>
          <w:w w:val="105"/>
        </w:rPr>
        <w:t>insolvency.</w:t>
      </w:r>
    </w:p>
    <w:p w:rsidR="00FF7EEB" w:rsidRPr="0038628B">
      <w:pPr>
        <w:pStyle w:val="BodyText"/>
        <w:spacing w:before="240"/>
        <w:ind w:left="23"/>
        <w:jc w:val="both"/>
        <w:rPr>
          <w:rFonts w:ascii="Verdana" w:hAnsi="Verdana"/>
        </w:rPr>
      </w:pPr>
      <w:r w:rsidRPr="0038628B">
        <w:rPr>
          <w:rFonts w:ascii="Verdana" w:hAnsi="Verdana"/>
          <w:u w:val="thick"/>
        </w:rPr>
        <w:t>Why</w:t>
      </w:r>
      <w:r w:rsidRPr="0038628B">
        <w:rPr>
          <w:rFonts w:ascii="Verdana" w:hAnsi="Verdana"/>
          <w:spacing w:val="23"/>
          <w:u w:val="thick"/>
        </w:rPr>
        <w:t xml:space="preserve"> </w:t>
      </w:r>
      <w:r w:rsidRPr="0038628B">
        <w:rPr>
          <w:rFonts w:ascii="Verdana" w:hAnsi="Verdana"/>
          <w:u w:val="thick"/>
        </w:rPr>
        <w:t>this</w:t>
      </w:r>
      <w:r w:rsidRPr="0038628B">
        <w:rPr>
          <w:rFonts w:ascii="Verdana" w:hAnsi="Verdana"/>
          <w:spacing w:val="23"/>
          <w:u w:val="thick"/>
        </w:rPr>
        <w:t xml:space="preserve"> </w:t>
      </w:r>
      <w:r w:rsidRPr="0038628B">
        <w:rPr>
          <w:rFonts w:ascii="Verdana" w:hAnsi="Verdana"/>
          <w:spacing w:val="-2"/>
          <w:u w:val="thick"/>
        </w:rPr>
        <w:t>matters:</w:t>
      </w:r>
    </w:p>
    <w:p w:rsidR="00FF7EEB" w:rsidRPr="0038628B">
      <w:pPr>
        <w:pStyle w:val="BodyText"/>
        <w:spacing w:before="125" w:line="276" w:lineRule="auto"/>
        <w:ind w:left="23" w:right="39"/>
        <w:jc w:val="both"/>
        <w:rPr>
          <w:rFonts w:ascii="Verdana" w:hAnsi="Verdana"/>
        </w:rPr>
      </w:pPr>
      <w:r w:rsidRPr="0038628B">
        <w:rPr>
          <w:rFonts w:ascii="Verdana" w:hAnsi="Verdana"/>
          <w:w w:val="105"/>
        </w:rPr>
        <w:t xml:space="preserve">UK banks - and speciﬁcally our digital ﬁrst banks - are amongst the best placed UK entities to be able to introduce and scale GBP stablecoin </w:t>
      </w:r>
      <w:r w:rsidRPr="0038628B">
        <w:rPr>
          <w:rFonts w:ascii="Verdana" w:hAnsi="Verdana"/>
          <w:w w:val="105"/>
        </w:rPr>
        <w:t>services</w:t>
      </w:r>
      <w:r w:rsidRPr="0038628B">
        <w:rPr>
          <w:rFonts w:ascii="Verdana" w:hAnsi="Verdana"/>
          <w:w w:val="105"/>
        </w:rPr>
        <w:t xml:space="preserve"> </w:t>
      </w:r>
      <w:r w:rsidRPr="0038628B">
        <w:rPr>
          <w:rFonts w:ascii="Verdana" w:hAnsi="Verdana"/>
          <w:w w:val="105"/>
        </w:rPr>
        <w:t>including for</w:t>
      </w:r>
      <w:r w:rsidRPr="0038628B">
        <w:rPr>
          <w:rFonts w:ascii="Verdana" w:hAnsi="Verdana"/>
          <w:w w:val="105"/>
        </w:rPr>
        <w:t xml:space="preserve"> cross border</w:t>
      </w:r>
      <w:r w:rsidRPr="0038628B">
        <w:rPr>
          <w:rFonts w:ascii="Verdana" w:hAnsi="Verdana"/>
          <w:spacing w:val="40"/>
          <w:w w:val="105"/>
        </w:rPr>
        <w:t xml:space="preserve"> </w:t>
      </w:r>
      <w:r w:rsidRPr="0038628B">
        <w:rPr>
          <w:rFonts w:ascii="Verdana" w:hAnsi="Verdana"/>
          <w:w w:val="105"/>
        </w:rPr>
        <w:t>payments,</w:t>
      </w:r>
      <w:r w:rsidRPr="0038628B">
        <w:rPr>
          <w:rFonts w:ascii="Verdana" w:hAnsi="Verdana"/>
          <w:spacing w:val="40"/>
          <w:w w:val="105"/>
        </w:rPr>
        <w:t xml:space="preserve"> </w:t>
      </w:r>
      <w:r w:rsidRPr="0038628B">
        <w:rPr>
          <w:rFonts w:ascii="Verdana" w:hAnsi="Verdana"/>
          <w:w w:val="105"/>
        </w:rPr>
        <w:t>in</w:t>
      </w:r>
      <w:r w:rsidRPr="0038628B">
        <w:rPr>
          <w:rFonts w:ascii="Verdana" w:hAnsi="Verdana"/>
          <w:spacing w:val="40"/>
          <w:w w:val="105"/>
        </w:rPr>
        <w:t xml:space="preserve"> </w:t>
      </w:r>
      <w:r w:rsidRPr="0038628B">
        <w:rPr>
          <w:rFonts w:ascii="Verdana" w:hAnsi="Verdana"/>
          <w:w w:val="105"/>
        </w:rPr>
        <w:t>capital</w:t>
      </w:r>
      <w:r w:rsidRPr="0038628B">
        <w:rPr>
          <w:rFonts w:ascii="Verdana" w:hAnsi="Verdana"/>
          <w:spacing w:val="40"/>
          <w:w w:val="105"/>
        </w:rPr>
        <w:t xml:space="preserve"> </w:t>
      </w:r>
      <w:r w:rsidRPr="0038628B">
        <w:rPr>
          <w:rFonts w:ascii="Verdana" w:hAnsi="Verdana"/>
          <w:w w:val="105"/>
        </w:rPr>
        <w:t>markets</w:t>
      </w:r>
      <w:r w:rsidRPr="0038628B">
        <w:rPr>
          <w:rFonts w:ascii="Verdana" w:hAnsi="Verdana"/>
          <w:spacing w:val="40"/>
          <w:w w:val="105"/>
        </w:rPr>
        <w:t xml:space="preserve"> </w:t>
      </w:r>
      <w:r w:rsidRPr="0038628B">
        <w:rPr>
          <w:rFonts w:ascii="Verdana" w:hAnsi="Verdana"/>
          <w:w w:val="105"/>
        </w:rPr>
        <w:t>and for businesses and rival overseas competitors ensuring a competitive market that beneﬁts consumers and businesses.</w:t>
      </w:r>
    </w:p>
    <w:p w:rsidR="00FF7EEB" w:rsidRPr="0038628B">
      <w:pPr>
        <w:pStyle w:val="BodyText"/>
        <w:spacing w:before="204"/>
        <w:rPr>
          <w:rFonts w:ascii="Verdana" w:hAnsi="Verdana"/>
        </w:rPr>
      </w:pPr>
    </w:p>
    <w:p w:rsidR="00FF7EEB" w:rsidRPr="0038628B">
      <w:pPr>
        <w:pStyle w:val="BodyText"/>
        <w:spacing w:before="1"/>
        <w:ind w:left="23"/>
        <w:jc w:val="both"/>
        <w:rPr>
          <w:rFonts w:ascii="Verdana" w:hAnsi="Verdana"/>
        </w:rPr>
      </w:pPr>
      <w:r w:rsidRPr="0038628B">
        <w:rPr>
          <w:rFonts w:ascii="Verdana" w:hAnsi="Verdana"/>
          <w:w w:val="105"/>
          <w:u w:val="thick"/>
        </w:rPr>
        <w:t>Clarifying</w:t>
      </w:r>
      <w:r w:rsidRPr="0038628B">
        <w:rPr>
          <w:rFonts w:ascii="Verdana" w:hAnsi="Verdana"/>
          <w:spacing w:val="-3"/>
          <w:w w:val="105"/>
          <w:u w:val="thick"/>
        </w:rPr>
        <w:t xml:space="preserve"> </w:t>
      </w:r>
      <w:r w:rsidRPr="0038628B">
        <w:rPr>
          <w:rFonts w:ascii="Verdana" w:hAnsi="Verdana"/>
          <w:w w:val="105"/>
          <w:u w:val="thick"/>
        </w:rPr>
        <w:t>the</w:t>
      </w:r>
      <w:r w:rsidRPr="0038628B">
        <w:rPr>
          <w:rFonts w:ascii="Verdana" w:hAnsi="Verdana"/>
          <w:spacing w:val="-3"/>
          <w:w w:val="105"/>
          <w:u w:val="thick"/>
        </w:rPr>
        <w:t xml:space="preserve"> </w:t>
      </w:r>
      <w:r w:rsidRPr="0038628B">
        <w:rPr>
          <w:rFonts w:ascii="Verdana" w:hAnsi="Verdana"/>
          <w:w w:val="105"/>
          <w:u w:val="thick"/>
        </w:rPr>
        <w:t>Dear</w:t>
      </w:r>
      <w:r w:rsidRPr="0038628B">
        <w:rPr>
          <w:rFonts w:ascii="Verdana" w:hAnsi="Verdana"/>
          <w:spacing w:val="-3"/>
          <w:w w:val="105"/>
          <w:u w:val="thick"/>
        </w:rPr>
        <w:t xml:space="preserve"> </w:t>
      </w:r>
      <w:r w:rsidRPr="0038628B">
        <w:rPr>
          <w:rFonts w:ascii="Verdana" w:hAnsi="Verdana"/>
          <w:w w:val="105"/>
          <w:u w:val="thick"/>
        </w:rPr>
        <w:t>CEO</w:t>
      </w:r>
      <w:r w:rsidRPr="0038628B">
        <w:rPr>
          <w:rFonts w:ascii="Verdana" w:hAnsi="Verdana"/>
          <w:spacing w:val="-2"/>
          <w:w w:val="105"/>
          <w:u w:val="thick"/>
        </w:rPr>
        <w:t xml:space="preserve"> </w:t>
      </w:r>
      <w:r w:rsidRPr="0038628B">
        <w:rPr>
          <w:rFonts w:ascii="Verdana" w:hAnsi="Verdana"/>
          <w:w w:val="105"/>
          <w:u w:val="thick"/>
        </w:rPr>
        <w:t>letter</w:t>
      </w:r>
      <w:r w:rsidRPr="0038628B">
        <w:rPr>
          <w:rFonts w:ascii="Verdana" w:hAnsi="Verdana"/>
          <w:spacing w:val="-3"/>
          <w:w w:val="105"/>
          <w:u w:val="thick"/>
        </w:rPr>
        <w:t xml:space="preserve"> </w:t>
      </w:r>
      <w:r w:rsidRPr="0038628B">
        <w:rPr>
          <w:rFonts w:ascii="Verdana" w:hAnsi="Verdana"/>
          <w:w w:val="105"/>
          <w:u w:val="thick"/>
        </w:rPr>
        <w:t>and</w:t>
      </w:r>
      <w:r w:rsidRPr="0038628B">
        <w:rPr>
          <w:rFonts w:ascii="Verdana" w:hAnsi="Verdana"/>
          <w:spacing w:val="-3"/>
          <w:w w:val="105"/>
          <w:u w:val="thick"/>
        </w:rPr>
        <w:t xml:space="preserve"> </w:t>
      </w:r>
      <w:r w:rsidRPr="0038628B">
        <w:rPr>
          <w:rFonts w:ascii="Verdana" w:hAnsi="Verdana"/>
          <w:w w:val="105"/>
          <w:u w:val="thick"/>
        </w:rPr>
        <w:t>providing</w:t>
      </w:r>
      <w:r w:rsidRPr="0038628B">
        <w:rPr>
          <w:rFonts w:ascii="Verdana" w:hAnsi="Verdana"/>
          <w:spacing w:val="-2"/>
          <w:w w:val="105"/>
          <w:u w:val="thick"/>
        </w:rPr>
        <w:t xml:space="preserve"> </w:t>
      </w:r>
      <w:r w:rsidRPr="0038628B">
        <w:rPr>
          <w:rFonts w:ascii="Verdana" w:hAnsi="Verdana"/>
          <w:w w:val="105"/>
          <w:u w:val="thick"/>
        </w:rPr>
        <w:t>direction</w:t>
      </w:r>
      <w:r w:rsidRPr="0038628B">
        <w:rPr>
          <w:rFonts w:ascii="Verdana" w:hAnsi="Verdana"/>
          <w:spacing w:val="-3"/>
          <w:w w:val="105"/>
          <w:u w:val="thick"/>
        </w:rPr>
        <w:t xml:space="preserve"> </w:t>
      </w:r>
      <w:r w:rsidRPr="0038628B">
        <w:rPr>
          <w:rFonts w:ascii="Verdana" w:hAnsi="Verdana"/>
          <w:w w:val="105"/>
          <w:u w:val="thick"/>
        </w:rPr>
        <w:t>to</w:t>
      </w:r>
      <w:r w:rsidRPr="0038628B">
        <w:rPr>
          <w:rFonts w:ascii="Verdana" w:hAnsi="Verdana"/>
          <w:spacing w:val="-3"/>
          <w:w w:val="105"/>
          <w:u w:val="thick"/>
        </w:rPr>
        <w:t xml:space="preserve"> </w:t>
      </w:r>
      <w:r w:rsidRPr="0038628B">
        <w:rPr>
          <w:rFonts w:ascii="Verdana" w:hAnsi="Verdana"/>
          <w:w w:val="105"/>
          <w:u w:val="thick"/>
        </w:rPr>
        <w:t>supervisory</w:t>
      </w:r>
      <w:r w:rsidRPr="0038628B">
        <w:rPr>
          <w:rFonts w:ascii="Verdana" w:hAnsi="Verdana"/>
          <w:spacing w:val="-3"/>
          <w:w w:val="105"/>
          <w:u w:val="thick"/>
        </w:rPr>
        <w:t xml:space="preserve"> </w:t>
      </w:r>
      <w:r w:rsidRPr="0038628B">
        <w:rPr>
          <w:rFonts w:ascii="Verdana" w:hAnsi="Verdana"/>
          <w:spacing w:val="-2"/>
          <w:w w:val="105"/>
          <w:u w:val="thick"/>
        </w:rPr>
        <w:t>teams</w:t>
      </w:r>
    </w:p>
    <w:p w:rsidR="00FF7EEB" w:rsidRPr="0038628B">
      <w:pPr>
        <w:pStyle w:val="BodyText"/>
        <w:spacing w:before="125" w:line="276" w:lineRule="auto"/>
        <w:ind w:left="23" w:right="35"/>
        <w:jc w:val="both"/>
        <w:rPr>
          <w:rFonts w:ascii="Verdana" w:hAnsi="Verdana"/>
        </w:rPr>
      </w:pPr>
      <w:r w:rsidRPr="0038628B">
        <w:rPr>
          <w:rFonts w:ascii="Verdana" w:hAnsi="Verdana"/>
          <w:w w:val="110"/>
        </w:rPr>
        <w:t>Since</w:t>
      </w:r>
      <w:r w:rsidRPr="0038628B">
        <w:rPr>
          <w:rFonts w:ascii="Verdana" w:hAnsi="Verdana"/>
          <w:spacing w:val="-16"/>
          <w:w w:val="110"/>
        </w:rPr>
        <w:t xml:space="preserve"> </w:t>
      </w:r>
      <w:r w:rsidRPr="0038628B">
        <w:rPr>
          <w:rFonts w:ascii="Verdana" w:hAnsi="Verdana"/>
          <w:w w:val="110"/>
        </w:rPr>
        <w:t>we</w:t>
      </w:r>
      <w:r w:rsidRPr="0038628B">
        <w:rPr>
          <w:rFonts w:ascii="Verdana" w:hAnsi="Verdana"/>
          <w:spacing w:val="-16"/>
          <w:w w:val="110"/>
        </w:rPr>
        <w:t xml:space="preserve"> </w:t>
      </w:r>
      <w:r w:rsidRPr="0038628B">
        <w:rPr>
          <w:rFonts w:ascii="Verdana" w:hAnsi="Verdana"/>
          <w:w w:val="110"/>
        </w:rPr>
        <w:t>gave</w:t>
      </w:r>
      <w:r w:rsidRPr="0038628B">
        <w:rPr>
          <w:rFonts w:ascii="Verdana" w:hAnsi="Verdana"/>
          <w:spacing w:val="-16"/>
          <w:w w:val="110"/>
        </w:rPr>
        <w:t xml:space="preserve"> </w:t>
      </w:r>
      <w:r w:rsidRPr="0038628B">
        <w:rPr>
          <w:rFonts w:ascii="Verdana" w:hAnsi="Verdana"/>
          <w:w w:val="110"/>
        </w:rPr>
        <w:t>evidence,</w:t>
      </w:r>
      <w:r w:rsidRPr="0038628B">
        <w:rPr>
          <w:rFonts w:ascii="Verdana" w:hAnsi="Verdana"/>
          <w:spacing w:val="-15"/>
          <w:w w:val="110"/>
        </w:rPr>
        <w:t xml:space="preserve"> </w:t>
      </w:r>
      <w:r w:rsidRPr="0038628B">
        <w:rPr>
          <w:rFonts w:ascii="Verdana" w:hAnsi="Verdana"/>
          <w:w w:val="110"/>
        </w:rPr>
        <w:t>we</w:t>
      </w:r>
      <w:r w:rsidRPr="0038628B">
        <w:rPr>
          <w:rFonts w:ascii="Verdana" w:hAnsi="Verdana"/>
          <w:spacing w:val="-16"/>
          <w:w w:val="110"/>
        </w:rPr>
        <w:t xml:space="preserve"> </w:t>
      </w:r>
      <w:r w:rsidRPr="0038628B">
        <w:rPr>
          <w:rFonts w:ascii="Verdana" w:hAnsi="Verdana"/>
          <w:w w:val="110"/>
        </w:rPr>
        <w:t>had</w:t>
      </w:r>
      <w:r w:rsidRPr="0038628B">
        <w:rPr>
          <w:rFonts w:ascii="Verdana" w:hAnsi="Verdana"/>
          <w:spacing w:val="-16"/>
          <w:w w:val="110"/>
        </w:rPr>
        <w:t xml:space="preserve"> </w:t>
      </w:r>
      <w:r w:rsidRPr="0038628B">
        <w:rPr>
          <w:rFonts w:ascii="Verdana" w:hAnsi="Verdana"/>
          <w:w w:val="110"/>
        </w:rPr>
        <w:t>a</w:t>
      </w:r>
      <w:r w:rsidRPr="0038628B">
        <w:rPr>
          <w:rFonts w:ascii="Verdana" w:hAnsi="Verdana"/>
          <w:spacing w:val="-16"/>
          <w:w w:val="110"/>
        </w:rPr>
        <w:t xml:space="preserve"> </w:t>
      </w:r>
      <w:r w:rsidRPr="0038628B">
        <w:rPr>
          <w:rFonts w:ascii="Verdana" w:hAnsi="Verdana"/>
          <w:w w:val="110"/>
        </w:rPr>
        <w:t>meeting</w:t>
      </w:r>
      <w:r w:rsidRPr="0038628B">
        <w:rPr>
          <w:rFonts w:ascii="Verdana" w:hAnsi="Verdana"/>
          <w:spacing w:val="-15"/>
          <w:w w:val="110"/>
        </w:rPr>
        <w:t xml:space="preserve"> </w:t>
      </w:r>
      <w:r w:rsidRPr="0038628B">
        <w:rPr>
          <w:rFonts w:ascii="Verdana" w:hAnsi="Verdana"/>
          <w:w w:val="110"/>
        </w:rPr>
        <w:t>with</w:t>
      </w:r>
      <w:r w:rsidRPr="0038628B">
        <w:rPr>
          <w:rFonts w:ascii="Verdana" w:hAnsi="Verdana"/>
          <w:spacing w:val="-16"/>
          <w:w w:val="110"/>
        </w:rPr>
        <w:t xml:space="preserve"> </w:t>
      </w:r>
      <w:r w:rsidRPr="0038628B">
        <w:rPr>
          <w:rFonts w:ascii="Verdana" w:hAnsi="Verdana"/>
          <w:w w:val="110"/>
        </w:rPr>
        <w:t>PRA</w:t>
      </w:r>
      <w:r w:rsidRPr="0038628B">
        <w:rPr>
          <w:rFonts w:ascii="Verdana" w:hAnsi="Verdana"/>
          <w:spacing w:val="-16"/>
          <w:w w:val="110"/>
        </w:rPr>
        <w:t xml:space="preserve"> </w:t>
      </w:r>
      <w:r w:rsidRPr="0038628B">
        <w:rPr>
          <w:rFonts w:ascii="Verdana" w:hAnsi="Verdana"/>
          <w:w w:val="110"/>
        </w:rPr>
        <w:t>and</w:t>
      </w:r>
      <w:r w:rsidRPr="0038628B">
        <w:rPr>
          <w:rFonts w:ascii="Verdana" w:hAnsi="Verdana"/>
          <w:spacing w:val="-15"/>
          <w:w w:val="110"/>
        </w:rPr>
        <w:t xml:space="preserve"> </w:t>
      </w:r>
      <w:r w:rsidRPr="0038628B">
        <w:rPr>
          <w:rFonts w:ascii="Verdana" w:hAnsi="Verdana"/>
          <w:w w:val="110"/>
        </w:rPr>
        <w:t>Bank</w:t>
      </w:r>
      <w:r w:rsidRPr="0038628B">
        <w:rPr>
          <w:rFonts w:ascii="Verdana" w:hAnsi="Verdana"/>
          <w:spacing w:val="-16"/>
          <w:w w:val="110"/>
        </w:rPr>
        <w:t xml:space="preserve"> </w:t>
      </w:r>
      <w:r w:rsidRPr="0038628B">
        <w:rPr>
          <w:rFonts w:ascii="Verdana" w:hAnsi="Verdana"/>
          <w:w w:val="110"/>
        </w:rPr>
        <w:t>of</w:t>
      </w:r>
      <w:r w:rsidRPr="0038628B">
        <w:rPr>
          <w:rFonts w:ascii="Verdana" w:hAnsi="Verdana"/>
          <w:spacing w:val="-16"/>
          <w:w w:val="110"/>
        </w:rPr>
        <w:t xml:space="preserve"> </w:t>
      </w:r>
      <w:r w:rsidRPr="0038628B">
        <w:rPr>
          <w:rFonts w:ascii="Verdana" w:hAnsi="Verdana"/>
          <w:w w:val="110"/>
        </w:rPr>
        <w:t>England</w:t>
      </w:r>
      <w:r w:rsidRPr="0038628B">
        <w:rPr>
          <w:rFonts w:ascii="Verdana" w:hAnsi="Verdana"/>
          <w:spacing w:val="-16"/>
          <w:w w:val="110"/>
        </w:rPr>
        <w:t xml:space="preserve"> </w:t>
      </w:r>
      <w:r w:rsidRPr="0038628B">
        <w:rPr>
          <w:rFonts w:ascii="Verdana" w:hAnsi="Verdana"/>
          <w:w w:val="110"/>
        </w:rPr>
        <w:t>oﬃcials</w:t>
      </w:r>
      <w:r w:rsidRPr="0038628B">
        <w:rPr>
          <w:rFonts w:ascii="Verdana" w:hAnsi="Verdana"/>
          <w:spacing w:val="-15"/>
          <w:w w:val="110"/>
        </w:rPr>
        <w:t xml:space="preserve"> </w:t>
      </w:r>
      <w:r w:rsidRPr="0038628B">
        <w:rPr>
          <w:rFonts w:ascii="Verdana" w:hAnsi="Verdana"/>
          <w:w w:val="110"/>
        </w:rPr>
        <w:t xml:space="preserve">and </w:t>
      </w:r>
      <w:r w:rsidRPr="0038628B">
        <w:rPr>
          <w:rFonts w:ascii="Verdana" w:hAnsi="Verdana"/>
          <w:spacing w:val="-2"/>
          <w:w w:val="110"/>
        </w:rPr>
        <w:t>some</w:t>
      </w:r>
      <w:r w:rsidRPr="0038628B">
        <w:rPr>
          <w:rFonts w:ascii="Verdana" w:hAnsi="Verdana"/>
          <w:spacing w:val="-11"/>
          <w:w w:val="110"/>
        </w:rPr>
        <w:t xml:space="preserve"> </w:t>
      </w:r>
      <w:r w:rsidRPr="0038628B">
        <w:rPr>
          <w:rFonts w:ascii="Verdana" w:hAnsi="Verdana"/>
          <w:spacing w:val="-2"/>
          <w:w w:val="110"/>
        </w:rPr>
        <w:t>digital-ﬁrst</w:t>
      </w:r>
      <w:r w:rsidRPr="0038628B">
        <w:rPr>
          <w:rFonts w:ascii="Verdana" w:hAnsi="Verdana"/>
          <w:spacing w:val="40"/>
          <w:w w:val="110"/>
        </w:rPr>
        <w:t xml:space="preserve"> </w:t>
      </w:r>
      <w:r w:rsidRPr="0038628B">
        <w:rPr>
          <w:rFonts w:ascii="Verdana" w:hAnsi="Verdana"/>
          <w:spacing w:val="-2"/>
          <w:w w:val="110"/>
        </w:rPr>
        <w:t>banks</w:t>
      </w:r>
      <w:r w:rsidRPr="0038628B">
        <w:rPr>
          <w:rFonts w:ascii="Verdana" w:hAnsi="Verdana"/>
          <w:spacing w:val="-14"/>
          <w:w w:val="110"/>
        </w:rPr>
        <w:t xml:space="preserve"> </w:t>
      </w:r>
      <w:r w:rsidRPr="0038628B">
        <w:rPr>
          <w:rFonts w:ascii="Verdana" w:hAnsi="Verdana"/>
          <w:spacing w:val="-2"/>
          <w:w w:val="110"/>
        </w:rPr>
        <w:t>to</w:t>
      </w:r>
      <w:r w:rsidRPr="0038628B">
        <w:rPr>
          <w:rFonts w:ascii="Verdana" w:hAnsi="Verdana"/>
          <w:spacing w:val="-14"/>
          <w:w w:val="110"/>
        </w:rPr>
        <w:t xml:space="preserve"> </w:t>
      </w:r>
      <w:r w:rsidRPr="0038628B">
        <w:rPr>
          <w:rFonts w:ascii="Verdana" w:hAnsi="Verdana"/>
          <w:spacing w:val="-2"/>
          <w:w w:val="110"/>
        </w:rPr>
        <w:t>discuss</w:t>
      </w:r>
      <w:r w:rsidRPr="0038628B">
        <w:rPr>
          <w:rFonts w:ascii="Verdana" w:hAnsi="Verdana"/>
          <w:spacing w:val="-14"/>
          <w:w w:val="110"/>
        </w:rPr>
        <w:t xml:space="preserve"> </w:t>
      </w:r>
      <w:r w:rsidRPr="0038628B">
        <w:rPr>
          <w:rFonts w:ascii="Verdana" w:hAnsi="Verdana"/>
          <w:spacing w:val="-2"/>
          <w:w w:val="110"/>
        </w:rPr>
        <w:t>this</w:t>
      </w:r>
      <w:r w:rsidRPr="0038628B">
        <w:rPr>
          <w:rFonts w:ascii="Verdana" w:hAnsi="Verdana"/>
          <w:spacing w:val="-13"/>
          <w:w w:val="110"/>
        </w:rPr>
        <w:t xml:space="preserve"> </w:t>
      </w:r>
      <w:r w:rsidRPr="0038628B">
        <w:rPr>
          <w:rFonts w:ascii="Verdana" w:hAnsi="Verdana"/>
          <w:spacing w:val="-2"/>
          <w:w w:val="110"/>
        </w:rPr>
        <w:t>issue.</w:t>
      </w:r>
      <w:r w:rsidRPr="0038628B">
        <w:rPr>
          <w:rFonts w:ascii="Verdana" w:hAnsi="Verdana"/>
          <w:spacing w:val="-14"/>
          <w:w w:val="110"/>
        </w:rPr>
        <w:t xml:space="preserve"> </w:t>
      </w:r>
      <w:r w:rsidRPr="0038628B">
        <w:rPr>
          <w:rFonts w:ascii="Verdana" w:hAnsi="Verdana"/>
          <w:spacing w:val="-2"/>
          <w:w w:val="110"/>
        </w:rPr>
        <w:t>The</w:t>
      </w:r>
      <w:r w:rsidRPr="0038628B">
        <w:rPr>
          <w:rFonts w:ascii="Verdana" w:hAnsi="Verdana"/>
          <w:spacing w:val="-14"/>
          <w:w w:val="110"/>
        </w:rPr>
        <w:t xml:space="preserve"> </w:t>
      </w:r>
      <w:r w:rsidRPr="0038628B">
        <w:rPr>
          <w:rFonts w:ascii="Verdana" w:hAnsi="Verdana"/>
          <w:spacing w:val="-2"/>
          <w:w w:val="110"/>
        </w:rPr>
        <w:t>PRA</w:t>
      </w:r>
      <w:r w:rsidRPr="0038628B">
        <w:rPr>
          <w:rFonts w:ascii="Verdana" w:hAnsi="Verdana"/>
          <w:spacing w:val="-14"/>
          <w:w w:val="110"/>
        </w:rPr>
        <w:t xml:space="preserve"> </w:t>
      </w:r>
      <w:r w:rsidRPr="0038628B">
        <w:rPr>
          <w:rFonts w:ascii="Verdana" w:hAnsi="Verdana"/>
          <w:spacing w:val="-2"/>
          <w:w w:val="110"/>
        </w:rPr>
        <w:t>and</w:t>
      </w:r>
      <w:r w:rsidRPr="0038628B">
        <w:rPr>
          <w:rFonts w:ascii="Verdana" w:hAnsi="Verdana"/>
          <w:spacing w:val="-13"/>
          <w:w w:val="110"/>
        </w:rPr>
        <w:t xml:space="preserve"> </w:t>
      </w:r>
      <w:r w:rsidRPr="0038628B">
        <w:rPr>
          <w:rFonts w:ascii="Verdana" w:hAnsi="Verdana"/>
          <w:spacing w:val="-2"/>
          <w:w w:val="110"/>
        </w:rPr>
        <w:t>Bank</w:t>
      </w:r>
      <w:r w:rsidRPr="0038628B">
        <w:rPr>
          <w:rFonts w:ascii="Verdana" w:hAnsi="Verdana"/>
          <w:spacing w:val="-14"/>
          <w:w w:val="110"/>
        </w:rPr>
        <w:t xml:space="preserve"> </w:t>
      </w:r>
      <w:r w:rsidRPr="0038628B">
        <w:rPr>
          <w:rFonts w:ascii="Verdana" w:hAnsi="Verdana"/>
          <w:spacing w:val="-2"/>
          <w:w w:val="110"/>
        </w:rPr>
        <w:t>oﬃcials</w:t>
      </w:r>
      <w:r w:rsidRPr="0038628B">
        <w:rPr>
          <w:rFonts w:ascii="Verdana" w:hAnsi="Verdana"/>
          <w:spacing w:val="-14"/>
          <w:w w:val="110"/>
        </w:rPr>
        <w:t xml:space="preserve"> </w:t>
      </w:r>
      <w:r w:rsidRPr="0038628B">
        <w:rPr>
          <w:rFonts w:ascii="Verdana" w:hAnsi="Verdana"/>
          <w:spacing w:val="-2"/>
          <w:w w:val="110"/>
        </w:rPr>
        <w:t>indicated</w:t>
      </w:r>
      <w:r w:rsidRPr="0038628B">
        <w:rPr>
          <w:rFonts w:ascii="Verdana" w:hAnsi="Verdana"/>
          <w:spacing w:val="-13"/>
          <w:w w:val="110"/>
        </w:rPr>
        <w:t xml:space="preserve"> </w:t>
      </w:r>
      <w:r w:rsidRPr="0038628B">
        <w:rPr>
          <w:rFonts w:ascii="Verdana" w:hAnsi="Verdana"/>
          <w:spacing w:val="-2"/>
          <w:w w:val="110"/>
        </w:rPr>
        <w:t xml:space="preserve">that </w:t>
      </w:r>
      <w:r w:rsidRPr="0038628B">
        <w:rPr>
          <w:rFonts w:ascii="Verdana" w:hAnsi="Verdana"/>
          <w:w w:val="110"/>
        </w:rPr>
        <w:t>the Dear CEO letter was less prescriptive than we (and the</w:t>
      </w:r>
      <w:r w:rsidRPr="0038628B">
        <w:rPr>
          <w:rFonts w:ascii="Verdana" w:hAnsi="Verdana"/>
          <w:spacing w:val="-10"/>
          <w:w w:val="110"/>
        </w:rPr>
        <w:t xml:space="preserve"> </w:t>
      </w:r>
      <w:r w:rsidRPr="0038628B">
        <w:rPr>
          <w:rFonts w:ascii="Verdana" w:hAnsi="Verdana"/>
          <w:w w:val="110"/>
        </w:rPr>
        <w:t>banks)</w:t>
      </w:r>
      <w:r w:rsidRPr="0038628B">
        <w:rPr>
          <w:rFonts w:ascii="Verdana" w:hAnsi="Verdana"/>
          <w:spacing w:val="-10"/>
          <w:w w:val="110"/>
        </w:rPr>
        <w:t xml:space="preserve"> </w:t>
      </w:r>
      <w:r w:rsidRPr="0038628B">
        <w:rPr>
          <w:rFonts w:ascii="Verdana" w:hAnsi="Verdana"/>
          <w:w w:val="110"/>
        </w:rPr>
        <w:t>interpreted</w:t>
      </w:r>
      <w:r w:rsidRPr="0038628B">
        <w:rPr>
          <w:rFonts w:ascii="Verdana" w:hAnsi="Verdana"/>
          <w:spacing w:val="-10"/>
          <w:w w:val="110"/>
        </w:rPr>
        <w:t xml:space="preserve"> </w:t>
      </w:r>
      <w:r w:rsidRPr="0038628B">
        <w:rPr>
          <w:rFonts w:ascii="Verdana" w:hAnsi="Verdana"/>
          <w:w w:val="110"/>
        </w:rPr>
        <w:t>it.</w:t>
      </w:r>
      <w:r w:rsidRPr="0038628B">
        <w:rPr>
          <w:rFonts w:ascii="Verdana" w:hAnsi="Verdana"/>
          <w:spacing w:val="-10"/>
          <w:w w:val="110"/>
        </w:rPr>
        <w:t xml:space="preserve"> </w:t>
      </w:r>
      <w:r w:rsidRPr="0038628B">
        <w:rPr>
          <w:rFonts w:ascii="Verdana" w:hAnsi="Verdana"/>
          <w:w w:val="110"/>
        </w:rPr>
        <w:t>On branding</w:t>
      </w:r>
      <w:r w:rsidRPr="0038628B">
        <w:rPr>
          <w:rFonts w:ascii="Verdana" w:hAnsi="Verdana"/>
          <w:spacing w:val="-16"/>
          <w:w w:val="110"/>
        </w:rPr>
        <w:t xml:space="preserve"> </w:t>
      </w:r>
      <w:r w:rsidRPr="0038628B">
        <w:rPr>
          <w:rFonts w:ascii="Verdana" w:hAnsi="Verdana"/>
          <w:w w:val="110"/>
        </w:rPr>
        <w:t>they</w:t>
      </w:r>
      <w:r w:rsidRPr="0038628B">
        <w:rPr>
          <w:rFonts w:ascii="Verdana" w:hAnsi="Verdana"/>
          <w:spacing w:val="-16"/>
          <w:w w:val="110"/>
        </w:rPr>
        <w:t xml:space="preserve"> </w:t>
      </w:r>
      <w:r w:rsidRPr="0038628B">
        <w:rPr>
          <w:rFonts w:ascii="Verdana" w:hAnsi="Verdana"/>
          <w:w w:val="110"/>
        </w:rPr>
        <w:t>suggested</w:t>
      </w:r>
      <w:r w:rsidRPr="0038628B">
        <w:rPr>
          <w:rFonts w:ascii="Verdana" w:hAnsi="Verdana"/>
          <w:spacing w:val="-16"/>
          <w:w w:val="110"/>
        </w:rPr>
        <w:t xml:space="preserve"> </w:t>
      </w:r>
      <w:r w:rsidRPr="0038628B">
        <w:rPr>
          <w:rFonts w:ascii="Verdana" w:hAnsi="Verdana"/>
          <w:w w:val="110"/>
        </w:rPr>
        <w:t>that</w:t>
      </w:r>
      <w:r w:rsidRPr="0038628B">
        <w:rPr>
          <w:rFonts w:ascii="Verdana" w:hAnsi="Verdana"/>
          <w:spacing w:val="-15"/>
          <w:w w:val="110"/>
        </w:rPr>
        <w:t xml:space="preserve"> </w:t>
      </w:r>
      <w:r w:rsidRPr="0038628B">
        <w:rPr>
          <w:rFonts w:ascii="Verdana" w:hAnsi="Verdana"/>
          <w:w w:val="110"/>
        </w:rPr>
        <w:t>this</w:t>
      </w:r>
      <w:r w:rsidRPr="0038628B">
        <w:rPr>
          <w:rFonts w:ascii="Verdana" w:hAnsi="Verdana"/>
          <w:spacing w:val="-16"/>
          <w:w w:val="110"/>
        </w:rPr>
        <w:t xml:space="preserve"> </w:t>
      </w:r>
      <w:r w:rsidRPr="0038628B">
        <w:rPr>
          <w:rFonts w:ascii="Verdana" w:hAnsi="Verdana"/>
          <w:w w:val="110"/>
        </w:rPr>
        <w:t>was</w:t>
      </w:r>
      <w:r w:rsidRPr="0038628B">
        <w:rPr>
          <w:rFonts w:ascii="Verdana" w:hAnsi="Verdana"/>
          <w:spacing w:val="-16"/>
          <w:w w:val="110"/>
        </w:rPr>
        <w:t xml:space="preserve"> </w:t>
      </w:r>
      <w:r w:rsidRPr="0038628B">
        <w:rPr>
          <w:rFonts w:ascii="Verdana" w:hAnsi="Verdana"/>
          <w:w w:val="110"/>
        </w:rPr>
        <w:t>less</w:t>
      </w:r>
      <w:r w:rsidRPr="0038628B">
        <w:rPr>
          <w:rFonts w:ascii="Verdana" w:hAnsi="Verdana"/>
          <w:spacing w:val="-16"/>
          <w:w w:val="110"/>
        </w:rPr>
        <w:t xml:space="preserve"> </w:t>
      </w:r>
      <w:r w:rsidRPr="0038628B">
        <w:rPr>
          <w:rFonts w:ascii="Verdana" w:hAnsi="Verdana"/>
          <w:w w:val="110"/>
        </w:rPr>
        <w:t>about</w:t>
      </w:r>
      <w:r w:rsidRPr="0038628B">
        <w:rPr>
          <w:rFonts w:ascii="Verdana" w:hAnsi="Verdana"/>
          <w:spacing w:val="-15"/>
          <w:w w:val="110"/>
        </w:rPr>
        <w:t xml:space="preserve"> </w:t>
      </w:r>
      <w:r w:rsidRPr="0038628B">
        <w:rPr>
          <w:rFonts w:ascii="Verdana" w:hAnsi="Verdana"/>
          <w:w w:val="110"/>
        </w:rPr>
        <w:t>corporate</w:t>
      </w:r>
      <w:r w:rsidRPr="0038628B">
        <w:rPr>
          <w:rFonts w:ascii="Verdana" w:hAnsi="Verdana"/>
          <w:spacing w:val="-16"/>
          <w:w w:val="110"/>
        </w:rPr>
        <w:t xml:space="preserve"> </w:t>
      </w:r>
      <w:r w:rsidRPr="0038628B">
        <w:rPr>
          <w:rFonts w:ascii="Verdana" w:hAnsi="Verdana"/>
          <w:w w:val="110"/>
        </w:rPr>
        <w:t>brand</w:t>
      </w:r>
      <w:r w:rsidRPr="0038628B">
        <w:rPr>
          <w:rFonts w:ascii="Verdana" w:hAnsi="Verdana"/>
          <w:spacing w:val="-16"/>
          <w:w w:val="110"/>
        </w:rPr>
        <w:t xml:space="preserve"> </w:t>
      </w:r>
      <w:r w:rsidRPr="0038628B">
        <w:rPr>
          <w:rFonts w:ascii="Verdana" w:hAnsi="Verdana"/>
          <w:w w:val="110"/>
        </w:rPr>
        <w:t>(the</w:t>
      </w:r>
      <w:r w:rsidRPr="0038628B">
        <w:rPr>
          <w:rFonts w:ascii="Verdana" w:hAnsi="Verdana"/>
          <w:spacing w:val="-15"/>
          <w:w w:val="110"/>
        </w:rPr>
        <w:t xml:space="preserve"> </w:t>
      </w:r>
      <w:r w:rsidRPr="0038628B">
        <w:rPr>
          <w:rFonts w:ascii="Verdana" w:hAnsi="Verdana"/>
          <w:w w:val="110"/>
        </w:rPr>
        <w:t>name,</w:t>
      </w:r>
      <w:r w:rsidRPr="0038628B">
        <w:rPr>
          <w:rFonts w:ascii="Verdana" w:hAnsi="Verdana"/>
          <w:spacing w:val="-16"/>
          <w:w w:val="110"/>
        </w:rPr>
        <w:t xml:space="preserve"> </w:t>
      </w:r>
      <w:r w:rsidRPr="0038628B">
        <w:rPr>
          <w:rFonts w:ascii="Verdana" w:hAnsi="Verdana"/>
          <w:w w:val="110"/>
        </w:rPr>
        <w:t>design, symbol</w:t>
      </w:r>
      <w:r w:rsidRPr="0038628B">
        <w:rPr>
          <w:rFonts w:ascii="Verdana" w:hAnsi="Verdana"/>
          <w:spacing w:val="-16"/>
          <w:w w:val="110"/>
        </w:rPr>
        <w:t xml:space="preserve"> </w:t>
      </w:r>
      <w:r w:rsidRPr="0038628B">
        <w:rPr>
          <w:rFonts w:ascii="Verdana" w:hAnsi="Verdana"/>
          <w:w w:val="110"/>
        </w:rPr>
        <w:t>and</w:t>
      </w:r>
      <w:r w:rsidRPr="0038628B">
        <w:rPr>
          <w:rFonts w:ascii="Verdana" w:hAnsi="Verdana"/>
          <w:spacing w:val="-16"/>
          <w:w w:val="110"/>
        </w:rPr>
        <w:t xml:space="preserve"> </w:t>
      </w:r>
      <w:r w:rsidRPr="0038628B">
        <w:rPr>
          <w:rFonts w:ascii="Verdana" w:hAnsi="Verdana"/>
          <w:w w:val="110"/>
        </w:rPr>
        <w:t>identifying</w:t>
      </w:r>
      <w:r w:rsidRPr="0038628B">
        <w:rPr>
          <w:rFonts w:ascii="Verdana" w:hAnsi="Verdana"/>
          <w:spacing w:val="-16"/>
          <w:w w:val="110"/>
        </w:rPr>
        <w:t xml:space="preserve"> </w:t>
      </w:r>
      <w:r w:rsidRPr="0038628B">
        <w:rPr>
          <w:rFonts w:ascii="Verdana" w:hAnsi="Verdana"/>
          <w:w w:val="110"/>
        </w:rPr>
        <w:t>features</w:t>
      </w:r>
      <w:r w:rsidRPr="0038628B">
        <w:rPr>
          <w:rFonts w:ascii="Verdana" w:hAnsi="Verdana"/>
          <w:spacing w:val="-15"/>
          <w:w w:val="110"/>
        </w:rPr>
        <w:t xml:space="preserve"> </w:t>
      </w:r>
      <w:r w:rsidRPr="0038628B">
        <w:rPr>
          <w:rFonts w:ascii="Verdana" w:hAnsi="Verdana"/>
          <w:w w:val="110"/>
        </w:rPr>
        <w:t>of</w:t>
      </w:r>
      <w:r w:rsidRPr="0038628B">
        <w:rPr>
          <w:rFonts w:ascii="Verdana" w:hAnsi="Verdana"/>
          <w:spacing w:val="-16"/>
          <w:w w:val="110"/>
        </w:rPr>
        <w:t xml:space="preserve"> </w:t>
      </w:r>
      <w:r w:rsidRPr="0038628B">
        <w:rPr>
          <w:rFonts w:ascii="Verdana" w:hAnsi="Verdana"/>
          <w:w w:val="110"/>
        </w:rPr>
        <w:t>the</w:t>
      </w:r>
      <w:r w:rsidRPr="0038628B">
        <w:rPr>
          <w:rFonts w:ascii="Verdana" w:hAnsi="Verdana"/>
          <w:spacing w:val="-16"/>
          <w:w w:val="110"/>
        </w:rPr>
        <w:t xml:space="preserve"> </w:t>
      </w:r>
      <w:r w:rsidRPr="0038628B">
        <w:rPr>
          <w:rFonts w:ascii="Verdana" w:hAnsi="Verdana"/>
          <w:w w:val="110"/>
        </w:rPr>
        <w:t>commercial</w:t>
      </w:r>
      <w:r w:rsidRPr="0038628B">
        <w:rPr>
          <w:rFonts w:ascii="Verdana" w:hAnsi="Verdana"/>
          <w:spacing w:val="-16"/>
          <w:w w:val="110"/>
        </w:rPr>
        <w:t xml:space="preserve"> </w:t>
      </w:r>
      <w:r w:rsidRPr="0038628B">
        <w:rPr>
          <w:rFonts w:ascii="Verdana" w:hAnsi="Verdana"/>
          <w:w w:val="110"/>
        </w:rPr>
        <w:t>bank)</w:t>
      </w:r>
      <w:r w:rsidRPr="0038628B">
        <w:rPr>
          <w:rFonts w:ascii="Verdana" w:hAnsi="Verdana"/>
          <w:spacing w:val="-14"/>
          <w:w w:val="110"/>
        </w:rPr>
        <w:t xml:space="preserve"> </w:t>
      </w:r>
      <w:r w:rsidRPr="0038628B">
        <w:rPr>
          <w:rFonts w:ascii="Verdana" w:hAnsi="Verdana"/>
          <w:w w:val="110"/>
        </w:rPr>
        <w:t>and</w:t>
      </w:r>
      <w:r w:rsidRPr="0038628B">
        <w:rPr>
          <w:rFonts w:ascii="Verdana" w:hAnsi="Verdana"/>
          <w:spacing w:val="-15"/>
          <w:w w:val="110"/>
        </w:rPr>
        <w:t xml:space="preserve"> </w:t>
      </w:r>
      <w:r w:rsidRPr="0038628B">
        <w:rPr>
          <w:rFonts w:ascii="Verdana" w:hAnsi="Verdana"/>
          <w:w w:val="110"/>
        </w:rPr>
        <w:t>more</w:t>
      </w:r>
      <w:r w:rsidRPr="0038628B">
        <w:rPr>
          <w:rFonts w:ascii="Verdana" w:hAnsi="Verdana"/>
          <w:spacing w:val="-15"/>
          <w:w w:val="110"/>
        </w:rPr>
        <w:t xml:space="preserve"> </w:t>
      </w:r>
      <w:r w:rsidRPr="0038628B">
        <w:rPr>
          <w:rFonts w:ascii="Verdana" w:hAnsi="Verdana"/>
          <w:w w:val="110"/>
        </w:rPr>
        <w:t>about</w:t>
      </w:r>
      <w:r w:rsidRPr="0038628B">
        <w:rPr>
          <w:rFonts w:ascii="Verdana" w:hAnsi="Verdana"/>
          <w:spacing w:val="-15"/>
          <w:w w:val="110"/>
        </w:rPr>
        <w:t xml:space="preserve"> </w:t>
      </w:r>
      <w:r w:rsidRPr="0038628B">
        <w:rPr>
          <w:rFonts w:ascii="Verdana" w:hAnsi="Verdana"/>
          <w:w w:val="110"/>
        </w:rPr>
        <w:t>providing</w:t>
      </w:r>
      <w:r w:rsidRPr="0038628B">
        <w:rPr>
          <w:rFonts w:ascii="Verdana" w:hAnsi="Verdana"/>
          <w:spacing w:val="-16"/>
          <w:w w:val="110"/>
        </w:rPr>
        <w:t xml:space="preserve"> </w:t>
      </w:r>
      <w:r w:rsidRPr="0038628B">
        <w:rPr>
          <w:rFonts w:ascii="Verdana" w:hAnsi="Verdana"/>
          <w:w w:val="110"/>
        </w:rPr>
        <w:t>a clear distinction between a stablecoin and a deposit account and making sure customers understand the diﬀerence between these products.</w:t>
      </w:r>
      <w:r w:rsidRPr="0038628B">
        <w:rPr>
          <w:rFonts w:ascii="Verdana" w:hAnsi="Verdana"/>
          <w:spacing w:val="40"/>
          <w:w w:val="110"/>
        </w:rPr>
        <w:t xml:space="preserve"> </w:t>
      </w:r>
      <w:r w:rsidRPr="0038628B">
        <w:rPr>
          <w:rFonts w:ascii="Verdana" w:hAnsi="Verdana"/>
          <w:w w:val="110"/>
        </w:rPr>
        <w:t>The</w:t>
      </w:r>
      <w:r w:rsidRPr="0038628B">
        <w:rPr>
          <w:rFonts w:ascii="Verdana" w:hAnsi="Verdana"/>
          <w:spacing w:val="-8"/>
          <w:w w:val="110"/>
        </w:rPr>
        <w:t xml:space="preserve"> </w:t>
      </w:r>
      <w:r w:rsidRPr="0038628B">
        <w:rPr>
          <w:rFonts w:ascii="Verdana" w:hAnsi="Verdana"/>
          <w:w w:val="110"/>
        </w:rPr>
        <w:t>Bank</w:t>
      </w:r>
      <w:r w:rsidRPr="0038628B">
        <w:rPr>
          <w:rFonts w:ascii="Verdana" w:hAnsi="Verdana"/>
          <w:spacing w:val="-8"/>
          <w:w w:val="110"/>
        </w:rPr>
        <w:t xml:space="preserve"> </w:t>
      </w:r>
      <w:r w:rsidRPr="0038628B">
        <w:rPr>
          <w:rFonts w:ascii="Verdana" w:hAnsi="Verdana"/>
          <w:w w:val="110"/>
        </w:rPr>
        <w:t xml:space="preserve">indicated they were very happy to discuss individual proposals from banks on the customer journey within a banking app. This is a very welcome clariﬁcation. We feel the Dear </w:t>
      </w:r>
      <w:r w:rsidRPr="0038628B">
        <w:rPr>
          <w:rFonts w:ascii="Verdana" w:hAnsi="Verdana"/>
          <w:w w:val="110"/>
        </w:rPr>
        <w:t>CEO</w:t>
      </w:r>
      <w:r w:rsidRPr="0038628B">
        <w:rPr>
          <w:rFonts w:ascii="Verdana" w:hAnsi="Verdana"/>
          <w:spacing w:val="-16"/>
          <w:w w:val="110"/>
        </w:rPr>
        <w:t xml:space="preserve"> </w:t>
      </w:r>
      <w:r w:rsidRPr="0038628B">
        <w:rPr>
          <w:rFonts w:ascii="Verdana" w:hAnsi="Verdana"/>
          <w:w w:val="110"/>
        </w:rPr>
        <w:t>letter</w:t>
      </w:r>
      <w:r w:rsidRPr="0038628B">
        <w:rPr>
          <w:rFonts w:ascii="Verdana" w:hAnsi="Verdana"/>
          <w:spacing w:val="-9"/>
          <w:w w:val="110"/>
        </w:rPr>
        <w:t xml:space="preserve"> </w:t>
      </w:r>
      <w:r w:rsidRPr="0038628B">
        <w:rPr>
          <w:rFonts w:ascii="Verdana" w:hAnsi="Verdana"/>
          <w:w w:val="110"/>
        </w:rPr>
        <w:t>-</w:t>
      </w:r>
      <w:r w:rsidRPr="0038628B">
        <w:rPr>
          <w:rFonts w:ascii="Verdana" w:hAnsi="Verdana"/>
          <w:spacing w:val="-10"/>
          <w:w w:val="110"/>
        </w:rPr>
        <w:t xml:space="preserve"> </w:t>
      </w:r>
      <w:r w:rsidRPr="0038628B">
        <w:rPr>
          <w:rFonts w:ascii="Verdana" w:hAnsi="Verdana"/>
          <w:w w:val="110"/>
        </w:rPr>
        <w:t>which</w:t>
      </w:r>
      <w:r w:rsidRPr="0038628B">
        <w:rPr>
          <w:rFonts w:ascii="Verdana" w:hAnsi="Verdana"/>
          <w:spacing w:val="-10"/>
          <w:w w:val="110"/>
        </w:rPr>
        <w:t xml:space="preserve"> </w:t>
      </w:r>
      <w:r w:rsidRPr="0038628B">
        <w:rPr>
          <w:rFonts w:ascii="Verdana" w:hAnsi="Verdana"/>
          <w:w w:val="110"/>
        </w:rPr>
        <w:t>remains</w:t>
      </w:r>
      <w:r w:rsidRPr="0038628B">
        <w:rPr>
          <w:rFonts w:ascii="Verdana" w:hAnsi="Verdana"/>
          <w:spacing w:val="-10"/>
          <w:w w:val="110"/>
        </w:rPr>
        <w:t xml:space="preserve"> </w:t>
      </w:r>
      <w:r w:rsidRPr="0038628B">
        <w:rPr>
          <w:rFonts w:ascii="Verdana" w:hAnsi="Verdana"/>
          <w:w w:val="110"/>
        </w:rPr>
        <w:t>the</w:t>
      </w:r>
      <w:r w:rsidRPr="0038628B">
        <w:rPr>
          <w:rFonts w:ascii="Verdana" w:hAnsi="Verdana"/>
          <w:spacing w:val="-10"/>
          <w:w w:val="110"/>
        </w:rPr>
        <w:t xml:space="preserve"> </w:t>
      </w:r>
      <w:r w:rsidRPr="0038628B">
        <w:rPr>
          <w:rFonts w:ascii="Verdana" w:hAnsi="Verdana"/>
          <w:w w:val="110"/>
        </w:rPr>
        <w:t>formal</w:t>
      </w:r>
      <w:r w:rsidRPr="0038628B">
        <w:rPr>
          <w:rFonts w:ascii="Verdana" w:hAnsi="Verdana"/>
          <w:spacing w:val="-10"/>
          <w:w w:val="110"/>
        </w:rPr>
        <w:t xml:space="preserve"> </w:t>
      </w:r>
      <w:r w:rsidRPr="0038628B">
        <w:rPr>
          <w:rFonts w:ascii="Verdana" w:hAnsi="Verdana"/>
          <w:w w:val="110"/>
        </w:rPr>
        <w:t>policy</w:t>
      </w:r>
      <w:r w:rsidRPr="0038628B">
        <w:rPr>
          <w:rFonts w:ascii="Verdana" w:hAnsi="Verdana"/>
          <w:spacing w:val="-10"/>
          <w:w w:val="110"/>
        </w:rPr>
        <w:t xml:space="preserve"> </w:t>
      </w:r>
      <w:r w:rsidRPr="0038628B">
        <w:rPr>
          <w:rFonts w:ascii="Verdana" w:hAnsi="Verdana"/>
          <w:w w:val="110"/>
        </w:rPr>
        <w:t>statement</w:t>
      </w:r>
      <w:r w:rsidRPr="0038628B">
        <w:rPr>
          <w:rFonts w:ascii="Verdana" w:hAnsi="Verdana"/>
          <w:spacing w:val="-10"/>
          <w:w w:val="110"/>
        </w:rPr>
        <w:t xml:space="preserve"> </w:t>
      </w:r>
      <w:r w:rsidRPr="0038628B">
        <w:rPr>
          <w:rFonts w:ascii="Verdana" w:hAnsi="Verdana"/>
          <w:w w:val="110"/>
        </w:rPr>
        <w:t>on</w:t>
      </w:r>
      <w:r w:rsidRPr="0038628B">
        <w:rPr>
          <w:rFonts w:ascii="Verdana" w:hAnsi="Verdana"/>
          <w:spacing w:val="-10"/>
          <w:w w:val="110"/>
        </w:rPr>
        <w:t xml:space="preserve"> </w:t>
      </w:r>
      <w:r w:rsidRPr="0038628B">
        <w:rPr>
          <w:rFonts w:ascii="Verdana" w:hAnsi="Verdana"/>
          <w:w w:val="110"/>
        </w:rPr>
        <w:t>this</w:t>
      </w:r>
      <w:r w:rsidRPr="0038628B">
        <w:rPr>
          <w:rFonts w:ascii="Verdana" w:hAnsi="Verdana"/>
          <w:spacing w:val="-10"/>
          <w:w w:val="110"/>
        </w:rPr>
        <w:t xml:space="preserve"> </w:t>
      </w:r>
      <w:r w:rsidRPr="0038628B">
        <w:rPr>
          <w:rFonts w:ascii="Verdana" w:hAnsi="Verdana"/>
          <w:w w:val="110"/>
        </w:rPr>
        <w:t>matter</w:t>
      </w:r>
      <w:r w:rsidRPr="0038628B">
        <w:rPr>
          <w:rFonts w:ascii="Verdana" w:hAnsi="Verdana"/>
          <w:spacing w:val="-10"/>
          <w:w w:val="110"/>
        </w:rPr>
        <w:t xml:space="preserve"> </w:t>
      </w:r>
      <w:r w:rsidRPr="0038628B">
        <w:rPr>
          <w:rFonts w:ascii="Verdana" w:hAnsi="Verdana"/>
          <w:w w:val="110"/>
        </w:rPr>
        <w:t>by</w:t>
      </w:r>
      <w:r w:rsidRPr="0038628B">
        <w:rPr>
          <w:rFonts w:ascii="Verdana" w:hAnsi="Verdana"/>
          <w:spacing w:val="-10"/>
          <w:w w:val="110"/>
        </w:rPr>
        <w:t xml:space="preserve"> </w:t>
      </w:r>
      <w:r w:rsidRPr="0038628B">
        <w:rPr>
          <w:rFonts w:ascii="Verdana" w:hAnsi="Verdana"/>
          <w:w w:val="110"/>
        </w:rPr>
        <w:t>the</w:t>
      </w:r>
      <w:r w:rsidRPr="0038628B">
        <w:rPr>
          <w:rFonts w:ascii="Verdana" w:hAnsi="Verdana"/>
          <w:spacing w:val="-10"/>
          <w:w w:val="110"/>
        </w:rPr>
        <w:t xml:space="preserve"> </w:t>
      </w:r>
      <w:r w:rsidRPr="0038628B">
        <w:rPr>
          <w:rFonts w:ascii="Verdana" w:hAnsi="Verdana"/>
          <w:w w:val="110"/>
        </w:rPr>
        <w:t>Bank</w:t>
      </w:r>
      <w:r w:rsidRPr="0038628B">
        <w:rPr>
          <w:rFonts w:ascii="Verdana" w:hAnsi="Verdana"/>
          <w:spacing w:val="-16"/>
          <w:w w:val="110"/>
        </w:rPr>
        <w:t xml:space="preserve"> </w:t>
      </w:r>
      <w:r w:rsidRPr="0038628B">
        <w:rPr>
          <w:rFonts w:ascii="Verdana" w:hAnsi="Verdana"/>
          <w:w w:val="110"/>
        </w:rPr>
        <w:t>to regulated</w:t>
      </w:r>
      <w:r w:rsidRPr="0038628B">
        <w:rPr>
          <w:rFonts w:ascii="Verdana" w:hAnsi="Verdana"/>
          <w:spacing w:val="-1"/>
          <w:w w:val="110"/>
        </w:rPr>
        <w:t xml:space="preserve"> </w:t>
      </w:r>
      <w:r w:rsidRPr="0038628B">
        <w:rPr>
          <w:rFonts w:ascii="Verdana" w:hAnsi="Verdana"/>
          <w:w w:val="110"/>
        </w:rPr>
        <w:t>banks</w:t>
      </w:r>
      <w:r w:rsidRPr="0038628B">
        <w:rPr>
          <w:rFonts w:ascii="Verdana" w:hAnsi="Verdana"/>
          <w:spacing w:val="-1"/>
          <w:w w:val="110"/>
        </w:rPr>
        <w:t xml:space="preserve"> </w:t>
      </w:r>
      <w:r w:rsidRPr="0038628B">
        <w:rPr>
          <w:rFonts w:ascii="Verdana" w:hAnsi="Verdana"/>
          <w:w w:val="110"/>
        </w:rPr>
        <w:t>-</w:t>
      </w:r>
      <w:r w:rsidRPr="0038628B">
        <w:rPr>
          <w:rFonts w:ascii="Verdana" w:hAnsi="Verdana"/>
          <w:spacing w:val="-1"/>
          <w:w w:val="110"/>
        </w:rPr>
        <w:t xml:space="preserve"> </w:t>
      </w:r>
      <w:r w:rsidRPr="0038628B">
        <w:rPr>
          <w:rFonts w:ascii="Verdana" w:hAnsi="Verdana"/>
          <w:w w:val="110"/>
        </w:rPr>
        <w:t>does</w:t>
      </w:r>
      <w:r w:rsidRPr="0038628B">
        <w:rPr>
          <w:rFonts w:ascii="Verdana" w:hAnsi="Verdana"/>
          <w:spacing w:val="-1"/>
          <w:w w:val="110"/>
        </w:rPr>
        <w:t xml:space="preserve"> </w:t>
      </w:r>
      <w:r w:rsidRPr="0038628B">
        <w:rPr>
          <w:rFonts w:ascii="Verdana" w:hAnsi="Verdana"/>
          <w:w w:val="110"/>
        </w:rPr>
        <w:t>not</w:t>
      </w:r>
      <w:r w:rsidRPr="0038628B">
        <w:rPr>
          <w:rFonts w:ascii="Verdana" w:hAnsi="Verdana"/>
          <w:spacing w:val="-1"/>
          <w:w w:val="110"/>
        </w:rPr>
        <w:t xml:space="preserve"> </w:t>
      </w:r>
      <w:r w:rsidRPr="0038628B">
        <w:rPr>
          <w:rFonts w:ascii="Verdana" w:hAnsi="Verdana"/>
          <w:w w:val="110"/>
        </w:rPr>
        <w:t>convey</w:t>
      </w:r>
      <w:r w:rsidRPr="0038628B">
        <w:rPr>
          <w:rFonts w:ascii="Verdana" w:hAnsi="Verdana"/>
          <w:spacing w:val="-1"/>
          <w:w w:val="110"/>
        </w:rPr>
        <w:t xml:space="preserve"> </w:t>
      </w:r>
      <w:r w:rsidRPr="0038628B">
        <w:rPr>
          <w:rFonts w:ascii="Verdana" w:hAnsi="Verdana"/>
          <w:w w:val="110"/>
        </w:rPr>
        <w:t>this</w:t>
      </w:r>
      <w:r w:rsidRPr="0038628B">
        <w:rPr>
          <w:rFonts w:ascii="Verdana" w:hAnsi="Verdana"/>
          <w:spacing w:val="-12"/>
          <w:w w:val="110"/>
        </w:rPr>
        <w:t xml:space="preserve"> </w:t>
      </w:r>
      <w:r w:rsidRPr="0038628B">
        <w:rPr>
          <w:rFonts w:ascii="Verdana" w:hAnsi="Verdana"/>
          <w:w w:val="110"/>
        </w:rPr>
        <w:t>more</w:t>
      </w:r>
      <w:r w:rsidRPr="0038628B">
        <w:rPr>
          <w:rFonts w:ascii="Verdana" w:hAnsi="Verdana"/>
          <w:spacing w:val="-12"/>
          <w:w w:val="110"/>
        </w:rPr>
        <w:t xml:space="preserve"> </w:t>
      </w:r>
      <w:r w:rsidRPr="0038628B">
        <w:rPr>
          <w:rFonts w:ascii="Verdana" w:hAnsi="Verdana"/>
          <w:w w:val="110"/>
        </w:rPr>
        <w:t>ﬂ</w:t>
      </w:r>
      <w:r w:rsidRPr="0038628B">
        <w:rPr>
          <w:rFonts w:ascii="Verdana" w:hAnsi="Verdana"/>
          <w:w w:val="110"/>
        </w:rPr>
        <w:t>exible</w:t>
      </w:r>
      <w:r w:rsidRPr="0038628B">
        <w:rPr>
          <w:rFonts w:ascii="Verdana" w:hAnsi="Verdana"/>
          <w:spacing w:val="-12"/>
          <w:w w:val="110"/>
        </w:rPr>
        <w:t xml:space="preserve"> </w:t>
      </w:r>
      <w:r w:rsidRPr="0038628B">
        <w:rPr>
          <w:rFonts w:ascii="Verdana" w:hAnsi="Verdana"/>
          <w:w w:val="110"/>
        </w:rPr>
        <w:t>interpretation</w:t>
      </w:r>
      <w:r w:rsidRPr="0038628B">
        <w:rPr>
          <w:rFonts w:ascii="Verdana" w:hAnsi="Verdana"/>
          <w:spacing w:val="-12"/>
          <w:w w:val="110"/>
        </w:rPr>
        <w:t xml:space="preserve"> </w:t>
      </w:r>
      <w:r w:rsidRPr="0038628B">
        <w:rPr>
          <w:rFonts w:ascii="Verdana" w:hAnsi="Verdana"/>
          <w:w w:val="110"/>
        </w:rPr>
        <w:t>and</w:t>
      </w:r>
      <w:r w:rsidRPr="0038628B">
        <w:rPr>
          <w:rFonts w:ascii="Verdana" w:hAnsi="Verdana"/>
          <w:spacing w:val="-12"/>
          <w:w w:val="110"/>
        </w:rPr>
        <w:t xml:space="preserve"> </w:t>
      </w:r>
      <w:r w:rsidRPr="0038628B">
        <w:rPr>
          <w:rFonts w:ascii="Verdana" w:hAnsi="Verdana"/>
          <w:w w:val="110"/>
        </w:rPr>
        <w:t>deﬁnition</w:t>
      </w:r>
      <w:r w:rsidRPr="0038628B">
        <w:rPr>
          <w:rFonts w:ascii="Verdana" w:hAnsi="Verdana"/>
          <w:spacing w:val="-12"/>
          <w:w w:val="110"/>
        </w:rPr>
        <w:t xml:space="preserve"> </w:t>
      </w:r>
      <w:r w:rsidRPr="0038628B">
        <w:rPr>
          <w:rFonts w:ascii="Verdana" w:hAnsi="Verdana"/>
          <w:w w:val="110"/>
        </w:rPr>
        <w:t>of ‘branding’. We would therefore welcome a revised statement and</w:t>
      </w:r>
      <w:r w:rsidRPr="0038628B">
        <w:rPr>
          <w:rFonts w:ascii="Verdana" w:hAnsi="Verdana"/>
          <w:w w:val="110"/>
        </w:rPr>
        <w:t xml:space="preserve"> clariﬁcation, perhaps</w:t>
      </w:r>
      <w:r w:rsidRPr="0038628B">
        <w:rPr>
          <w:rFonts w:ascii="Verdana" w:hAnsi="Verdana"/>
          <w:spacing w:val="-15"/>
          <w:w w:val="110"/>
        </w:rPr>
        <w:t xml:space="preserve"> </w:t>
      </w:r>
      <w:r w:rsidRPr="0038628B">
        <w:rPr>
          <w:rFonts w:ascii="Verdana" w:hAnsi="Verdana"/>
          <w:w w:val="110"/>
        </w:rPr>
        <w:t>guidance,</w:t>
      </w:r>
      <w:r w:rsidRPr="0038628B">
        <w:rPr>
          <w:rFonts w:ascii="Verdana" w:hAnsi="Verdana"/>
          <w:spacing w:val="-15"/>
          <w:w w:val="110"/>
        </w:rPr>
        <w:t xml:space="preserve"> </w:t>
      </w:r>
      <w:r w:rsidRPr="0038628B">
        <w:rPr>
          <w:rFonts w:ascii="Verdana" w:hAnsi="Verdana"/>
          <w:w w:val="110"/>
        </w:rPr>
        <w:t>from</w:t>
      </w:r>
      <w:r w:rsidRPr="0038628B">
        <w:rPr>
          <w:rFonts w:ascii="Verdana" w:hAnsi="Verdana"/>
          <w:spacing w:val="-15"/>
          <w:w w:val="110"/>
        </w:rPr>
        <w:t xml:space="preserve"> </w:t>
      </w:r>
      <w:r w:rsidRPr="0038628B">
        <w:rPr>
          <w:rFonts w:ascii="Verdana" w:hAnsi="Verdana"/>
          <w:w w:val="110"/>
        </w:rPr>
        <w:t>the</w:t>
      </w:r>
      <w:r w:rsidRPr="0038628B">
        <w:rPr>
          <w:rFonts w:ascii="Verdana" w:hAnsi="Verdana"/>
          <w:spacing w:val="-15"/>
          <w:w w:val="110"/>
        </w:rPr>
        <w:t xml:space="preserve"> </w:t>
      </w:r>
      <w:r w:rsidRPr="0038628B">
        <w:rPr>
          <w:rFonts w:ascii="Verdana" w:hAnsi="Verdana"/>
          <w:w w:val="110"/>
        </w:rPr>
        <w:t>Bank</w:t>
      </w:r>
      <w:r w:rsidRPr="0038628B">
        <w:rPr>
          <w:rFonts w:ascii="Verdana" w:hAnsi="Verdana"/>
          <w:spacing w:val="-15"/>
          <w:w w:val="110"/>
        </w:rPr>
        <w:t xml:space="preserve"> </w:t>
      </w:r>
      <w:r w:rsidRPr="0038628B">
        <w:rPr>
          <w:rFonts w:ascii="Verdana" w:hAnsi="Verdana"/>
          <w:w w:val="110"/>
        </w:rPr>
        <w:t>of</w:t>
      </w:r>
      <w:r w:rsidRPr="0038628B">
        <w:rPr>
          <w:rFonts w:ascii="Verdana" w:hAnsi="Verdana"/>
          <w:spacing w:val="-15"/>
          <w:w w:val="110"/>
        </w:rPr>
        <w:t xml:space="preserve"> </w:t>
      </w:r>
      <w:r w:rsidRPr="0038628B">
        <w:rPr>
          <w:rFonts w:ascii="Verdana" w:hAnsi="Verdana"/>
          <w:w w:val="110"/>
        </w:rPr>
        <w:t>England</w:t>
      </w:r>
      <w:r w:rsidRPr="0038628B">
        <w:rPr>
          <w:rFonts w:ascii="Verdana" w:hAnsi="Verdana"/>
          <w:spacing w:val="-15"/>
          <w:w w:val="110"/>
        </w:rPr>
        <w:t xml:space="preserve"> </w:t>
      </w:r>
      <w:r w:rsidRPr="0038628B">
        <w:rPr>
          <w:rFonts w:ascii="Verdana" w:hAnsi="Verdana"/>
          <w:w w:val="110"/>
        </w:rPr>
        <w:t>/</w:t>
      </w:r>
      <w:r w:rsidRPr="0038628B">
        <w:rPr>
          <w:rFonts w:ascii="Verdana" w:hAnsi="Verdana"/>
          <w:spacing w:val="-15"/>
          <w:w w:val="110"/>
        </w:rPr>
        <w:t xml:space="preserve"> </w:t>
      </w:r>
      <w:r w:rsidRPr="0038628B">
        <w:rPr>
          <w:rFonts w:ascii="Verdana" w:hAnsi="Verdana"/>
          <w:w w:val="110"/>
        </w:rPr>
        <w:t>PRA</w:t>
      </w:r>
      <w:r w:rsidRPr="0038628B">
        <w:rPr>
          <w:rFonts w:ascii="Verdana" w:hAnsi="Verdana"/>
          <w:spacing w:val="-15"/>
          <w:w w:val="110"/>
        </w:rPr>
        <w:t xml:space="preserve"> </w:t>
      </w:r>
      <w:r w:rsidRPr="0038628B">
        <w:rPr>
          <w:rFonts w:ascii="Verdana" w:hAnsi="Verdana"/>
          <w:w w:val="110"/>
        </w:rPr>
        <w:t>on</w:t>
      </w:r>
      <w:r w:rsidRPr="0038628B">
        <w:rPr>
          <w:rFonts w:ascii="Verdana" w:hAnsi="Verdana"/>
          <w:spacing w:val="-15"/>
          <w:w w:val="110"/>
        </w:rPr>
        <w:t xml:space="preserve"> </w:t>
      </w:r>
      <w:r w:rsidRPr="0038628B">
        <w:rPr>
          <w:rFonts w:ascii="Verdana" w:hAnsi="Verdana"/>
          <w:w w:val="110"/>
        </w:rPr>
        <w:t>this</w:t>
      </w:r>
      <w:r w:rsidRPr="0038628B">
        <w:rPr>
          <w:rFonts w:ascii="Verdana" w:hAnsi="Verdana"/>
          <w:spacing w:val="-15"/>
          <w:w w:val="110"/>
        </w:rPr>
        <w:t xml:space="preserve"> </w:t>
      </w:r>
      <w:r w:rsidRPr="0038628B">
        <w:rPr>
          <w:rFonts w:ascii="Verdana" w:hAnsi="Verdana"/>
          <w:w w:val="110"/>
        </w:rPr>
        <w:t>point.</w:t>
      </w:r>
    </w:p>
    <w:p w:rsidR="00FF7EEB" w:rsidRPr="0038628B">
      <w:pPr>
        <w:pStyle w:val="BodyText"/>
        <w:spacing w:line="276" w:lineRule="auto"/>
        <w:jc w:val="both"/>
        <w:rPr>
          <w:rFonts w:ascii="Verdana" w:hAnsi="Verdana"/>
        </w:rPr>
        <w:sectPr>
          <w:pgSz w:w="11920" w:h="16840"/>
          <w:pgMar w:top="1360" w:right="1417" w:bottom="980" w:left="1417" w:header="0" w:footer="799" w:gutter="0"/>
          <w:cols w:space="720"/>
        </w:sectPr>
      </w:pPr>
    </w:p>
    <w:p w:rsidR="00FF7EEB" w:rsidRPr="0038628B">
      <w:pPr>
        <w:pStyle w:val="BodyText"/>
        <w:spacing w:before="80" w:line="276" w:lineRule="auto"/>
        <w:ind w:left="23" w:right="35"/>
        <w:jc w:val="both"/>
        <w:rPr>
          <w:rFonts w:ascii="Verdana" w:hAnsi="Verdana"/>
        </w:rPr>
      </w:pPr>
      <w:r w:rsidRPr="0038628B">
        <w:rPr>
          <w:rFonts w:ascii="Verdana" w:hAnsi="Verdana"/>
          <w:w w:val="105"/>
        </w:rPr>
        <w:t xml:space="preserve">On the question of a separate legal entity, the Bank did give examples of what this might include - such as a Group company issuing a </w:t>
      </w:r>
      <w:r w:rsidRPr="0038628B">
        <w:rPr>
          <w:rFonts w:ascii="Verdana" w:hAnsi="Verdana"/>
          <w:w w:val="105"/>
        </w:rPr>
        <w:t>stablecoin</w:t>
      </w:r>
      <w:r w:rsidRPr="0038628B">
        <w:rPr>
          <w:rFonts w:ascii="Verdana" w:hAnsi="Verdana"/>
          <w:w w:val="105"/>
        </w:rPr>
        <w:t xml:space="preserve"> and the UK subsidiary (which is the regulated bank) providing distribution to customers. We have raised concerns</w:t>
      </w:r>
      <w:r w:rsidRPr="0038628B">
        <w:rPr>
          <w:rFonts w:ascii="Verdana" w:hAnsi="Verdana"/>
          <w:spacing w:val="40"/>
          <w:w w:val="105"/>
        </w:rPr>
        <w:t xml:space="preserve"> </w:t>
      </w:r>
      <w:r w:rsidRPr="0038628B">
        <w:rPr>
          <w:rFonts w:ascii="Verdana" w:hAnsi="Verdana"/>
          <w:w w:val="105"/>
        </w:rPr>
        <w:t>that</w:t>
      </w:r>
      <w:r w:rsidRPr="0038628B">
        <w:rPr>
          <w:rFonts w:ascii="Verdana" w:hAnsi="Verdana"/>
          <w:spacing w:val="40"/>
          <w:w w:val="105"/>
        </w:rPr>
        <w:t xml:space="preserve"> </w:t>
      </w:r>
      <w:r w:rsidRPr="0038628B">
        <w:rPr>
          <w:rFonts w:ascii="Verdana" w:hAnsi="Verdana"/>
          <w:w w:val="105"/>
        </w:rPr>
        <w:t xml:space="preserve">the existing regulatory proposals require </w:t>
      </w:r>
      <w:r w:rsidRPr="0038628B">
        <w:rPr>
          <w:rFonts w:ascii="Verdana" w:hAnsi="Verdana"/>
          <w:w w:val="105"/>
        </w:rPr>
        <w:t>insolvency</w:t>
      </w:r>
      <w:r w:rsidRPr="0038628B">
        <w:rPr>
          <w:rFonts w:ascii="Verdana" w:hAnsi="Verdana"/>
          <w:w w:val="105"/>
        </w:rPr>
        <w:t xml:space="preserve"> remote custody</w:t>
      </w:r>
      <w:r w:rsidRPr="0038628B">
        <w:rPr>
          <w:rFonts w:ascii="Verdana" w:hAnsi="Verdana"/>
          <w:spacing w:val="40"/>
          <w:w w:val="105"/>
        </w:rPr>
        <w:t xml:space="preserve"> </w:t>
      </w:r>
      <w:r w:rsidRPr="0038628B">
        <w:rPr>
          <w:rFonts w:ascii="Verdana" w:hAnsi="Verdana"/>
          <w:w w:val="105"/>
        </w:rPr>
        <w:t>and therefore a separate entity is unnecessary. We remain concerned that the requirement for a separate legal entity can create signiﬁcant additional costs -</w:t>
      </w:r>
      <w:r w:rsidRPr="0038628B">
        <w:rPr>
          <w:rFonts w:ascii="Verdana" w:hAnsi="Verdana"/>
          <w:spacing w:val="40"/>
          <w:w w:val="105"/>
        </w:rPr>
        <w:t xml:space="preserve"> </w:t>
      </w:r>
      <w:r w:rsidRPr="0038628B">
        <w:rPr>
          <w:rFonts w:ascii="Verdana" w:hAnsi="Verdana"/>
          <w:w w:val="105"/>
        </w:rPr>
        <w:t>including creating a separate board, reporting, regulatory permissions etc.</w:t>
      </w:r>
      <w:r w:rsidRPr="0038628B">
        <w:rPr>
          <w:rFonts w:ascii="Verdana" w:hAnsi="Verdana"/>
          <w:spacing w:val="40"/>
          <w:w w:val="105"/>
        </w:rPr>
        <w:t xml:space="preserve"> </w:t>
      </w:r>
      <w:r w:rsidRPr="0038628B">
        <w:rPr>
          <w:rFonts w:ascii="Verdana" w:hAnsi="Verdana"/>
          <w:w w:val="105"/>
        </w:rPr>
        <w:t>At the very least, it would be helpful if the Bank of England / PRA could provide</w:t>
      </w:r>
      <w:r w:rsidRPr="0038628B">
        <w:rPr>
          <w:rFonts w:ascii="Verdana" w:hAnsi="Verdana"/>
          <w:w w:val="105"/>
        </w:rPr>
        <w:t xml:space="preserve"> guidance on the minimal</w:t>
      </w:r>
      <w:r w:rsidRPr="0038628B">
        <w:rPr>
          <w:rFonts w:ascii="Verdana" w:hAnsi="Verdana"/>
          <w:spacing w:val="20"/>
          <w:w w:val="105"/>
        </w:rPr>
        <w:t xml:space="preserve"> </w:t>
      </w:r>
      <w:r w:rsidRPr="0038628B">
        <w:rPr>
          <w:rFonts w:ascii="Verdana" w:hAnsi="Verdana"/>
          <w:w w:val="105"/>
        </w:rPr>
        <w:t>requirement</w:t>
      </w:r>
      <w:r w:rsidRPr="0038628B">
        <w:rPr>
          <w:rFonts w:ascii="Verdana" w:hAnsi="Verdana"/>
          <w:spacing w:val="20"/>
          <w:w w:val="105"/>
        </w:rPr>
        <w:t xml:space="preserve"> </w:t>
      </w:r>
      <w:r w:rsidRPr="0038628B">
        <w:rPr>
          <w:rFonts w:ascii="Verdana" w:hAnsi="Verdana"/>
          <w:w w:val="105"/>
        </w:rPr>
        <w:t>for</w:t>
      </w:r>
      <w:r w:rsidRPr="0038628B">
        <w:rPr>
          <w:rFonts w:ascii="Verdana" w:hAnsi="Verdana"/>
          <w:spacing w:val="20"/>
          <w:w w:val="105"/>
        </w:rPr>
        <w:t xml:space="preserve"> </w:t>
      </w:r>
      <w:r w:rsidRPr="0038628B">
        <w:rPr>
          <w:rFonts w:ascii="Verdana" w:hAnsi="Verdana"/>
          <w:w w:val="105"/>
        </w:rPr>
        <w:t>a</w:t>
      </w:r>
      <w:r w:rsidRPr="0038628B">
        <w:rPr>
          <w:rFonts w:ascii="Verdana" w:hAnsi="Verdana"/>
          <w:spacing w:val="20"/>
          <w:w w:val="105"/>
        </w:rPr>
        <w:t xml:space="preserve"> </w:t>
      </w:r>
      <w:r w:rsidRPr="0038628B">
        <w:rPr>
          <w:rFonts w:ascii="Verdana" w:hAnsi="Verdana"/>
          <w:w w:val="105"/>
        </w:rPr>
        <w:t>separate</w:t>
      </w:r>
      <w:r w:rsidRPr="0038628B">
        <w:rPr>
          <w:rFonts w:ascii="Verdana" w:hAnsi="Verdana"/>
          <w:spacing w:val="20"/>
          <w:w w:val="105"/>
        </w:rPr>
        <w:t xml:space="preserve"> </w:t>
      </w:r>
      <w:r w:rsidRPr="0038628B">
        <w:rPr>
          <w:rFonts w:ascii="Verdana" w:hAnsi="Verdana"/>
          <w:w w:val="105"/>
        </w:rPr>
        <w:t>entity</w:t>
      </w:r>
      <w:r w:rsidRPr="0038628B">
        <w:rPr>
          <w:rFonts w:ascii="Verdana" w:hAnsi="Verdana"/>
          <w:spacing w:val="20"/>
          <w:w w:val="105"/>
        </w:rPr>
        <w:t xml:space="preserve"> </w:t>
      </w:r>
      <w:r w:rsidRPr="0038628B">
        <w:rPr>
          <w:rFonts w:ascii="Verdana" w:hAnsi="Verdana"/>
          <w:w w:val="105"/>
        </w:rPr>
        <w:t>-</w:t>
      </w:r>
      <w:r w:rsidRPr="0038628B">
        <w:rPr>
          <w:rFonts w:ascii="Verdana" w:hAnsi="Verdana"/>
          <w:spacing w:val="20"/>
          <w:w w:val="105"/>
        </w:rPr>
        <w:t xml:space="preserve"> </w:t>
      </w:r>
      <w:r w:rsidRPr="0038628B">
        <w:rPr>
          <w:rFonts w:ascii="Verdana" w:hAnsi="Verdana"/>
          <w:w w:val="105"/>
        </w:rPr>
        <w:t>to</w:t>
      </w:r>
      <w:r w:rsidRPr="0038628B">
        <w:rPr>
          <w:rFonts w:ascii="Verdana" w:hAnsi="Verdana"/>
          <w:spacing w:val="20"/>
          <w:w w:val="105"/>
        </w:rPr>
        <w:t xml:space="preserve"> </w:t>
      </w:r>
      <w:r w:rsidRPr="0038628B">
        <w:rPr>
          <w:rFonts w:ascii="Verdana" w:hAnsi="Verdana"/>
          <w:w w:val="105"/>
        </w:rPr>
        <w:t>enable</w:t>
      </w:r>
      <w:r w:rsidRPr="0038628B">
        <w:rPr>
          <w:rFonts w:ascii="Verdana" w:hAnsi="Verdana"/>
          <w:spacing w:val="20"/>
          <w:w w:val="105"/>
        </w:rPr>
        <w:t xml:space="preserve"> </w:t>
      </w:r>
      <w:r w:rsidRPr="0038628B">
        <w:rPr>
          <w:rFonts w:ascii="Verdana" w:hAnsi="Verdana"/>
          <w:w w:val="105"/>
        </w:rPr>
        <w:t>ﬁ</w:t>
      </w:r>
      <w:r w:rsidRPr="0038628B">
        <w:rPr>
          <w:rFonts w:ascii="Verdana" w:hAnsi="Verdana"/>
          <w:w w:val="105"/>
        </w:rPr>
        <w:t>rms</w:t>
      </w:r>
      <w:r w:rsidRPr="0038628B">
        <w:rPr>
          <w:rFonts w:ascii="Verdana" w:hAnsi="Verdana"/>
          <w:spacing w:val="20"/>
          <w:w w:val="105"/>
        </w:rPr>
        <w:t xml:space="preserve"> </w:t>
      </w:r>
      <w:r w:rsidRPr="0038628B">
        <w:rPr>
          <w:rFonts w:ascii="Verdana" w:hAnsi="Verdana"/>
          <w:w w:val="105"/>
        </w:rPr>
        <w:t>to</w:t>
      </w:r>
      <w:r w:rsidRPr="0038628B">
        <w:rPr>
          <w:rFonts w:ascii="Verdana" w:hAnsi="Verdana"/>
          <w:spacing w:val="20"/>
          <w:w w:val="105"/>
        </w:rPr>
        <w:t xml:space="preserve"> </w:t>
      </w:r>
      <w:r w:rsidRPr="0038628B">
        <w:rPr>
          <w:rFonts w:ascii="Verdana" w:hAnsi="Verdana"/>
          <w:w w:val="105"/>
        </w:rPr>
        <w:t>take</w:t>
      </w:r>
      <w:r w:rsidRPr="0038628B">
        <w:rPr>
          <w:rFonts w:ascii="Verdana" w:hAnsi="Verdana"/>
          <w:spacing w:val="20"/>
          <w:w w:val="105"/>
        </w:rPr>
        <w:t xml:space="preserve"> </w:t>
      </w:r>
      <w:r w:rsidRPr="0038628B">
        <w:rPr>
          <w:rFonts w:ascii="Verdana" w:hAnsi="Verdana"/>
          <w:w w:val="105"/>
        </w:rPr>
        <w:t>an</w:t>
      </w:r>
      <w:r w:rsidRPr="0038628B">
        <w:rPr>
          <w:rFonts w:ascii="Verdana" w:hAnsi="Verdana"/>
          <w:spacing w:val="20"/>
          <w:w w:val="105"/>
        </w:rPr>
        <w:t xml:space="preserve"> </w:t>
      </w:r>
      <w:r w:rsidRPr="0038628B">
        <w:rPr>
          <w:rFonts w:ascii="Verdana" w:hAnsi="Verdana"/>
          <w:w w:val="105"/>
        </w:rPr>
        <w:t>informed</w:t>
      </w:r>
      <w:r w:rsidRPr="0038628B">
        <w:rPr>
          <w:rFonts w:ascii="Verdana" w:hAnsi="Verdana"/>
          <w:spacing w:val="20"/>
          <w:w w:val="105"/>
        </w:rPr>
        <w:t xml:space="preserve"> </w:t>
      </w:r>
      <w:r w:rsidRPr="0038628B">
        <w:rPr>
          <w:rFonts w:ascii="Verdana" w:hAnsi="Verdana"/>
          <w:w w:val="105"/>
        </w:rPr>
        <w:t xml:space="preserve">view of the potential cost and ensure that they do not gold plate requirements that are </w:t>
      </w:r>
      <w:r w:rsidRPr="0038628B">
        <w:rPr>
          <w:rFonts w:ascii="Verdana" w:hAnsi="Verdana"/>
          <w:spacing w:val="-2"/>
          <w:w w:val="105"/>
        </w:rPr>
        <w:t>unnecessary.</w:t>
      </w:r>
    </w:p>
    <w:p w:rsidR="00FF7EEB" w:rsidRPr="0038628B">
      <w:pPr>
        <w:pStyle w:val="BodyText"/>
        <w:rPr>
          <w:rFonts w:ascii="Verdana" w:hAnsi="Verdana"/>
        </w:rPr>
      </w:pPr>
    </w:p>
    <w:p w:rsidR="00FF7EEB" w:rsidRPr="0038628B">
      <w:pPr>
        <w:pStyle w:val="BodyText"/>
        <w:rPr>
          <w:rFonts w:ascii="Verdana" w:hAnsi="Verdana"/>
        </w:rPr>
      </w:pPr>
    </w:p>
    <w:p w:rsidR="00FF7EEB" w:rsidRPr="0038628B">
      <w:pPr>
        <w:pStyle w:val="BodyText"/>
        <w:spacing w:before="30"/>
        <w:rPr>
          <w:rFonts w:ascii="Verdana" w:hAnsi="Verdana"/>
        </w:rPr>
      </w:pPr>
    </w:p>
    <w:p w:rsidR="00FF7EEB" w:rsidRPr="0038628B">
      <w:pPr>
        <w:pStyle w:val="Heading3"/>
        <w:numPr>
          <w:ilvl w:val="0"/>
          <w:numId w:val="2"/>
        </w:numPr>
        <w:tabs>
          <w:tab w:val="left" w:pos="742"/>
        </w:tabs>
        <w:spacing w:before="0" w:line="276" w:lineRule="auto"/>
        <w:ind w:left="23" w:right="948" w:firstLine="0"/>
        <w:rPr>
          <w:rFonts w:ascii="Verdana" w:hAnsi="Verdana"/>
        </w:rPr>
      </w:pPr>
      <w:r w:rsidRPr="0038628B">
        <w:rPr>
          <w:rFonts w:ascii="Verdana" w:hAnsi="Verdana"/>
        </w:rPr>
        <w:t>Cost</w:t>
      </w:r>
      <w:r w:rsidRPr="0038628B">
        <w:rPr>
          <w:rFonts w:ascii="Verdana" w:hAnsi="Verdana"/>
          <w:spacing w:val="-4"/>
        </w:rPr>
        <w:t xml:space="preserve"> </w:t>
      </w:r>
      <w:r w:rsidRPr="0038628B">
        <w:rPr>
          <w:rFonts w:ascii="Verdana" w:hAnsi="Verdana"/>
        </w:rPr>
        <w:t>of</w:t>
      </w:r>
      <w:r w:rsidRPr="0038628B">
        <w:rPr>
          <w:rFonts w:ascii="Verdana" w:hAnsi="Verdana"/>
          <w:spacing w:val="-4"/>
        </w:rPr>
        <w:t xml:space="preserve"> </w:t>
      </w:r>
      <w:r w:rsidRPr="0038628B">
        <w:rPr>
          <w:rFonts w:ascii="Verdana" w:hAnsi="Verdana"/>
        </w:rPr>
        <w:t>Bank</w:t>
      </w:r>
      <w:r w:rsidRPr="0038628B">
        <w:rPr>
          <w:rFonts w:ascii="Verdana" w:hAnsi="Verdana"/>
          <w:spacing w:val="-4"/>
        </w:rPr>
        <w:t xml:space="preserve"> </w:t>
      </w:r>
      <w:r w:rsidRPr="0038628B">
        <w:rPr>
          <w:rFonts w:ascii="Verdana" w:hAnsi="Verdana"/>
        </w:rPr>
        <w:t>of</w:t>
      </w:r>
      <w:r w:rsidRPr="0038628B">
        <w:rPr>
          <w:rFonts w:ascii="Verdana" w:hAnsi="Verdana"/>
          <w:spacing w:val="-4"/>
        </w:rPr>
        <w:t xml:space="preserve"> </w:t>
      </w:r>
      <w:r w:rsidRPr="0038628B">
        <w:rPr>
          <w:rFonts w:ascii="Verdana" w:hAnsi="Verdana"/>
        </w:rPr>
        <w:t>England’s</w:t>
      </w:r>
      <w:r w:rsidRPr="0038628B">
        <w:rPr>
          <w:rFonts w:ascii="Verdana" w:hAnsi="Verdana"/>
          <w:spacing w:val="-4"/>
        </w:rPr>
        <w:t xml:space="preserve"> </w:t>
      </w:r>
      <w:r w:rsidRPr="0038628B">
        <w:rPr>
          <w:rFonts w:ascii="Verdana" w:hAnsi="Verdana"/>
        </w:rPr>
        <w:t>refusal</w:t>
      </w:r>
      <w:r w:rsidRPr="0038628B">
        <w:rPr>
          <w:rFonts w:ascii="Verdana" w:hAnsi="Verdana"/>
          <w:spacing w:val="-4"/>
        </w:rPr>
        <w:t xml:space="preserve"> </w:t>
      </w:r>
      <w:r w:rsidRPr="0038628B">
        <w:rPr>
          <w:rFonts w:ascii="Verdana" w:hAnsi="Verdana"/>
        </w:rPr>
        <w:t>to</w:t>
      </w:r>
      <w:r w:rsidRPr="0038628B">
        <w:rPr>
          <w:rFonts w:ascii="Verdana" w:hAnsi="Verdana"/>
          <w:spacing w:val="-4"/>
        </w:rPr>
        <w:t xml:space="preserve"> </w:t>
      </w:r>
      <w:r w:rsidRPr="0038628B">
        <w:rPr>
          <w:rFonts w:ascii="Verdana" w:hAnsi="Verdana"/>
        </w:rPr>
        <w:t>pay</w:t>
      </w:r>
      <w:r w:rsidRPr="0038628B">
        <w:rPr>
          <w:rFonts w:ascii="Verdana" w:hAnsi="Verdana"/>
          <w:spacing w:val="-4"/>
        </w:rPr>
        <w:t xml:space="preserve"> </w:t>
      </w:r>
      <w:r w:rsidRPr="0038628B">
        <w:rPr>
          <w:rFonts w:ascii="Verdana" w:hAnsi="Verdana"/>
        </w:rPr>
        <w:t>interest</w:t>
      </w:r>
      <w:r w:rsidRPr="0038628B">
        <w:rPr>
          <w:rFonts w:ascii="Verdana" w:hAnsi="Verdana"/>
          <w:spacing w:val="-4"/>
        </w:rPr>
        <w:t xml:space="preserve"> </w:t>
      </w:r>
      <w:r w:rsidRPr="0038628B">
        <w:rPr>
          <w:rFonts w:ascii="Verdana" w:hAnsi="Verdana"/>
        </w:rPr>
        <w:t>on</w:t>
      </w:r>
      <w:r w:rsidRPr="0038628B">
        <w:rPr>
          <w:rFonts w:ascii="Verdana" w:hAnsi="Verdana"/>
          <w:spacing w:val="-4"/>
        </w:rPr>
        <w:t xml:space="preserve"> </w:t>
      </w:r>
      <w:r w:rsidRPr="0038628B">
        <w:rPr>
          <w:rFonts w:ascii="Verdana" w:hAnsi="Verdana"/>
        </w:rPr>
        <w:t xml:space="preserve">stablecoin </w:t>
      </w:r>
      <w:r w:rsidRPr="0038628B">
        <w:rPr>
          <w:rFonts w:ascii="Verdana" w:hAnsi="Verdana"/>
          <w:spacing w:val="-2"/>
        </w:rPr>
        <w:t>reserves</w:t>
      </w:r>
    </w:p>
    <w:p w:rsidR="00FF7EEB" w:rsidRPr="0038628B">
      <w:pPr>
        <w:pStyle w:val="BodyText"/>
        <w:spacing w:before="80" w:line="276" w:lineRule="auto"/>
        <w:ind w:left="23" w:right="35"/>
        <w:jc w:val="both"/>
        <w:rPr>
          <w:rFonts w:ascii="Verdana" w:hAnsi="Verdana"/>
        </w:rPr>
      </w:pPr>
      <w:r w:rsidRPr="0038628B">
        <w:rPr>
          <w:rFonts w:ascii="Verdana" w:hAnsi="Verdana"/>
          <w:w w:val="105"/>
        </w:rPr>
        <w:t>The</w:t>
      </w:r>
      <w:r w:rsidRPr="0038628B">
        <w:rPr>
          <w:rFonts w:ascii="Verdana" w:hAnsi="Verdana"/>
          <w:w w:val="105"/>
        </w:rPr>
        <w:t xml:space="preserve"> Bank of England proposals for stablecoin regulation include the requirement for 40% of stablecoin backing assets to be held as unremunerated central</w:t>
      </w:r>
      <w:r w:rsidRPr="0038628B">
        <w:rPr>
          <w:rFonts w:ascii="Verdana" w:hAnsi="Verdana"/>
          <w:spacing w:val="-1"/>
          <w:w w:val="105"/>
        </w:rPr>
        <w:t xml:space="preserve"> </w:t>
      </w:r>
      <w:r w:rsidRPr="0038628B">
        <w:rPr>
          <w:rFonts w:ascii="Verdana" w:hAnsi="Verdana"/>
          <w:w w:val="105"/>
        </w:rPr>
        <w:t>bank</w:t>
      </w:r>
      <w:r w:rsidRPr="0038628B">
        <w:rPr>
          <w:rFonts w:ascii="Verdana" w:hAnsi="Verdana"/>
          <w:spacing w:val="-1"/>
          <w:w w:val="105"/>
        </w:rPr>
        <w:t xml:space="preserve"> </w:t>
      </w:r>
      <w:r w:rsidRPr="0038628B">
        <w:rPr>
          <w:rFonts w:ascii="Verdana" w:hAnsi="Verdana"/>
          <w:w w:val="105"/>
        </w:rPr>
        <w:t xml:space="preserve">deposits. One of our </w:t>
      </w:r>
      <w:r w:rsidRPr="0038628B">
        <w:rPr>
          <w:rFonts w:ascii="Verdana" w:hAnsi="Verdana"/>
          <w:w w:val="105"/>
        </w:rPr>
        <w:t>member</w:t>
      </w:r>
      <w:r w:rsidRPr="0038628B">
        <w:rPr>
          <w:rFonts w:ascii="Verdana" w:hAnsi="Verdana"/>
          <w:w w:val="105"/>
        </w:rPr>
        <w:t xml:space="preserve"> ﬁrms - Stripe - has recently shared their internal analysis that shows</w:t>
      </w:r>
      <w:r w:rsidRPr="0038628B">
        <w:rPr>
          <w:rFonts w:ascii="Verdana" w:hAnsi="Verdana"/>
          <w:spacing w:val="40"/>
          <w:w w:val="105"/>
        </w:rPr>
        <w:t xml:space="preserve"> </w:t>
      </w:r>
      <w:r w:rsidRPr="0038628B">
        <w:rPr>
          <w:rFonts w:ascii="Verdana" w:hAnsi="Verdana"/>
          <w:w w:val="105"/>
        </w:rPr>
        <w:t>how this would aﬀect the economic viability of stablecoin issuance in the UK. Their analysis indicates UK stablecoin issuers would need to charge merchants six times (600%) higher payment fees to oﬀset the yield disadvantage compared to their US and EU peers</w:t>
      </w:r>
      <w:r w:rsidRPr="0038628B">
        <w:rPr>
          <w:rFonts w:ascii="Verdana" w:hAnsi="Verdana"/>
          <w:w w:val="105"/>
        </w:rPr>
        <w:t xml:space="preserve"> (GENIUS and </w:t>
      </w:r>
      <w:r w:rsidRPr="0038628B">
        <w:rPr>
          <w:rFonts w:ascii="Verdana" w:hAnsi="Verdana"/>
          <w:w w:val="105"/>
        </w:rPr>
        <w:t>MiCA</w:t>
      </w:r>
      <w:r w:rsidRPr="0038628B">
        <w:rPr>
          <w:rFonts w:ascii="Verdana" w:hAnsi="Verdana"/>
          <w:w w:val="105"/>
        </w:rPr>
        <w:t xml:space="preserve"> have no similar requirements).</w:t>
      </w:r>
    </w:p>
    <w:p w:rsidR="00FF7EEB" w:rsidRPr="0038628B">
      <w:pPr>
        <w:pStyle w:val="BodyText"/>
        <w:rPr>
          <w:rFonts w:ascii="Verdana" w:hAnsi="Verdana"/>
        </w:rPr>
      </w:pPr>
    </w:p>
    <w:p w:rsidR="00FF7EEB" w:rsidRPr="0038628B">
      <w:pPr>
        <w:pStyle w:val="BodyText"/>
        <w:spacing w:before="206"/>
        <w:rPr>
          <w:rFonts w:ascii="Verdana" w:hAnsi="Verdana"/>
        </w:rPr>
      </w:pPr>
    </w:p>
    <w:p w:rsidR="00FF7EEB">
      <w:pPr>
        <w:ind w:left="23"/>
        <w:rPr>
          <w:rFonts w:ascii="Verdana" w:hAnsi="Verdana"/>
          <w:spacing w:val="-4"/>
          <w:sz w:val="21"/>
        </w:rPr>
      </w:pPr>
      <w:r w:rsidRPr="0038628B">
        <w:rPr>
          <w:rFonts w:ascii="Verdana" w:hAnsi="Verdana"/>
          <w:spacing w:val="-4"/>
          <w:sz w:val="21"/>
        </w:rPr>
        <w:t>ENDS</w:t>
      </w:r>
    </w:p>
    <w:p w:rsidR="0038628B">
      <w:pPr>
        <w:ind w:left="23"/>
        <w:rPr>
          <w:rFonts w:ascii="Verdana" w:hAnsi="Verdana"/>
          <w:spacing w:val="-4"/>
          <w:sz w:val="21"/>
        </w:rPr>
      </w:pPr>
    </w:p>
    <w:p w:rsidR="0038628B">
      <w:pPr>
        <w:ind w:left="23"/>
        <w:rPr>
          <w:rFonts w:ascii="Verdana" w:hAnsi="Verdana"/>
          <w:spacing w:val="-4"/>
          <w:sz w:val="21"/>
        </w:rPr>
      </w:pPr>
    </w:p>
    <w:p w:rsidR="0038628B" w:rsidRPr="0038628B">
      <w:pPr>
        <w:ind w:left="23"/>
        <w:rPr>
          <w:rFonts w:ascii="Verdana" w:hAnsi="Verdana"/>
          <w:i/>
          <w:iCs/>
          <w:sz w:val="28"/>
          <w:szCs w:val="32"/>
        </w:rPr>
      </w:pPr>
      <w:r w:rsidRPr="0038628B">
        <w:rPr>
          <w:rFonts w:ascii="Verdana" w:hAnsi="Verdana"/>
          <w:i/>
          <w:iCs/>
          <w:spacing w:val="-4"/>
          <w:sz w:val="28"/>
          <w:szCs w:val="32"/>
        </w:rPr>
        <w:t>8 April 2026</w:t>
      </w:r>
    </w:p>
    <w:sectPr w:rsidSect="0038628B">
      <w:pgSz w:w="11906" w:h="16838" w:code="9"/>
      <w:pgMar w:top="1360" w:right="1417" w:bottom="980" w:left="1417" w:header="0" w:footer="799"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 Sans Light">
    <w:altName w:val="Open Sans Light"/>
    <w:panose1 w:val="020B0306030504020204"/>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Segoe UI Symbol">
    <w:altName w:val="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7EEB">
    <w:pPr>
      <w:pStyle w:val="BodyText"/>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1B33AC4"/>
    <w:multiLevelType w:val="hybridMultilevel"/>
    <w:tmpl w:val="2F789F96"/>
    <w:lvl w:ilvl="0">
      <w:start w:val="0"/>
      <w:numFmt w:val="bullet"/>
      <w:lvlText w:val="-"/>
      <w:lvlJc w:val="left"/>
      <w:pPr>
        <w:ind w:left="743" w:hanging="360"/>
      </w:pPr>
      <w:rPr>
        <w:rFonts w:ascii="Open Sans Light" w:eastAsia="Open Sans Light" w:hAnsi="Open Sans Light" w:cs="Open Sans Light" w:hint="default"/>
        <w:spacing w:val="0"/>
        <w:w w:val="100"/>
        <w:lang w:val="en-US" w:eastAsia="en-US" w:bidi="ar-SA"/>
      </w:rPr>
    </w:lvl>
    <w:lvl w:ilvl="1">
      <w:start w:val="0"/>
      <w:numFmt w:val="bullet"/>
      <w:lvlText w:val="•"/>
      <w:lvlJc w:val="left"/>
      <w:pPr>
        <w:ind w:left="1574" w:hanging="360"/>
      </w:pPr>
      <w:rPr>
        <w:rFonts w:hint="default"/>
        <w:lang w:val="en-US" w:eastAsia="en-US" w:bidi="ar-SA"/>
      </w:rPr>
    </w:lvl>
    <w:lvl w:ilvl="2">
      <w:start w:val="0"/>
      <w:numFmt w:val="bullet"/>
      <w:lvlText w:val="•"/>
      <w:lvlJc w:val="left"/>
      <w:pPr>
        <w:ind w:left="2409" w:hanging="360"/>
      </w:pPr>
      <w:rPr>
        <w:rFonts w:hint="default"/>
        <w:lang w:val="en-US" w:eastAsia="en-US" w:bidi="ar-SA"/>
      </w:rPr>
    </w:lvl>
    <w:lvl w:ilvl="3">
      <w:start w:val="0"/>
      <w:numFmt w:val="bullet"/>
      <w:lvlText w:val="•"/>
      <w:lvlJc w:val="left"/>
      <w:pPr>
        <w:ind w:left="3243" w:hanging="360"/>
      </w:pPr>
      <w:rPr>
        <w:rFonts w:hint="default"/>
        <w:lang w:val="en-US" w:eastAsia="en-US" w:bidi="ar-SA"/>
      </w:rPr>
    </w:lvl>
    <w:lvl w:ilvl="4">
      <w:start w:val="0"/>
      <w:numFmt w:val="bullet"/>
      <w:lvlText w:val="•"/>
      <w:lvlJc w:val="left"/>
      <w:pPr>
        <w:ind w:left="4078" w:hanging="360"/>
      </w:pPr>
      <w:rPr>
        <w:rFonts w:hint="default"/>
        <w:lang w:val="en-US" w:eastAsia="en-US" w:bidi="ar-SA"/>
      </w:rPr>
    </w:lvl>
    <w:lvl w:ilvl="5">
      <w:start w:val="0"/>
      <w:numFmt w:val="bullet"/>
      <w:lvlText w:val="•"/>
      <w:lvlJc w:val="left"/>
      <w:pPr>
        <w:ind w:left="4913" w:hanging="360"/>
      </w:pPr>
      <w:rPr>
        <w:rFonts w:hint="default"/>
        <w:lang w:val="en-US" w:eastAsia="en-US" w:bidi="ar-SA"/>
      </w:rPr>
    </w:lvl>
    <w:lvl w:ilvl="6">
      <w:start w:val="0"/>
      <w:numFmt w:val="bullet"/>
      <w:lvlText w:val="•"/>
      <w:lvlJc w:val="left"/>
      <w:pPr>
        <w:ind w:left="5747" w:hanging="360"/>
      </w:pPr>
      <w:rPr>
        <w:rFonts w:hint="default"/>
        <w:lang w:val="en-US" w:eastAsia="en-US" w:bidi="ar-SA"/>
      </w:rPr>
    </w:lvl>
    <w:lvl w:ilvl="7">
      <w:start w:val="0"/>
      <w:numFmt w:val="bullet"/>
      <w:lvlText w:val="•"/>
      <w:lvlJc w:val="left"/>
      <w:pPr>
        <w:ind w:left="6582" w:hanging="360"/>
      </w:pPr>
      <w:rPr>
        <w:rFonts w:hint="default"/>
        <w:lang w:val="en-US" w:eastAsia="en-US" w:bidi="ar-SA"/>
      </w:rPr>
    </w:lvl>
    <w:lvl w:ilvl="8">
      <w:start w:val="0"/>
      <w:numFmt w:val="bullet"/>
      <w:lvlText w:val="•"/>
      <w:lvlJc w:val="left"/>
      <w:pPr>
        <w:ind w:left="7416" w:hanging="360"/>
      </w:pPr>
      <w:rPr>
        <w:rFonts w:hint="default"/>
        <w:lang w:val="en-US" w:eastAsia="en-US" w:bidi="ar-SA"/>
      </w:rPr>
    </w:lvl>
  </w:abstractNum>
  <w:abstractNum w:abstractNumId="1">
    <w:nsid w:val="1CD7188F"/>
    <w:multiLevelType w:val="hybridMultilevel"/>
    <w:tmpl w:val="D5409EEE"/>
    <w:lvl w:ilvl="0">
      <w:start w:val="1"/>
      <w:numFmt w:val="decimal"/>
      <w:lvlText w:val="%1."/>
      <w:lvlJc w:val="left"/>
      <w:pPr>
        <w:ind w:left="743" w:hanging="720"/>
        <w:jc w:val="left"/>
      </w:pPr>
      <w:rPr>
        <w:rFonts w:hint="default"/>
        <w:spacing w:val="0"/>
        <w:w w:val="100"/>
        <w:lang w:val="en-US" w:eastAsia="en-US" w:bidi="ar-SA"/>
      </w:rPr>
    </w:lvl>
    <w:lvl w:ilvl="1">
      <w:start w:val="0"/>
      <w:numFmt w:val="bullet"/>
      <w:lvlText w:val="●"/>
      <w:lvlJc w:val="left"/>
      <w:pPr>
        <w:ind w:left="743" w:hanging="360"/>
      </w:pPr>
      <w:rPr>
        <w:rFonts w:ascii="Arial" w:eastAsia="Arial" w:hAnsi="Arial" w:cs="Arial" w:hint="default"/>
        <w:b w:val="0"/>
        <w:bCs w:val="0"/>
        <w:i w:val="0"/>
        <w:iCs w:val="0"/>
        <w:color w:val="212121"/>
        <w:spacing w:val="0"/>
        <w:w w:val="100"/>
        <w:sz w:val="22"/>
        <w:szCs w:val="22"/>
        <w:lang w:val="en-US" w:eastAsia="en-US" w:bidi="ar-SA"/>
      </w:rPr>
    </w:lvl>
    <w:lvl w:ilvl="2">
      <w:start w:val="0"/>
      <w:numFmt w:val="bullet"/>
      <w:lvlText w:val="•"/>
      <w:lvlJc w:val="left"/>
      <w:pPr>
        <w:ind w:left="2409" w:hanging="360"/>
      </w:pPr>
      <w:rPr>
        <w:rFonts w:hint="default"/>
        <w:lang w:val="en-US" w:eastAsia="en-US" w:bidi="ar-SA"/>
      </w:rPr>
    </w:lvl>
    <w:lvl w:ilvl="3">
      <w:start w:val="0"/>
      <w:numFmt w:val="bullet"/>
      <w:lvlText w:val="•"/>
      <w:lvlJc w:val="left"/>
      <w:pPr>
        <w:ind w:left="3243" w:hanging="360"/>
      </w:pPr>
      <w:rPr>
        <w:rFonts w:hint="default"/>
        <w:lang w:val="en-US" w:eastAsia="en-US" w:bidi="ar-SA"/>
      </w:rPr>
    </w:lvl>
    <w:lvl w:ilvl="4">
      <w:start w:val="0"/>
      <w:numFmt w:val="bullet"/>
      <w:lvlText w:val="•"/>
      <w:lvlJc w:val="left"/>
      <w:pPr>
        <w:ind w:left="4078" w:hanging="360"/>
      </w:pPr>
      <w:rPr>
        <w:rFonts w:hint="default"/>
        <w:lang w:val="en-US" w:eastAsia="en-US" w:bidi="ar-SA"/>
      </w:rPr>
    </w:lvl>
    <w:lvl w:ilvl="5">
      <w:start w:val="0"/>
      <w:numFmt w:val="bullet"/>
      <w:lvlText w:val="•"/>
      <w:lvlJc w:val="left"/>
      <w:pPr>
        <w:ind w:left="4913" w:hanging="360"/>
      </w:pPr>
      <w:rPr>
        <w:rFonts w:hint="default"/>
        <w:lang w:val="en-US" w:eastAsia="en-US" w:bidi="ar-SA"/>
      </w:rPr>
    </w:lvl>
    <w:lvl w:ilvl="6">
      <w:start w:val="0"/>
      <w:numFmt w:val="bullet"/>
      <w:lvlText w:val="•"/>
      <w:lvlJc w:val="left"/>
      <w:pPr>
        <w:ind w:left="5747" w:hanging="360"/>
      </w:pPr>
      <w:rPr>
        <w:rFonts w:hint="default"/>
        <w:lang w:val="en-US" w:eastAsia="en-US" w:bidi="ar-SA"/>
      </w:rPr>
    </w:lvl>
    <w:lvl w:ilvl="7">
      <w:start w:val="0"/>
      <w:numFmt w:val="bullet"/>
      <w:lvlText w:val="•"/>
      <w:lvlJc w:val="left"/>
      <w:pPr>
        <w:ind w:left="6582" w:hanging="360"/>
      </w:pPr>
      <w:rPr>
        <w:rFonts w:hint="default"/>
        <w:lang w:val="en-US" w:eastAsia="en-US" w:bidi="ar-SA"/>
      </w:rPr>
    </w:lvl>
    <w:lvl w:ilvl="8">
      <w:start w:val="0"/>
      <w:numFmt w:val="bullet"/>
      <w:lvlText w:val="•"/>
      <w:lvlJc w:val="left"/>
      <w:pPr>
        <w:ind w:left="7416" w:hanging="360"/>
      </w:pPr>
      <w:rPr>
        <w:rFonts w:hint="default"/>
        <w:lang w:val="en-US" w:eastAsia="en-US" w:bidi="ar-SA"/>
      </w:rPr>
    </w:lvl>
  </w:abstractNum>
  <w:abstractNum w:abstractNumId="2">
    <w:nsid w:val="2CCC47C0"/>
    <w:multiLevelType w:val="hybridMultilevel"/>
    <w:tmpl w:val="8606F468"/>
    <w:lvl w:ilvl="0">
      <w:start w:val="1"/>
      <w:numFmt w:val="decimal"/>
      <w:lvlText w:val="%1."/>
      <w:lvlJc w:val="left"/>
      <w:pPr>
        <w:ind w:left="1463" w:hanging="360"/>
        <w:jc w:val="left"/>
      </w:pPr>
      <w:rPr>
        <w:rFonts w:ascii="Open Sans Light" w:eastAsia="Open Sans Light" w:hAnsi="Open Sans Light" w:cs="Open Sans Light" w:hint="default"/>
        <w:b w:val="0"/>
        <w:bCs w:val="0"/>
        <w:i w:val="0"/>
        <w:iCs w:val="0"/>
        <w:color w:val="212121"/>
        <w:spacing w:val="-1"/>
        <w:w w:val="100"/>
        <w:sz w:val="22"/>
        <w:szCs w:val="22"/>
        <w:lang w:val="en-US" w:eastAsia="en-US" w:bidi="ar-SA"/>
      </w:rPr>
    </w:lvl>
    <w:lvl w:ilvl="1">
      <w:start w:val="0"/>
      <w:numFmt w:val="bullet"/>
      <w:lvlText w:val="•"/>
      <w:lvlJc w:val="left"/>
      <w:pPr>
        <w:ind w:left="2222" w:hanging="360"/>
      </w:pPr>
      <w:rPr>
        <w:rFonts w:hint="default"/>
        <w:lang w:val="en-US" w:eastAsia="en-US" w:bidi="ar-SA"/>
      </w:rPr>
    </w:lvl>
    <w:lvl w:ilvl="2">
      <w:start w:val="0"/>
      <w:numFmt w:val="bullet"/>
      <w:lvlText w:val="•"/>
      <w:lvlJc w:val="left"/>
      <w:pPr>
        <w:ind w:left="2985" w:hanging="360"/>
      </w:pPr>
      <w:rPr>
        <w:rFonts w:hint="default"/>
        <w:lang w:val="en-US" w:eastAsia="en-US" w:bidi="ar-SA"/>
      </w:rPr>
    </w:lvl>
    <w:lvl w:ilvl="3">
      <w:start w:val="0"/>
      <w:numFmt w:val="bullet"/>
      <w:lvlText w:val="•"/>
      <w:lvlJc w:val="left"/>
      <w:pPr>
        <w:ind w:left="3747" w:hanging="360"/>
      </w:pPr>
      <w:rPr>
        <w:rFonts w:hint="default"/>
        <w:lang w:val="en-US" w:eastAsia="en-US" w:bidi="ar-SA"/>
      </w:rPr>
    </w:lvl>
    <w:lvl w:ilvl="4">
      <w:start w:val="0"/>
      <w:numFmt w:val="bullet"/>
      <w:lvlText w:val="•"/>
      <w:lvlJc w:val="left"/>
      <w:pPr>
        <w:ind w:left="4510" w:hanging="360"/>
      </w:pPr>
      <w:rPr>
        <w:rFonts w:hint="default"/>
        <w:lang w:val="en-US" w:eastAsia="en-US" w:bidi="ar-SA"/>
      </w:rPr>
    </w:lvl>
    <w:lvl w:ilvl="5">
      <w:start w:val="0"/>
      <w:numFmt w:val="bullet"/>
      <w:lvlText w:val="•"/>
      <w:lvlJc w:val="left"/>
      <w:pPr>
        <w:ind w:left="5273" w:hanging="360"/>
      </w:pPr>
      <w:rPr>
        <w:rFonts w:hint="default"/>
        <w:lang w:val="en-US" w:eastAsia="en-US" w:bidi="ar-SA"/>
      </w:rPr>
    </w:lvl>
    <w:lvl w:ilvl="6">
      <w:start w:val="0"/>
      <w:numFmt w:val="bullet"/>
      <w:lvlText w:val="•"/>
      <w:lvlJc w:val="left"/>
      <w:pPr>
        <w:ind w:left="6035" w:hanging="360"/>
      </w:pPr>
      <w:rPr>
        <w:rFonts w:hint="default"/>
        <w:lang w:val="en-US" w:eastAsia="en-US" w:bidi="ar-SA"/>
      </w:rPr>
    </w:lvl>
    <w:lvl w:ilvl="7">
      <w:start w:val="0"/>
      <w:numFmt w:val="bullet"/>
      <w:lvlText w:val="•"/>
      <w:lvlJc w:val="left"/>
      <w:pPr>
        <w:ind w:left="6798" w:hanging="360"/>
      </w:pPr>
      <w:rPr>
        <w:rFonts w:hint="default"/>
        <w:lang w:val="en-US" w:eastAsia="en-US" w:bidi="ar-SA"/>
      </w:rPr>
    </w:lvl>
    <w:lvl w:ilvl="8">
      <w:start w:val="0"/>
      <w:numFmt w:val="bullet"/>
      <w:lvlText w:val="•"/>
      <w:lvlJc w:val="left"/>
      <w:pPr>
        <w:ind w:left="7560" w:hanging="360"/>
      </w:pPr>
      <w:rPr>
        <w:rFonts w:hint="default"/>
        <w:lang w:val="en-US"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Open Sans Light" w:eastAsia="Open Sans Light" w:hAnsi="Open Sans Light" w:cs="Open Sans Light"/>
    </w:rPr>
  </w:style>
  <w:style w:type="paragraph" w:styleId="Heading1">
    <w:name w:val="heading 1"/>
    <w:basedOn w:val="Normal"/>
    <w:uiPriority w:val="9"/>
    <w:qFormat/>
    <w:pPr>
      <w:spacing w:before="80"/>
      <w:ind w:left="23"/>
      <w:outlineLvl w:val="0"/>
    </w:pPr>
    <w:rPr>
      <w:rFonts w:ascii="Open Sans" w:eastAsia="Open Sans" w:hAnsi="Open Sans" w:cs="Open Sans"/>
      <w:b/>
      <w:bCs/>
      <w:sz w:val="28"/>
      <w:szCs w:val="28"/>
    </w:rPr>
  </w:style>
  <w:style w:type="paragraph" w:styleId="Heading2">
    <w:name w:val="heading 2"/>
    <w:basedOn w:val="Normal"/>
    <w:uiPriority w:val="9"/>
    <w:unhideWhenUsed/>
    <w:qFormat/>
    <w:pPr>
      <w:ind w:left="23"/>
      <w:outlineLvl w:val="1"/>
    </w:pPr>
    <w:rPr>
      <w:rFonts w:ascii="Open Sans" w:eastAsia="Open Sans" w:hAnsi="Open Sans" w:cs="Open Sans"/>
      <w:b/>
      <w:bCs/>
      <w:i/>
      <w:iCs/>
      <w:sz w:val="28"/>
      <w:szCs w:val="28"/>
    </w:rPr>
  </w:style>
  <w:style w:type="paragraph" w:styleId="Heading3">
    <w:name w:val="heading 3"/>
    <w:basedOn w:val="Normal"/>
    <w:uiPriority w:val="9"/>
    <w:unhideWhenUsed/>
    <w:qFormat/>
    <w:pPr>
      <w:spacing w:before="80"/>
      <w:ind w:left="742" w:hanging="719"/>
      <w:outlineLvl w:val="2"/>
    </w:pPr>
    <w:rPr>
      <w:rFonts w:ascii="Open Sans" w:eastAsia="Open Sans" w:hAnsi="Open Sans" w:cs="Open Sans"/>
      <w:b/>
      <w:bCs/>
      <w:sz w:val="24"/>
      <w:szCs w:val="24"/>
    </w:rPr>
  </w:style>
  <w:style w:type="paragraph" w:styleId="Heading4">
    <w:name w:val="heading 4"/>
    <w:basedOn w:val="Normal"/>
    <w:uiPriority w:val="9"/>
    <w:unhideWhenUsed/>
    <w:qFormat/>
    <w:pPr>
      <w:ind w:left="23"/>
      <w:jc w:val="both"/>
      <w:outlineLvl w:val="3"/>
    </w:pPr>
    <w:rPr>
      <w:rFonts w:ascii="Open Sans" w:eastAsia="Open Sans" w:hAnsi="Open Sans" w:cs="Open Sans"/>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43" w:hanging="360"/>
      <w:jc w:val="both"/>
    </w:pPr>
  </w:style>
  <w:style w:type="paragraph" w:customStyle="1" w:styleId="TableParagraph">
    <w:name w:val="Table Paragraph"/>
    <w:basedOn w:val="Normal"/>
    <w:uiPriority w:val="1"/>
    <w:qFormat/>
    <w:pPr>
      <w:spacing w:before="117"/>
      <w:ind w:left="50"/>
    </w:pPr>
  </w:style>
  <w:style w:type="paragraph" w:styleId="Header">
    <w:name w:val="header"/>
    <w:basedOn w:val="Normal"/>
    <w:link w:val="HeaderChar"/>
    <w:uiPriority w:val="99"/>
    <w:unhideWhenUsed/>
    <w:rsid w:val="0038628B"/>
    <w:pPr>
      <w:tabs>
        <w:tab w:val="center" w:pos="4513"/>
        <w:tab w:val="right" w:pos="9026"/>
      </w:tabs>
    </w:pPr>
  </w:style>
  <w:style w:type="character" w:customStyle="1" w:styleId="HeaderChar">
    <w:name w:val="Header Char"/>
    <w:basedOn w:val="DefaultParagraphFont"/>
    <w:link w:val="Header"/>
    <w:uiPriority w:val="99"/>
    <w:rsid w:val="0038628B"/>
    <w:rPr>
      <w:rFonts w:ascii="Open Sans Light" w:eastAsia="Open Sans Light" w:hAnsi="Open Sans Light" w:cs="Open Sans Light"/>
    </w:rPr>
  </w:style>
  <w:style w:type="paragraph" w:styleId="Footer">
    <w:name w:val="footer"/>
    <w:basedOn w:val="Normal"/>
    <w:link w:val="FooterChar"/>
    <w:uiPriority w:val="99"/>
    <w:unhideWhenUsed/>
    <w:rsid w:val="0038628B"/>
    <w:pPr>
      <w:tabs>
        <w:tab w:val="center" w:pos="4513"/>
        <w:tab w:val="right" w:pos="9026"/>
      </w:tabs>
    </w:pPr>
  </w:style>
  <w:style w:type="character" w:customStyle="1" w:styleId="FooterChar">
    <w:name w:val="Footer Char"/>
    <w:basedOn w:val="DefaultParagraphFont"/>
    <w:link w:val="Footer"/>
    <w:uiPriority w:val="99"/>
    <w:rsid w:val="0038628B"/>
    <w:rPr>
      <w:rFonts w:ascii="Open Sans Light" w:eastAsia="Open Sans Light" w:hAnsi="Open Sans Light" w:cs="Open Sans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STA0071</dc:title>
  <cp:revision>0</cp:revision>
</cp:coreProperties>
</file>