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E26" w:rsidP="00F83E26">
      <w:pPr>
        <w:spacing w:line="240" w:lineRule="auto"/>
        <w:jc w:val="center"/>
        <w:rPr>
          <w:rFonts w:asciiTheme="minorHAnsi" w:hAnsiTheme="minorHAnsi"/>
          <w:b/>
          <w:bCs/>
          <w:sz w:val="22"/>
        </w:rPr>
      </w:pPr>
      <w:r>
        <w:rPr>
          <w:rFonts w:asciiTheme="minorHAnsi" w:hAnsiTheme="minorHAnsi"/>
          <w:b/>
          <w:bCs/>
          <w:sz w:val="22"/>
        </w:rPr>
        <w:t xml:space="preserve">Written evidence by </w:t>
      </w:r>
      <w:r w:rsidRPr="009F7A2A">
        <w:rPr>
          <w:rFonts w:asciiTheme="minorHAnsi" w:hAnsiTheme="minorHAnsi"/>
          <w:b/>
          <w:bCs/>
          <w:sz w:val="22"/>
        </w:rPr>
        <w:t xml:space="preserve">Dr Inci Toral </w:t>
      </w:r>
      <w:r>
        <w:rPr>
          <w:rFonts w:asciiTheme="minorHAnsi" w:hAnsiTheme="minorHAnsi"/>
          <w:b/>
          <w:bCs/>
          <w:sz w:val="22"/>
        </w:rPr>
        <w:t xml:space="preserve">and </w:t>
      </w:r>
      <w:r w:rsidRPr="009F7A2A">
        <w:rPr>
          <w:rFonts w:asciiTheme="minorHAnsi" w:hAnsiTheme="minorHAnsi"/>
          <w:b/>
          <w:bCs/>
          <w:sz w:val="22"/>
        </w:rPr>
        <w:t xml:space="preserve">Dr Sarah Montano </w:t>
      </w:r>
      <w:r>
        <w:rPr>
          <w:rFonts w:asciiTheme="minorHAnsi" w:hAnsiTheme="minorHAnsi"/>
          <w:b/>
          <w:bCs/>
          <w:sz w:val="22"/>
        </w:rPr>
        <w:t>(</w:t>
      </w:r>
      <w:r w:rsidRPr="00C556EC">
        <w:rPr>
          <w:rFonts w:asciiTheme="minorHAnsi" w:hAnsiTheme="minorHAnsi"/>
          <w:b/>
          <w:bCs/>
          <w:sz w:val="22"/>
        </w:rPr>
        <w:t>AIE0066</w:t>
      </w:r>
      <w:r>
        <w:rPr>
          <w:rFonts w:asciiTheme="minorHAnsi" w:hAnsiTheme="minorHAnsi"/>
          <w:b/>
          <w:bCs/>
          <w:sz w:val="22"/>
        </w:rPr>
        <w:t xml:space="preserve">) </w:t>
      </w:r>
    </w:p>
    <w:p w:rsidR="00F83E26" w:rsidP="00F83E26">
      <w:pPr>
        <w:spacing w:line="240" w:lineRule="auto"/>
        <w:jc w:val="center"/>
        <w:rPr>
          <w:rFonts w:asciiTheme="minorHAnsi" w:hAnsiTheme="minorHAnsi"/>
          <w:b/>
          <w:bCs/>
          <w:sz w:val="22"/>
        </w:rPr>
      </w:pPr>
    </w:p>
    <w:p w:rsidR="00F83E26" w:rsidP="00F83E26">
      <w:pPr>
        <w:spacing w:line="240" w:lineRule="auto"/>
        <w:rPr>
          <w:rFonts w:asciiTheme="minorHAnsi" w:hAnsiTheme="minorHAnsi"/>
          <w:b/>
          <w:bCs/>
          <w:sz w:val="22"/>
        </w:rPr>
      </w:pPr>
      <w:r>
        <w:rPr>
          <w:rFonts w:asciiTheme="minorHAnsi" w:hAnsiTheme="minorHAnsi"/>
          <w:b/>
          <w:bCs/>
          <w:sz w:val="22"/>
        </w:rPr>
        <w:t xml:space="preserve">Education committee </w:t>
      </w:r>
    </w:p>
    <w:p w:rsidR="00F83E26" w:rsidRPr="006C513F" w:rsidP="00F83E26">
      <w:pPr>
        <w:spacing w:line="240" w:lineRule="auto"/>
        <w:rPr>
          <w:rFonts w:asciiTheme="minorHAnsi" w:hAnsiTheme="minorHAnsi"/>
          <w:b/>
          <w:bCs/>
          <w:sz w:val="22"/>
        </w:rPr>
      </w:pPr>
      <w:r w:rsidRPr="006C513F">
        <w:rPr>
          <w:rFonts w:asciiTheme="minorHAnsi" w:hAnsiTheme="minorHAnsi"/>
          <w:b/>
          <w:bCs/>
          <w:sz w:val="22"/>
        </w:rPr>
        <w:t xml:space="preserve"> The use of Artificial Intelligence (AI) and EdTech in education</w:t>
      </w:r>
    </w:p>
    <w:p w:rsidR="00F83E26" w:rsidP="00F83E26">
      <w:pPr>
        <w:spacing w:line="240" w:lineRule="auto"/>
        <w:rPr>
          <w:rFonts w:asciiTheme="minorHAnsi" w:eastAsiaTheme="minorEastAsia" w:hAnsiTheme="minorHAnsi"/>
          <w:sz w:val="22"/>
        </w:rPr>
      </w:pPr>
      <w:r w:rsidRPr="006C513F">
        <w:rPr>
          <w:rFonts w:asciiTheme="minorHAnsi" w:hAnsiTheme="minorHAnsi"/>
          <w:b/>
          <w:bCs/>
          <w:sz w:val="22"/>
        </w:rPr>
        <w:t>Authors:</w:t>
      </w:r>
      <w:r w:rsidRPr="006C513F">
        <w:rPr>
          <w:rFonts w:asciiTheme="minorHAnsi" w:hAnsiTheme="minorHAnsi"/>
          <w:b/>
          <w:bCs/>
          <w:sz w:val="22"/>
        </w:rPr>
        <w:br/>
      </w:r>
      <w:r w:rsidRPr="006C513F">
        <w:rPr>
          <w:rFonts w:asciiTheme="minorHAnsi" w:hAnsiTheme="minorHAnsi"/>
          <w:sz w:val="22"/>
        </w:rPr>
        <w:t>Dr Inci Toral</w:t>
      </w:r>
      <w:r>
        <w:rPr>
          <w:rStyle w:val="FootnoteReference"/>
          <w:rFonts w:asciiTheme="minorHAnsi" w:hAnsiTheme="minorHAnsi"/>
          <w:sz w:val="22"/>
        </w:rPr>
        <w:footnoteReference w:id="2"/>
      </w:r>
      <w:r w:rsidRPr="006C513F">
        <w:rPr>
          <w:rFonts w:asciiTheme="minorHAnsi" w:hAnsiTheme="minorHAnsi"/>
          <w:sz w:val="22"/>
        </w:rPr>
        <w:t xml:space="preserve"> </w:t>
      </w:r>
      <w:r w:rsidRPr="006C513F">
        <w:rPr>
          <w:rFonts w:asciiTheme="minorHAnsi" w:eastAsiaTheme="minorEastAsia" w:hAnsiTheme="minorHAnsi"/>
          <w:sz w:val="22"/>
        </w:rPr>
        <w:t>Associate Professor of Marketing, University of Birmingham</w:t>
      </w:r>
    </w:p>
    <w:p w:rsidR="00F83E26" w:rsidP="00F83E26">
      <w:pPr>
        <w:spacing w:line="240" w:lineRule="auto"/>
        <w:rPr>
          <w:rFonts w:asciiTheme="minorHAnsi" w:eastAsiaTheme="minorEastAsia" w:hAnsiTheme="minorHAnsi"/>
          <w:sz w:val="22"/>
        </w:rPr>
      </w:pPr>
      <w:r w:rsidRPr="006C513F">
        <w:rPr>
          <w:rFonts w:asciiTheme="minorHAnsi" w:hAnsiTheme="minorHAnsi"/>
          <w:sz w:val="22"/>
        </w:rPr>
        <w:t>Professor Sarah Montano</w:t>
      </w:r>
      <w:r>
        <w:rPr>
          <w:rStyle w:val="FootnoteReference"/>
          <w:rFonts w:asciiTheme="minorHAnsi" w:hAnsiTheme="minorHAnsi"/>
          <w:sz w:val="22"/>
        </w:rPr>
        <w:footnoteReference w:id="3"/>
      </w:r>
      <w:r w:rsidRPr="006C513F">
        <w:rPr>
          <w:rFonts w:asciiTheme="minorHAnsi" w:hAnsiTheme="minorHAnsi"/>
          <w:sz w:val="22"/>
        </w:rPr>
        <w:t xml:space="preserve"> </w:t>
      </w:r>
      <w:r w:rsidRPr="006C513F">
        <w:rPr>
          <w:rFonts w:asciiTheme="minorHAnsi" w:eastAsiaTheme="minorEastAsia" w:hAnsiTheme="minorHAnsi"/>
          <w:sz w:val="22"/>
        </w:rPr>
        <w:t>Professor of Retail Marketing</w:t>
      </w:r>
      <w:r>
        <w:rPr>
          <w:rFonts w:asciiTheme="minorHAnsi" w:eastAsiaTheme="minorEastAsia" w:hAnsiTheme="minorHAnsi"/>
          <w:sz w:val="22"/>
        </w:rPr>
        <w:t>; National Teaching Fellow 2023</w:t>
      </w:r>
      <w:r w:rsidRPr="006C513F">
        <w:rPr>
          <w:rFonts w:asciiTheme="minorHAnsi" w:eastAsiaTheme="minorEastAsia" w:hAnsiTheme="minorHAnsi"/>
          <w:sz w:val="22"/>
        </w:rPr>
        <w:t>, University of Birmingham</w:t>
      </w:r>
    </w:p>
    <w:p w:rsidR="00F83E26" w:rsidRPr="006C513F" w:rsidP="00F83E26">
      <w:pPr>
        <w:spacing w:line="240" w:lineRule="auto"/>
        <w:rPr>
          <w:rFonts w:asciiTheme="minorHAnsi" w:hAnsiTheme="minorHAnsi"/>
          <w:b/>
          <w:bCs/>
          <w:sz w:val="22"/>
        </w:rPr>
      </w:pPr>
      <w:r w:rsidRPr="006C513F">
        <w:rPr>
          <w:rFonts w:asciiTheme="minorHAnsi" w:hAnsiTheme="minorHAnsi"/>
          <w:b/>
          <w:bCs/>
          <w:sz w:val="22"/>
        </w:rPr>
        <w:t>Authors:</w:t>
      </w:r>
    </w:p>
    <w:p w:rsidR="00F83E26" w:rsidRPr="006C513F" w:rsidP="00F83E26">
      <w:pPr>
        <w:spacing w:line="240" w:lineRule="auto"/>
        <w:rPr>
          <w:rFonts w:asciiTheme="minorHAnsi" w:hAnsiTheme="minorHAnsi"/>
          <w:sz w:val="22"/>
        </w:rPr>
      </w:pPr>
      <w:r w:rsidRPr="006C513F">
        <w:rPr>
          <w:rFonts w:asciiTheme="minorHAnsi" w:hAnsiTheme="minorHAnsi"/>
          <w:sz w:val="22"/>
        </w:rPr>
        <w:t xml:space="preserve">The authors are both Higher Education (HE) marketing academics each with over two decades of HE experience at the Birmingham Business School, University of Birmingham. They not only on their subject research of retail, but they have a sustained trajectory of pedagogical research.  Their research focuses on the optimal way to teach university students and how to best innovate in curricula, within the business disciplines. Specifically, they have carried out research into the need for authentic assessments that not only mirror workplace requirements but also EdTech including AI. They have also developed experiential learning models that ensure the development of so-called human employability skills that enable students to secure graduate roles in an AI workplace. Furthermore, the adoption of the model by academics worldwide has transformed learning across disciplines. </w:t>
      </w:r>
      <w:r w:rsidRPr="006C513F">
        <w:rPr>
          <w:rFonts w:asciiTheme="minorHAnsi" w:eastAsiaTheme="minorEastAsia" w:hAnsiTheme="minorHAnsi"/>
          <w:sz w:val="22"/>
        </w:rPr>
        <w:t>This submission draws on our extensive research and therefore we are writing in our capacity as Higher Education</w:t>
      </w:r>
      <w:r>
        <w:rPr>
          <w:rStyle w:val="FootnoteReference"/>
          <w:rFonts w:asciiTheme="minorHAnsi" w:eastAsiaTheme="minorEastAsia" w:hAnsiTheme="minorHAnsi"/>
          <w:sz w:val="22"/>
        </w:rPr>
        <w:footnoteReference w:id="4"/>
      </w:r>
      <w:r w:rsidRPr="006C513F">
        <w:rPr>
          <w:rFonts w:asciiTheme="minorHAnsi" w:eastAsiaTheme="minorEastAsia" w:hAnsiTheme="minorHAnsi"/>
          <w:sz w:val="22"/>
        </w:rPr>
        <w:t xml:space="preserve"> academic researchers. </w:t>
      </w:r>
    </w:p>
    <w:p w:rsidR="00F83E26" w:rsidRPr="006C513F" w:rsidP="00F83E26">
      <w:pPr>
        <w:pStyle w:val="Heading1"/>
        <w:spacing w:line="240" w:lineRule="auto"/>
        <w:rPr>
          <w:rFonts w:asciiTheme="minorHAnsi" w:hAnsiTheme="minorHAnsi"/>
          <w:b/>
          <w:bCs/>
          <w:color w:val="000000" w:themeColor="text1"/>
          <w:sz w:val="22"/>
          <w:szCs w:val="22"/>
        </w:rPr>
      </w:pPr>
      <w:r w:rsidRPr="006C513F">
        <w:rPr>
          <w:rFonts w:asciiTheme="minorHAnsi" w:hAnsiTheme="minorHAnsi"/>
          <w:b/>
          <w:bCs/>
          <w:color w:val="000000" w:themeColor="text1"/>
          <w:sz w:val="22"/>
          <w:szCs w:val="22"/>
        </w:rPr>
        <w:t>Summary:</w:t>
      </w:r>
    </w:p>
    <w:p w:rsidR="00F83E26" w:rsidP="00F83E26">
      <w:pPr>
        <w:spacing w:line="240" w:lineRule="auto"/>
        <w:rPr>
          <w:rFonts w:asciiTheme="minorHAnsi" w:hAnsiTheme="minorHAnsi"/>
          <w:sz w:val="22"/>
        </w:rPr>
      </w:pPr>
      <w:r w:rsidRPr="004F6130">
        <w:rPr>
          <w:rFonts w:asciiTheme="minorHAnsi" w:hAnsiTheme="minorHAnsi"/>
          <w:sz w:val="22"/>
        </w:rPr>
        <w:t>This submission addresses key areas of the Parliamentary call by highlighting that while AI and EdTech offer opportunities to enhance learning, streamline workloads, and modernise assessment, they also pose substantial risks, including widening inequalities, addictive design features, and erosion of essential human skills</w:t>
      </w:r>
      <w:r>
        <w:rPr>
          <w:rFonts w:asciiTheme="minorHAnsi" w:hAnsiTheme="minorHAnsi"/>
          <w:sz w:val="22"/>
        </w:rPr>
        <w:t>.</w:t>
      </w:r>
    </w:p>
    <w:p w:rsidR="00F83E26" w:rsidRPr="006C513F" w:rsidP="00F83E26">
      <w:pPr>
        <w:spacing w:line="240" w:lineRule="auto"/>
        <w:rPr>
          <w:rFonts w:asciiTheme="minorHAnsi" w:hAnsiTheme="minorHAnsi"/>
          <w:sz w:val="22"/>
        </w:rPr>
      </w:pPr>
      <w:r w:rsidRPr="006C513F">
        <w:rPr>
          <w:rFonts w:asciiTheme="minorHAnsi" w:hAnsiTheme="minorHAnsi"/>
          <w:sz w:val="22"/>
        </w:rPr>
        <w:t>Our core argument is that while AI can greatly enhance learning, the integration of analogue, embodied, and reflective pedagogies is vital to ensure that students develop human-centred skills that technology cannot replace.</w:t>
      </w:r>
      <w:r>
        <w:rPr>
          <w:rFonts w:asciiTheme="minorHAnsi" w:hAnsiTheme="minorHAnsi"/>
          <w:sz w:val="22"/>
        </w:rPr>
        <w:t xml:space="preserve"> </w:t>
      </w:r>
      <w:r w:rsidRPr="5F137408">
        <w:rPr>
          <w:rFonts w:asciiTheme="minorHAnsi" w:hAnsiTheme="minorHAnsi"/>
          <w:sz w:val="22"/>
        </w:rPr>
        <w:t xml:space="preserve">It is essential that any </w:t>
      </w:r>
      <w:r w:rsidRPr="7D4557D5">
        <w:rPr>
          <w:rFonts w:asciiTheme="minorHAnsi" w:hAnsiTheme="minorHAnsi"/>
          <w:sz w:val="22"/>
        </w:rPr>
        <w:t xml:space="preserve">policy development </w:t>
      </w:r>
      <w:r w:rsidRPr="03B4522A">
        <w:rPr>
          <w:rFonts w:asciiTheme="minorHAnsi" w:hAnsiTheme="minorHAnsi"/>
          <w:sz w:val="22"/>
        </w:rPr>
        <w:t xml:space="preserve">does </w:t>
      </w:r>
      <w:r w:rsidRPr="3BF0B687">
        <w:rPr>
          <w:rFonts w:asciiTheme="minorHAnsi" w:hAnsiTheme="minorHAnsi"/>
          <w:sz w:val="22"/>
        </w:rPr>
        <w:t>not</w:t>
      </w:r>
      <w:r w:rsidRPr="03B4522A">
        <w:rPr>
          <w:rFonts w:asciiTheme="minorHAnsi" w:hAnsiTheme="minorHAnsi"/>
          <w:sz w:val="22"/>
        </w:rPr>
        <w:t xml:space="preserve"> just focus on </w:t>
      </w:r>
      <w:r w:rsidRPr="076D3138">
        <w:rPr>
          <w:rFonts w:asciiTheme="minorHAnsi" w:hAnsiTheme="minorHAnsi"/>
          <w:sz w:val="22"/>
        </w:rPr>
        <w:t xml:space="preserve">ensuring that young people gain </w:t>
      </w:r>
      <w:r w:rsidRPr="4843B288">
        <w:rPr>
          <w:rFonts w:asciiTheme="minorHAnsi" w:hAnsiTheme="minorHAnsi"/>
          <w:sz w:val="22"/>
        </w:rPr>
        <w:t xml:space="preserve">digital </w:t>
      </w:r>
      <w:r w:rsidRPr="3BF0B687">
        <w:rPr>
          <w:rFonts w:asciiTheme="minorHAnsi" w:hAnsiTheme="minorHAnsi"/>
          <w:sz w:val="22"/>
        </w:rPr>
        <w:t>skills</w:t>
      </w:r>
      <w:r w:rsidRPr="39BE5677">
        <w:rPr>
          <w:rFonts w:asciiTheme="minorHAnsi" w:hAnsiTheme="minorHAnsi"/>
          <w:sz w:val="22"/>
        </w:rPr>
        <w:t xml:space="preserve">, but warrants that they gain the employability skills needed, specifically the very human skills that </w:t>
      </w:r>
      <w:r w:rsidRPr="512DFB9C">
        <w:rPr>
          <w:rFonts w:asciiTheme="minorHAnsi" w:hAnsiTheme="minorHAnsi"/>
          <w:sz w:val="22"/>
        </w:rPr>
        <w:t>people and not technology can deliver.</w:t>
      </w:r>
      <w:r w:rsidRPr="3BF0B687">
        <w:rPr>
          <w:rFonts w:asciiTheme="minorHAnsi" w:hAnsiTheme="minorHAnsi"/>
          <w:sz w:val="22"/>
        </w:rPr>
        <w:t xml:space="preserve"> When</w:t>
      </w:r>
      <w:r w:rsidRPr="006C513F">
        <w:rPr>
          <w:rFonts w:asciiTheme="minorHAnsi" w:hAnsiTheme="minorHAnsi"/>
          <w:sz w:val="22"/>
        </w:rPr>
        <w:t xml:space="preserve"> integrated with clear objectives and quality assurance, AI and EdTech can </w:t>
      </w:r>
      <w:r w:rsidRPr="006C513F">
        <w:rPr>
          <w:rFonts w:asciiTheme="minorHAnsi" w:hAnsiTheme="minorHAnsi"/>
          <w:sz w:val="22"/>
        </w:rPr>
        <w:t>personalise learning, enhance accessibility, and alleviate routine workloads, allowing educators to focus on high-value teaching and mentoring.</w:t>
      </w:r>
      <w:r>
        <w:rPr>
          <w:rFonts w:asciiTheme="minorHAnsi" w:hAnsiTheme="minorHAnsi"/>
          <w:sz w:val="22"/>
        </w:rPr>
        <w:t xml:space="preserve"> Furthermore, the arrival of EdTech means that</w:t>
      </w:r>
      <w:r w:rsidRPr="512DFB9C">
        <w:rPr>
          <w:rFonts w:asciiTheme="minorHAnsi" w:hAnsiTheme="minorHAnsi"/>
          <w:sz w:val="22"/>
        </w:rPr>
        <w:t xml:space="preserve"> HE</w:t>
      </w:r>
      <w:r>
        <w:rPr>
          <w:rFonts w:asciiTheme="minorHAnsi" w:hAnsiTheme="minorHAnsi"/>
          <w:sz w:val="22"/>
        </w:rPr>
        <w:t xml:space="preserve"> academics can innovate in their curricula to design meaningful teaching and learning that enhances students’ skill development.</w:t>
      </w:r>
      <w:r w:rsidRPr="006C513F">
        <w:rPr>
          <w:rFonts w:asciiTheme="minorHAnsi" w:hAnsiTheme="minorHAnsi"/>
          <w:sz w:val="22"/>
        </w:rPr>
        <w:t xml:space="preserve"> In the context of authentic, employer-relevant tasks, AI can boost creativity and critical thinking, provided that students are taught to assess outputs and substantiate their processes.</w:t>
      </w:r>
      <w:r>
        <w:rPr>
          <w:rFonts w:asciiTheme="minorHAnsi" w:hAnsiTheme="minorHAnsi"/>
          <w:sz w:val="22"/>
        </w:rPr>
        <w:t xml:space="preserve"> However, w</w:t>
      </w:r>
      <w:r w:rsidRPr="006C513F">
        <w:rPr>
          <w:rFonts w:asciiTheme="minorHAnsi" w:hAnsiTheme="minorHAnsi"/>
          <w:sz w:val="22"/>
        </w:rPr>
        <w:t>ithout a robust design, AI and EdTech can heighten distraction and stress, worsen inequalities (such as access to devices, bandwidth, and adult digital literacy), and pose challenges to assessment integrity while fostering over-reliance, leading to "deskilling."</w:t>
      </w:r>
    </w:p>
    <w:p w:rsidR="00F83E26" w:rsidRPr="004225D3" w:rsidP="00F83E26">
      <w:pPr>
        <w:spacing w:line="240" w:lineRule="auto"/>
        <w:rPr>
          <w:rFonts w:asciiTheme="minorHAnsi" w:eastAsiaTheme="minorEastAsia" w:hAnsiTheme="minorHAnsi"/>
          <w:b/>
          <w:sz w:val="22"/>
        </w:rPr>
      </w:pPr>
      <w:r w:rsidRPr="004225D3">
        <w:rPr>
          <w:rFonts w:asciiTheme="minorHAnsi" w:eastAsiaTheme="minorEastAsia" w:hAnsiTheme="minorHAnsi"/>
          <w:b/>
          <w:sz w:val="22"/>
        </w:rPr>
        <w:t>Specific Responses:</w:t>
      </w:r>
    </w:p>
    <w:p w:rsidR="00F83E26" w:rsidP="00F83E26">
      <w:pPr>
        <w:spacing w:line="240" w:lineRule="auto"/>
        <w:rPr>
          <w:rFonts w:asciiTheme="minorHAnsi" w:eastAsiaTheme="minorEastAsia" w:hAnsiTheme="minorHAnsi"/>
          <w:sz w:val="22"/>
        </w:rPr>
      </w:pPr>
      <w:r w:rsidRPr="0738E2FA">
        <w:rPr>
          <w:rFonts w:asciiTheme="minorHAnsi" w:eastAsiaTheme="minorEastAsia" w:hAnsiTheme="minorHAnsi"/>
          <w:sz w:val="22"/>
        </w:rPr>
        <w:t>In this submission we address the Education Committee’s call for evidence on AI and EdTech in education. Our evidence covers:</w:t>
      </w:r>
    </w:p>
    <w:p w:rsidR="00F83E26" w:rsidP="00F83E26">
      <w:pPr>
        <w:pStyle w:val="ListParagraph"/>
        <w:numPr>
          <w:ilvl w:val="0"/>
          <w:numId w:val="3"/>
        </w:numPr>
        <w:spacing w:line="240" w:lineRule="auto"/>
        <w:rPr>
          <w:rFonts w:asciiTheme="minorHAnsi" w:eastAsiaTheme="minorEastAsia" w:hAnsiTheme="minorHAnsi"/>
          <w:sz w:val="22"/>
        </w:rPr>
      </w:pPr>
      <w:r w:rsidRPr="0738E2FA">
        <w:rPr>
          <w:rFonts w:asciiTheme="minorHAnsi" w:eastAsiaTheme="minorEastAsia" w:hAnsiTheme="minorHAnsi"/>
          <w:sz w:val="22"/>
        </w:rPr>
        <w:t xml:space="preserve">AI’s opportunities and challenges in education including impacts on critical thinking, problem solving and oral skills. </w:t>
      </w:r>
    </w:p>
    <w:p w:rsidR="00F83E26" w:rsidP="00F83E26">
      <w:pPr>
        <w:pStyle w:val="ListParagraph"/>
        <w:numPr>
          <w:ilvl w:val="0"/>
          <w:numId w:val="3"/>
        </w:numPr>
        <w:spacing w:line="240" w:lineRule="auto"/>
        <w:rPr>
          <w:rFonts w:asciiTheme="minorHAnsi" w:eastAsiaTheme="minorEastAsia" w:hAnsiTheme="minorHAnsi"/>
          <w:sz w:val="22"/>
        </w:rPr>
      </w:pPr>
      <w:r w:rsidRPr="0738E2FA">
        <w:rPr>
          <w:rFonts w:asciiTheme="minorHAnsi" w:eastAsiaTheme="minorEastAsia" w:hAnsiTheme="minorHAnsi"/>
          <w:sz w:val="22"/>
        </w:rPr>
        <w:t>The risks of AI in introducing challenges, undermining skills and contributing to addictive designs, highlighted by the results of student outcome gaps, safeguarding and mental well-being.</w:t>
      </w:r>
    </w:p>
    <w:p w:rsidR="00F83E26" w:rsidP="00F83E26">
      <w:pPr>
        <w:pStyle w:val="ListParagraph"/>
        <w:numPr>
          <w:ilvl w:val="0"/>
          <w:numId w:val="3"/>
        </w:numPr>
        <w:spacing w:line="240" w:lineRule="auto"/>
        <w:rPr>
          <w:rFonts w:asciiTheme="minorHAnsi" w:eastAsiaTheme="minorEastAsia" w:hAnsiTheme="minorHAnsi"/>
          <w:sz w:val="22"/>
        </w:rPr>
      </w:pPr>
      <w:r w:rsidRPr="0738E2FA">
        <w:rPr>
          <w:rFonts w:asciiTheme="minorHAnsi" w:eastAsiaTheme="minorEastAsia" w:hAnsiTheme="minorHAnsi"/>
          <w:sz w:val="22"/>
        </w:rPr>
        <w:t>AI’s effects on teaching practice and workload, including the need for educator support and need for values</w:t>
      </w:r>
      <w:r>
        <w:rPr>
          <w:rFonts w:asciiTheme="minorHAnsi" w:eastAsiaTheme="minorEastAsia" w:hAnsiTheme="minorHAnsi"/>
          <w:sz w:val="22"/>
        </w:rPr>
        <w:t>-</w:t>
      </w:r>
      <w:r w:rsidRPr="0738E2FA">
        <w:rPr>
          <w:rFonts w:asciiTheme="minorHAnsi" w:eastAsiaTheme="minorEastAsia" w:hAnsiTheme="minorHAnsi"/>
          <w:sz w:val="22"/>
        </w:rPr>
        <w:t>based frameworks.</w:t>
      </w:r>
    </w:p>
    <w:p w:rsidR="00F83E26" w:rsidP="00F83E26">
      <w:pPr>
        <w:pStyle w:val="ListParagraph"/>
        <w:numPr>
          <w:ilvl w:val="0"/>
          <w:numId w:val="3"/>
        </w:numPr>
        <w:spacing w:line="240" w:lineRule="auto"/>
        <w:rPr>
          <w:rFonts w:asciiTheme="minorHAnsi" w:eastAsiaTheme="minorEastAsia" w:hAnsiTheme="minorHAnsi"/>
          <w:sz w:val="22"/>
        </w:rPr>
      </w:pPr>
      <w:r w:rsidRPr="0738E2FA">
        <w:rPr>
          <w:rFonts w:asciiTheme="minorHAnsi" w:eastAsiaTheme="minorEastAsia" w:hAnsiTheme="minorHAnsi"/>
          <w:sz w:val="22"/>
        </w:rPr>
        <w:t>Implications for assessment support, digital rights and responsible AI use, including safe engagement and safety nets for emerging tech.</w:t>
      </w:r>
    </w:p>
    <w:p w:rsidR="00F83E26" w:rsidP="00F83E26">
      <w:pPr>
        <w:spacing w:line="240" w:lineRule="auto"/>
        <w:rPr>
          <w:rFonts w:asciiTheme="minorHAnsi" w:eastAsiaTheme="minorEastAsia" w:hAnsiTheme="minorHAnsi"/>
          <w:b/>
          <w:sz w:val="22"/>
        </w:rPr>
      </w:pPr>
      <w:r w:rsidRPr="004225D3">
        <w:rPr>
          <w:rFonts w:asciiTheme="minorHAnsi" w:eastAsiaTheme="minorEastAsia" w:hAnsiTheme="minorHAnsi"/>
          <w:b/>
          <w:sz w:val="22"/>
        </w:rPr>
        <w:t>Section 1 – Challenges and Opportunities</w:t>
      </w:r>
    </w:p>
    <w:p w:rsidR="00F83E26" w:rsidRPr="0000536C" w:rsidP="00F83E26">
      <w:pPr>
        <w:spacing w:line="240" w:lineRule="auto"/>
        <w:rPr>
          <w:rFonts w:asciiTheme="minorHAnsi" w:eastAsiaTheme="minorEastAsia" w:hAnsiTheme="minorHAnsi"/>
          <w:b/>
          <w:sz w:val="22"/>
        </w:rPr>
      </w:pPr>
      <w:r w:rsidRPr="0000536C">
        <w:rPr>
          <w:rFonts w:asciiTheme="minorHAnsi" w:eastAsiaTheme="minorEastAsia" w:hAnsiTheme="minorHAnsi"/>
          <w:b/>
          <w:sz w:val="22"/>
        </w:rPr>
        <w:t>Challenges:</w:t>
      </w:r>
    </w:p>
    <w:p w:rsidR="00F83E26" w:rsidP="00F83E26">
      <w:pPr>
        <w:spacing w:line="240" w:lineRule="auto"/>
        <w:rPr>
          <w:rFonts w:asciiTheme="minorHAnsi" w:eastAsiaTheme="minorEastAsia" w:hAnsiTheme="minorHAnsi"/>
          <w:bCs/>
          <w:sz w:val="22"/>
        </w:rPr>
      </w:pPr>
      <w:r w:rsidRPr="006C513F">
        <w:rPr>
          <w:rFonts w:asciiTheme="minorHAnsi" w:eastAsiaTheme="minorEastAsia" w:hAnsiTheme="minorHAnsi"/>
          <w:bCs/>
          <w:sz w:val="22"/>
        </w:rPr>
        <w:t>As with all technologies, there are both challenges and opportunities</w:t>
      </w:r>
      <w:r>
        <w:rPr>
          <w:rFonts w:asciiTheme="minorHAnsi" w:eastAsiaTheme="minorEastAsia" w:hAnsiTheme="minorHAnsi"/>
          <w:bCs/>
          <w:sz w:val="22"/>
        </w:rPr>
        <w:t xml:space="preserve"> that will inherently vary across the educational years. From our</w:t>
      </w:r>
      <w:r w:rsidRPr="3C830814">
        <w:rPr>
          <w:rFonts w:asciiTheme="minorHAnsi" w:eastAsiaTheme="minorEastAsia" w:hAnsiTheme="minorHAnsi"/>
          <w:sz w:val="22"/>
        </w:rPr>
        <w:t xml:space="preserve"> HE</w:t>
      </w:r>
      <w:r>
        <w:rPr>
          <w:rFonts w:asciiTheme="minorHAnsi" w:eastAsiaTheme="minorEastAsia" w:hAnsiTheme="minorHAnsi"/>
          <w:bCs/>
          <w:sz w:val="22"/>
        </w:rPr>
        <w:t xml:space="preserve"> perspective, the most significant challenges are as follows:</w:t>
      </w:r>
    </w:p>
    <w:p w:rsidR="00F83E26" w:rsidP="00F83E26">
      <w:pPr>
        <w:pStyle w:val="ListParagraph"/>
        <w:numPr>
          <w:ilvl w:val="0"/>
          <w:numId w:val="2"/>
        </w:numPr>
        <w:spacing w:line="240" w:lineRule="auto"/>
        <w:rPr>
          <w:rFonts w:asciiTheme="minorHAnsi" w:eastAsiaTheme="minorEastAsia" w:hAnsiTheme="minorHAnsi"/>
          <w:bCs/>
          <w:sz w:val="22"/>
        </w:rPr>
      </w:pPr>
      <w:r>
        <w:rPr>
          <w:rFonts w:asciiTheme="minorHAnsi" w:eastAsiaTheme="minorEastAsia" w:hAnsiTheme="minorHAnsi"/>
          <w:bCs/>
          <w:sz w:val="22"/>
        </w:rPr>
        <w:t>The threat to academic integrity</w:t>
      </w:r>
    </w:p>
    <w:p w:rsidR="00F83E26" w:rsidP="00F83E26">
      <w:pPr>
        <w:pStyle w:val="ListParagraph"/>
        <w:numPr>
          <w:ilvl w:val="0"/>
          <w:numId w:val="2"/>
        </w:numPr>
        <w:spacing w:line="240" w:lineRule="auto"/>
        <w:rPr>
          <w:rFonts w:asciiTheme="minorHAnsi" w:eastAsiaTheme="minorEastAsia" w:hAnsiTheme="minorHAnsi"/>
          <w:bCs/>
          <w:sz w:val="22"/>
        </w:rPr>
      </w:pPr>
      <w:r>
        <w:rPr>
          <w:rFonts w:asciiTheme="minorHAnsi" w:eastAsiaTheme="minorEastAsia" w:hAnsiTheme="minorHAnsi"/>
          <w:bCs/>
          <w:sz w:val="22"/>
        </w:rPr>
        <w:t>That students default to using AI to complete their work</w:t>
      </w:r>
    </w:p>
    <w:p w:rsidR="00F83E26" w:rsidRPr="0000536C" w:rsidP="00F83E26">
      <w:pPr>
        <w:pStyle w:val="ListParagraph"/>
        <w:numPr>
          <w:ilvl w:val="0"/>
          <w:numId w:val="2"/>
        </w:numPr>
        <w:spacing w:line="240" w:lineRule="auto"/>
        <w:rPr>
          <w:rFonts w:asciiTheme="minorHAnsi" w:eastAsiaTheme="minorEastAsia" w:hAnsiTheme="minorHAnsi"/>
          <w:bCs/>
          <w:sz w:val="22"/>
        </w:rPr>
      </w:pPr>
      <w:r>
        <w:rPr>
          <w:rFonts w:asciiTheme="minorHAnsi" w:eastAsiaTheme="minorEastAsia" w:hAnsiTheme="minorHAnsi"/>
          <w:bCs/>
          <w:sz w:val="22"/>
        </w:rPr>
        <w:t xml:space="preserve">A consequential deskilling of students/ graduates </w:t>
      </w:r>
    </w:p>
    <w:p w:rsidR="00F83E26" w:rsidRPr="00A42FE6" w:rsidP="00F83E26">
      <w:pPr>
        <w:spacing w:line="240" w:lineRule="auto"/>
        <w:rPr>
          <w:rStyle w:val="normaltextrun"/>
          <w:rFonts w:asciiTheme="minorHAnsi" w:hAnsiTheme="minorHAnsi"/>
          <w:color w:val="000000"/>
          <w:sz w:val="22"/>
          <w:shd w:val="clear" w:color="auto" w:fill="FFFFFF"/>
          <w:lang w:val="en-US"/>
        </w:rPr>
      </w:pPr>
      <w:r>
        <w:rPr>
          <w:rFonts w:asciiTheme="minorHAnsi" w:eastAsiaTheme="minorEastAsia" w:hAnsiTheme="minorHAnsi"/>
          <w:bCs/>
          <w:sz w:val="22"/>
        </w:rPr>
        <w:t xml:space="preserve">Our research suggests that students’ skill development will be the biggest challenge. </w:t>
      </w:r>
      <w:r w:rsidRPr="30AB8429">
        <w:rPr>
          <w:rFonts w:asciiTheme="minorHAnsi" w:eastAsiaTheme="minorEastAsia" w:hAnsiTheme="minorHAnsi"/>
          <w:sz w:val="22"/>
        </w:rPr>
        <w:t xml:space="preserve">Not only is </w:t>
      </w:r>
      <w:r>
        <w:rPr>
          <w:rFonts w:asciiTheme="minorHAnsi" w:eastAsiaTheme="minorEastAsia" w:hAnsiTheme="minorHAnsi"/>
          <w:bCs/>
          <w:sz w:val="22"/>
        </w:rPr>
        <w:t>there increasing automation</w:t>
      </w:r>
      <w:r w:rsidRPr="30AB8429">
        <w:rPr>
          <w:rFonts w:asciiTheme="minorHAnsi" w:eastAsiaTheme="minorEastAsia" w:hAnsiTheme="minorHAnsi"/>
          <w:sz w:val="22"/>
        </w:rPr>
        <w:t>,</w:t>
      </w:r>
      <w:r>
        <w:rPr>
          <w:rFonts w:asciiTheme="minorHAnsi" w:eastAsiaTheme="minorEastAsia" w:hAnsiTheme="minorHAnsi"/>
          <w:bCs/>
          <w:sz w:val="22"/>
        </w:rPr>
        <w:t xml:space="preserve"> there is a corresponding decrease in graduate employability readiness</w:t>
      </w:r>
      <w:r>
        <w:rPr>
          <w:rStyle w:val="FootnoteReference"/>
          <w:rFonts w:asciiTheme="minorHAnsi" w:eastAsiaTheme="minorEastAsia" w:hAnsiTheme="minorHAnsi"/>
          <w:bCs/>
          <w:sz w:val="22"/>
        </w:rPr>
        <w:footnoteReference w:id="5"/>
      </w:r>
      <w:r>
        <w:rPr>
          <w:rFonts w:asciiTheme="minorHAnsi" w:eastAsiaTheme="minorEastAsia" w:hAnsiTheme="minorHAnsi"/>
          <w:bCs/>
          <w:sz w:val="22"/>
        </w:rPr>
        <w:t xml:space="preserve">. There has been a </w:t>
      </w:r>
      <w:r w:rsidRPr="00604F0C">
        <w:rPr>
          <w:rFonts w:asciiTheme="minorHAnsi" w:eastAsiaTheme="minorEastAsia" w:hAnsiTheme="minorHAnsi"/>
          <w:bCs/>
          <w:sz w:val="22"/>
        </w:rPr>
        <w:t xml:space="preserve">recent focus on ensuring that all students have an array of digital and AI skills; however, this is insufficient, as </w:t>
      </w:r>
      <w:r w:rsidRPr="00604F0C">
        <w:rPr>
          <w:rStyle w:val="normaltextrun"/>
          <w:rFonts w:asciiTheme="minorHAnsi" w:hAnsiTheme="minorHAnsi"/>
          <w:color w:val="000000"/>
          <w:sz w:val="22"/>
          <w:shd w:val="clear" w:color="auto" w:fill="FFFFFF"/>
          <w:lang w:val="en-US"/>
        </w:rPr>
        <w:t xml:space="preserve">creative thinking and resilience are the skills most desired by employers.  Therefore, as the lower skilled tasks become delivered by technology, </w:t>
      </w:r>
      <w:r w:rsidRPr="00604F0C">
        <w:rPr>
          <w:rStyle w:val="normaltextrun"/>
          <w:rFonts w:asciiTheme="minorHAnsi" w:hAnsiTheme="minorHAnsi"/>
          <w:color w:val="000000"/>
          <w:sz w:val="22"/>
          <w:shd w:val="clear" w:color="auto" w:fill="FFFFFF"/>
          <w:lang w:val="en-US"/>
        </w:rPr>
        <w:t>the skills that our graduates will need can be defined as the “so-called human skills</w:t>
      </w:r>
      <w:r>
        <w:rPr>
          <w:rStyle w:val="FootnoteReference"/>
          <w:rFonts w:asciiTheme="minorHAnsi" w:hAnsiTheme="minorHAnsi"/>
          <w:color w:val="000000"/>
          <w:sz w:val="22"/>
          <w:shd w:val="clear" w:color="auto" w:fill="FFFFFF"/>
          <w:lang w:val="en-US"/>
        </w:rPr>
        <w:footnoteReference w:id="6"/>
      </w:r>
      <w:r>
        <w:rPr>
          <w:rStyle w:val="normaltextrun"/>
          <w:rFonts w:asciiTheme="minorHAnsi" w:hAnsiTheme="minorHAnsi"/>
          <w:color w:val="000000"/>
          <w:sz w:val="22"/>
          <w:shd w:val="clear" w:color="auto" w:fill="FFFFFF"/>
          <w:lang w:val="en-US"/>
        </w:rPr>
        <w:t>.</w:t>
      </w:r>
      <w:r w:rsidRPr="00604F0C">
        <w:rPr>
          <w:rStyle w:val="normaltextrun"/>
          <w:rFonts w:asciiTheme="minorHAnsi" w:hAnsiTheme="minorHAnsi"/>
          <w:color w:val="000000"/>
          <w:sz w:val="22"/>
          <w:shd w:val="clear" w:color="auto" w:fill="FFFFFF"/>
          <w:lang w:val="en-US"/>
        </w:rPr>
        <w:t xml:space="preserve">” </w:t>
      </w:r>
      <w:r w:rsidRPr="4ECF6C8B">
        <w:rPr>
          <w:rStyle w:val="normaltextrun"/>
          <w:rFonts w:asciiTheme="minorHAnsi" w:hAnsiTheme="minorHAnsi"/>
          <w:color w:val="000000"/>
          <w:sz w:val="22"/>
          <w:shd w:val="clear" w:color="auto" w:fill="FFFFFF"/>
          <w:lang w:val="en-US"/>
        </w:rPr>
        <w:t>Without such skills, there will potential be an exacerbation of the d</w:t>
      </w:r>
      <w:r w:rsidRPr="4ECF6C8B">
        <w:rPr>
          <w:rStyle w:val="normaltextrun"/>
          <w:rFonts w:asciiTheme="minorHAnsi" w:hAnsiTheme="minorHAnsi"/>
          <w:color w:val="000000" w:themeColor="text1"/>
          <w:sz w:val="22"/>
          <w:lang w:val="en-US"/>
        </w:rPr>
        <w:t xml:space="preserve">ecrease in graduate entry roles. </w:t>
      </w:r>
    </w:p>
    <w:p w:rsidR="00F83E26" w:rsidRPr="00651474" w:rsidP="00F83E26">
      <w:pPr>
        <w:spacing w:line="240" w:lineRule="auto"/>
        <w:rPr>
          <w:rFonts w:asciiTheme="minorHAnsi" w:eastAsiaTheme="minorEastAsia" w:hAnsiTheme="minorHAnsi"/>
          <w:b/>
          <w:sz w:val="22"/>
        </w:rPr>
      </w:pPr>
      <w:r w:rsidRPr="00651474">
        <w:rPr>
          <w:rFonts w:asciiTheme="minorHAnsi" w:eastAsiaTheme="minorEastAsia" w:hAnsiTheme="minorHAnsi"/>
          <w:b/>
          <w:sz w:val="22"/>
        </w:rPr>
        <w:t>Opportunities:</w:t>
      </w:r>
    </w:p>
    <w:p w:rsidR="00F83E26" w:rsidRPr="006C513F" w:rsidP="00F83E26">
      <w:pPr>
        <w:spacing w:line="240" w:lineRule="auto"/>
        <w:rPr>
          <w:rFonts w:asciiTheme="minorHAnsi" w:hAnsiTheme="minorHAnsi"/>
          <w:sz w:val="22"/>
        </w:rPr>
      </w:pPr>
      <w:r>
        <w:rPr>
          <w:rFonts w:eastAsia="Times New Roman" w:asciiTheme="minorHAnsi" w:hAnsiTheme="minorHAnsi" w:cs="Arial"/>
          <w:color w:val="000000" w:themeColor="text1"/>
          <w:sz w:val="22"/>
        </w:rPr>
        <w:t xml:space="preserve">While the greatest challenge of skill development has been defined above, we argue that technology presents great opportunities for young people to excel. As technology replaces mundane and routine tasks, the greatest opportunities are to ensure that young people develop skills that technology cannot replicate, namely, their so-called human skills and </w:t>
      </w:r>
      <w:r w:rsidRPr="006C513F">
        <w:rPr>
          <w:rFonts w:asciiTheme="minorHAnsi" w:hAnsiTheme="minorHAnsi"/>
          <w:sz w:val="22"/>
        </w:rPr>
        <w:t>enhance higher-order skills, such as critical thinking and problem-solving. However, this potential can only be realised if students maintain their ability to think independently, rather than relying on automated tools for creativity</w:t>
      </w:r>
      <w:r>
        <w:rPr>
          <w:rStyle w:val="FootnoteReference"/>
          <w:rFonts w:asciiTheme="minorHAnsi" w:hAnsiTheme="minorHAnsi"/>
          <w:sz w:val="22"/>
        </w:rPr>
        <w:footnoteReference w:id="7"/>
      </w:r>
      <w:r w:rsidRPr="006C513F">
        <w:rPr>
          <w:rFonts w:asciiTheme="minorHAnsi" w:hAnsiTheme="minorHAnsi"/>
          <w:sz w:val="22"/>
        </w:rPr>
        <w:t>. Employers are increasingly emphasising empathy, judgment, and creative problem framing, skills that risk erosion when students rely excessively on digital tools</w:t>
      </w:r>
      <w:r>
        <w:rPr>
          <w:rStyle w:val="FootnoteReference"/>
          <w:rFonts w:asciiTheme="minorHAnsi" w:hAnsiTheme="minorHAnsi"/>
          <w:sz w:val="22"/>
        </w:rPr>
        <w:footnoteReference w:id="8"/>
      </w:r>
      <w:r w:rsidRPr="006C513F">
        <w:rPr>
          <w:rFonts w:asciiTheme="minorHAnsi" w:hAnsiTheme="minorHAnsi"/>
          <w:sz w:val="22"/>
        </w:rPr>
        <w:t>. This shift reflects a broader concern that overdependence on technology may diminish essential human cognitive and interpersonal abilities in professional settings</w:t>
      </w:r>
      <w:r>
        <w:rPr>
          <w:rStyle w:val="FootnoteReference"/>
          <w:rFonts w:asciiTheme="minorHAnsi" w:hAnsiTheme="minorHAnsi"/>
          <w:sz w:val="22"/>
        </w:rPr>
        <w:footnoteReference w:id="9"/>
      </w:r>
      <w:r w:rsidRPr="006C513F">
        <w:rPr>
          <w:rFonts w:asciiTheme="minorHAnsi" w:hAnsiTheme="minorHAnsi"/>
          <w:sz w:val="22"/>
        </w:rPr>
        <w:t>. Consequently, learners</w:t>
      </w:r>
      <w:r>
        <w:rPr>
          <w:rFonts w:asciiTheme="minorHAnsi" w:hAnsiTheme="minorHAnsi"/>
          <w:sz w:val="22"/>
        </w:rPr>
        <w:t xml:space="preserve"> need to</w:t>
      </w:r>
      <w:r w:rsidRPr="006C513F">
        <w:rPr>
          <w:rFonts w:asciiTheme="minorHAnsi" w:hAnsiTheme="minorHAnsi"/>
          <w:sz w:val="22"/>
        </w:rPr>
        <w:t xml:space="preserve"> build competencies that transcend technical proficiency, such as ethical reasoning, empathy for stakeholders, and strategic foresight, which are increasingly valued in dynamic work environments. </w:t>
      </w:r>
    </w:p>
    <w:p w:rsidR="00F83E26" w:rsidRPr="006C513F" w:rsidP="00F83E26">
      <w:pPr>
        <w:spacing w:line="240" w:lineRule="auto"/>
        <w:rPr>
          <w:rFonts w:asciiTheme="minorHAnsi" w:hAnsiTheme="minorHAnsi"/>
          <w:sz w:val="22"/>
        </w:rPr>
      </w:pPr>
      <w:r w:rsidRPr="00A42FE6">
        <w:rPr>
          <w:rFonts w:asciiTheme="minorHAnsi" w:hAnsiTheme="minorHAnsi"/>
          <w:sz w:val="22"/>
        </w:rPr>
        <w:t>Positive perspectives on AI and EdTech</w:t>
      </w:r>
      <w:r w:rsidRPr="006C513F">
        <w:rPr>
          <w:rFonts w:asciiTheme="minorHAnsi" w:hAnsiTheme="minorHAnsi"/>
          <w:sz w:val="22"/>
        </w:rPr>
        <w:t xml:space="preserve"> emphasise the educational innovations and efficiencies to be gained. These include enhanced efficiency, scalability, and improved compliance through integrated regulatory alignment. In addition, the adoption of an advanced digital infrastructure will ensure that there are skilled graduates to meet the needs of the UK’s economic and technological ambitions</w:t>
      </w:r>
      <w:r>
        <w:rPr>
          <w:rStyle w:val="FootnoteReference"/>
          <w:rFonts w:asciiTheme="minorHAnsi" w:hAnsiTheme="minorHAnsi"/>
          <w:sz w:val="22"/>
        </w:rPr>
        <w:footnoteReference w:id="10"/>
      </w:r>
      <w:r w:rsidRPr="006C513F">
        <w:rPr>
          <w:rFonts w:asciiTheme="minorHAnsi" w:hAnsiTheme="minorHAnsi"/>
          <w:sz w:val="22"/>
        </w:rPr>
        <w:t xml:space="preserve">. Proactive engagement with regulatory frameworks fosters trust in HE, reduces risks, and supports the development of ethical standards regarding the use of AI. </w:t>
      </w:r>
    </w:p>
    <w:p w:rsidR="00F83E26" w:rsidP="00F83E26">
      <w:pPr>
        <w:spacing w:line="240" w:lineRule="auto"/>
        <w:rPr>
          <w:rFonts w:asciiTheme="minorHAnsi" w:eastAsiaTheme="minorEastAsia" w:hAnsiTheme="minorHAnsi"/>
          <w:b/>
          <w:color w:val="000000" w:themeColor="text1"/>
          <w:sz w:val="22"/>
        </w:rPr>
      </w:pPr>
      <w:r w:rsidRPr="00651474">
        <w:rPr>
          <w:rFonts w:asciiTheme="minorHAnsi" w:eastAsiaTheme="minorEastAsia" w:hAnsiTheme="minorHAnsi"/>
          <w:b/>
          <w:color w:val="000000" w:themeColor="text1"/>
          <w:sz w:val="22"/>
        </w:rPr>
        <w:t xml:space="preserve">Significant risks:  </w:t>
      </w:r>
    </w:p>
    <w:p w:rsidR="00F83E26" w:rsidRPr="00A42FE6" w:rsidP="00F83E26">
      <w:pPr>
        <w:spacing w:line="240" w:lineRule="auto"/>
        <w:rPr>
          <w:rFonts w:asciiTheme="minorHAnsi" w:eastAsiaTheme="minorEastAsia" w:hAnsiTheme="minorHAnsi"/>
          <w:bCs/>
          <w:color w:val="000000" w:themeColor="text1"/>
          <w:sz w:val="22"/>
        </w:rPr>
      </w:pPr>
      <w:r w:rsidRPr="00A42FE6">
        <w:rPr>
          <w:rFonts w:asciiTheme="minorHAnsi" w:eastAsiaTheme="minorEastAsia" w:hAnsiTheme="minorHAnsi"/>
          <w:bCs/>
          <w:color w:val="000000" w:themeColor="text1"/>
          <w:sz w:val="22"/>
        </w:rPr>
        <w:t xml:space="preserve">Research suggests that </w:t>
      </w:r>
      <w:r>
        <w:rPr>
          <w:rFonts w:asciiTheme="minorHAnsi" w:eastAsiaTheme="minorEastAsia" w:hAnsiTheme="minorHAnsi"/>
          <w:bCs/>
          <w:color w:val="000000" w:themeColor="text1"/>
          <w:sz w:val="22"/>
        </w:rPr>
        <w:t xml:space="preserve">there are </w:t>
      </w:r>
      <w:r>
        <w:rPr>
          <w:rFonts w:asciiTheme="minorHAnsi" w:hAnsiTheme="minorHAnsi"/>
          <w:sz w:val="22"/>
        </w:rPr>
        <w:t>s</w:t>
      </w:r>
      <w:r w:rsidRPr="006C513F">
        <w:rPr>
          <w:rFonts w:asciiTheme="minorHAnsi" w:hAnsiTheme="minorHAnsi"/>
          <w:sz w:val="22"/>
        </w:rPr>
        <w:t xml:space="preserve">ignificant concerns exist regarding the risks posed by addictive digital design features, which are engineered to maximise user engagement but can </w:t>
      </w:r>
      <w:r w:rsidRPr="006C513F">
        <w:rPr>
          <w:rFonts w:asciiTheme="minorHAnsi" w:hAnsiTheme="minorHAnsi"/>
          <w:sz w:val="22"/>
        </w:rPr>
        <w:t>inadvertently foster dependency and negatively impact mental well-being</w:t>
      </w:r>
      <w:r>
        <w:rPr>
          <w:rStyle w:val="FootnoteReference"/>
          <w:rFonts w:asciiTheme="minorHAnsi" w:hAnsiTheme="minorHAnsi"/>
          <w:sz w:val="22"/>
        </w:rPr>
        <w:footnoteReference w:id="11"/>
      </w:r>
      <w:r w:rsidRPr="006C513F">
        <w:rPr>
          <w:rFonts w:asciiTheme="minorHAnsi" w:hAnsiTheme="minorHAnsi"/>
          <w:sz w:val="22"/>
        </w:rPr>
        <w:t>. These design elements often exploit psychological vulnerabilities, leading to excessive screen time and reduced attention spans, thereby raising questions about their ethical implications and the necessity for regulatory oversight. Additionally, the integration of Generative AI (GAI) into academic environments introduces further challenges, as its widespread use may undermine the development of critical cognitive skills essential for original thought and problem-solving.</w:t>
      </w:r>
      <w:r>
        <w:rPr>
          <w:rFonts w:asciiTheme="minorHAnsi" w:eastAsiaTheme="minorEastAsia" w:hAnsiTheme="minorHAnsi"/>
          <w:bCs/>
          <w:color w:val="000000" w:themeColor="text1"/>
          <w:sz w:val="22"/>
        </w:rPr>
        <w:t xml:space="preserve"> </w:t>
      </w:r>
      <w:r w:rsidRPr="006C513F">
        <w:rPr>
          <w:rFonts w:asciiTheme="minorHAnsi" w:hAnsiTheme="minorHAnsi"/>
          <w:sz w:val="22"/>
        </w:rPr>
        <w:t>Empirical research supports these concerns, indicating that increased reliance on GAI tools correlates with a decline in the originality of student writing and overall academic performance</w:t>
      </w:r>
      <w:r>
        <w:rPr>
          <w:rStyle w:val="FootnoteReference"/>
          <w:rFonts w:asciiTheme="minorHAnsi" w:hAnsiTheme="minorHAnsi"/>
          <w:sz w:val="22"/>
        </w:rPr>
        <w:footnoteReference w:id="12"/>
      </w:r>
      <w:r w:rsidRPr="006C513F">
        <w:rPr>
          <w:rFonts w:asciiTheme="minorHAnsi" w:hAnsiTheme="minorHAnsi"/>
          <w:sz w:val="22"/>
        </w:rPr>
        <w:t xml:space="preserve"> </w:t>
      </w:r>
      <w:r>
        <w:rPr>
          <w:rStyle w:val="FootnoteReference"/>
          <w:rFonts w:asciiTheme="minorHAnsi" w:hAnsiTheme="minorHAnsi"/>
          <w:sz w:val="22"/>
        </w:rPr>
        <w:footnoteReference w:id="13"/>
      </w:r>
      <w:r>
        <w:rPr>
          <w:rFonts w:asciiTheme="minorHAnsi" w:hAnsiTheme="minorHAnsi"/>
          <w:sz w:val="22"/>
        </w:rPr>
        <w:t>.</w:t>
      </w:r>
      <w:r w:rsidRPr="006C513F">
        <w:rPr>
          <w:rFonts w:asciiTheme="minorHAnsi" w:hAnsiTheme="minorHAnsi"/>
          <w:sz w:val="22"/>
        </w:rPr>
        <w:t xml:space="preserve"> This suggests that, while GAI can serve as a powerful aid, it may also encourage overdependence, diminishing students’ motivation to engage deeply with learning materials and cultivate independent analytical abilities. Consequently, educators and policymakers must carefully balance the benefits of AI-assisted writing technologies with strategies to preserve and enhance fundamental academic competencies. Educators must </w:t>
      </w:r>
      <w:r w:rsidRPr="00143343">
        <w:rPr>
          <w:rFonts w:asciiTheme="minorHAnsi" w:hAnsiTheme="minorHAnsi"/>
          <w:sz w:val="22"/>
        </w:rPr>
        <w:t xml:space="preserve">take care to ensure that AI is not the </w:t>
      </w:r>
      <w:r w:rsidRPr="00143343">
        <w:rPr>
          <w:rFonts w:asciiTheme="minorHAnsi" w:hAnsiTheme="minorHAnsi"/>
          <w:i/>
          <w:iCs/>
          <w:sz w:val="22"/>
        </w:rPr>
        <w:t>de facto</w:t>
      </w:r>
      <w:r w:rsidRPr="00143343">
        <w:rPr>
          <w:rFonts w:asciiTheme="minorHAnsi" w:hAnsiTheme="minorHAnsi"/>
          <w:sz w:val="22"/>
        </w:rPr>
        <w:t xml:space="preserve"> mode of teaching or used to assess students. Rather, as educators, we must ensure that we balance the use of technology in education and have the courage to NOT to use technology </w:t>
      </w:r>
      <w:r w:rsidRPr="198545F7">
        <w:rPr>
          <w:rFonts w:asciiTheme="minorHAnsi" w:hAnsiTheme="minorHAnsi"/>
          <w:sz w:val="22"/>
        </w:rPr>
        <w:t xml:space="preserve">in some classes/ assessments </w:t>
      </w:r>
      <w:r w:rsidRPr="00143343">
        <w:rPr>
          <w:rFonts w:asciiTheme="minorHAnsi" w:hAnsiTheme="minorHAnsi"/>
          <w:sz w:val="22"/>
        </w:rPr>
        <w:t>to ensure the development of cognitive skills.</w:t>
      </w:r>
    </w:p>
    <w:p w:rsidR="00F83E26" w:rsidRPr="006C513F" w:rsidP="00F83E26">
      <w:pPr>
        <w:spacing w:line="240" w:lineRule="auto"/>
        <w:rPr>
          <w:rFonts w:asciiTheme="minorHAnsi" w:hAnsiTheme="minorHAnsi"/>
          <w:sz w:val="22"/>
        </w:rPr>
      </w:pPr>
      <w:r w:rsidRPr="006C513F">
        <w:rPr>
          <w:rFonts w:asciiTheme="minorHAnsi" w:hAnsiTheme="minorHAnsi"/>
          <w:sz w:val="22"/>
        </w:rPr>
        <w:t>Inequalities in digital rights significantly impact equitable access to information, participation, and protection in the digital environment</w:t>
      </w:r>
      <w:r>
        <w:rPr>
          <w:rStyle w:val="FootnoteReference"/>
          <w:rFonts w:asciiTheme="minorHAnsi" w:hAnsiTheme="minorHAnsi"/>
          <w:sz w:val="22"/>
        </w:rPr>
        <w:footnoteReference w:id="14"/>
      </w:r>
      <w:r>
        <w:rPr>
          <w:rStyle w:val="FootnoteReference"/>
          <w:rFonts w:asciiTheme="minorHAnsi" w:hAnsiTheme="minorHAnsi"/>
          <w:sz w:val="22"/>
        </w:rPr>
        <w:footnoteReference w:id="15"/>
      </w:r>
      <w:r>
        <w:rPr>
          <w:rFonts w:asciiTheme="minorHAnsi" w:hAnsiTheme="minorHAnsi"/>
          <w:sz w:val="22"/>
        </w:rPr>
        <w:t xml:space="preserve">. </w:t>
      </w:r>
      <w:r w:rsidRPr="006C513F">
        <w:rPr>
          <w:rFonts w:asciiTheme="minorHAnsi" w:hAnsiTheme="minorHAnsi"/>
          <w:sz w:val="22"/>
        </w:rPr>
        <w:t>Disparities in technology availability, digital literacy, and regulatory frameworks often marginalise vulnerable populations, exacerbating social and economic divides. The responsible use of digital tools and platforms requires a commitment to upholding digital rights universally, ensuring privacy, freedom of expression, and protection from discrimination</w:t>
      </w:r>
      <w:r>
        <w:rPr>
          <w:rStyle w:val="FootnoteReference"/>
          <w:rFonts w:asciiTheme="minorHAnsi" w:hAnsiTheme="minorHAnsi"/>
          <w:sz w:val="22"/>
        </w:rPr>
        <w:footnoteReference w:id="16"/>
      </w:r>
      <w:r>
        <w:rPr>
          <w:rFonts w:asciiTheme="minorHAnsi" w:hAnsiTheme="minorHAnsi"/>
          <w:sz w:val="22"/>
        </w:rPr>
        <w:t xml:space="preserve">. </w:t>
      </w:r>
      <w:r w:rsidRPr="006C513F">
        <w:rPr>
          <w:rFonts w:asciiTheme="minorHAnsi" w:hAnsiTheme="minorHAnsi"/>
          <w:sz w:val="22"/>
        </w:rPr>
        <w:t>Addressing these inequalities involves collaborative efforts among policymakers, technology developers, and civil society to create inclusive digital policies and foster ethical practices that empower all users while safeguarding their rights.</w:t>
      </w:r>
      <w:r>
        <w:rPr>
          <w:rFonts w:asciiTheme="minorHAnsi" w:hAnsiTheme="minorHAnsi"/>
          <w:sz w:val="22"/>
        </w:rPr>
        <w:t xml:space="preserve"> To resolve this, we recommend the i</w:t>
      </w:r>
      <w:r w:rsidRPr="006C513F">
        <w:rPr>
          <w:rFonts w:asciiTheme="minorHAnsi" w:hAnsiTheme="minorHAnsi"/>
          <w:sz w:val="22"/>
        </w:rPr>
        <w:t>mplement</w:t>
      </w:r>
      <w:r>
        <w:rPr>
          <w:rFonts w:asciiTheme="minorHAnsi" w:hAnsiTheme="minorHAnsi"/>
          <w:sz w:val="22"/>
        </w:rPr>
        <w:t>ation of</w:t>
      </w:r>
      <w:r w:rsidRPr="006C513F">
        <w:rPr>
          <w:rFonts w:asciiTheme="minorHAnsi" w:hAnsiTheme="minorHAnsi"/>
          <w:sz w:val="22"/>
        </w:rPr>
        <w:t xml:space="preserve"> policies and practices that ensure equitable </w:t>
      </w:r>
      <w:r w:rsidRPr="006C513F">
        <w:rPr>
          <w:rFonts w:asciiTheme="minorHAnsi" w:hAnsiTheme="minorHAnsi"/>
          <w:sz w:val="22"/>
        </w:rPr>
        <w:t xml:space="preserve">access to AI tools and digital infrastructure, alongside protections for privacy, freedom of expression, and non-discrimination. </w:t>
      </w:r>
    </w:p>
    <w:p w:rsidR="00F83E26" w:rsidRPr="00A42FE6" w:rsidP="00F83E26">
      <w:pPr>
        <w:spacing w:line="240" w:lineRule="auto"/>
        <w:rPr>
          <w:rFonts w:asciiTheme="minorHAnsi" w:hAnsiTheme="minorHAnsi"/>
          <w:sz w:val="22"/>
        </w:rPr>
      </w:pPr>
      <w:r w:rsidRPr="006C513F">
        <w:rPr>
          <w:rFonts w:asciiTheme="minorHAnsi" w:hAnsiTheme="minorHAnsi"/>
          <w:sz w:val="22"/>
        </w:rPr>
        <w:t>We emphasise the critical need to align with existing frameworks to ensure compliance, safety, and ethical standards in the development and deployment of the proposed solutions. Our arguments highlight that adherence to regulatory requirements is not only a legal obligation but also a foundational aspect that supports trustworthiness and acceptance among stakeholders, including employers. To ensure that HE delivers the required employability skills and that employers can be confident in it, we advocate proactive engagement with regulatory bodies to clarify ambiguities and incorporate evolving guidelines early in the design process, thereby mitigating the risks associated with non-compliance.</w:t>
      </w:r>
    </w:p>
    <w:p w:rsidR="00F83E26" w:rsidRPr="004A4865" w:rsidP="00F83E26">
      <w:pPr>
        <w:spacing w:line="240" w:lineRule="auto"/>
        <w:rPr>
          <w:rFonts w:asciiTheme="minorHAnsi" w:eastAsiaTheme="minorEastAsia" w:hAnsiTheme="minorHAnsi"/>
          <w:b/>
          <w:sz w:val="22"/>
        </w:rPr>
      </w:pPr>
      <w:r w:rsidRPr="004A4865">
        <w:rPr>
          <w:rFonts w:asciiTheme="minorHAnsi" w:eastAsiaTheme="minorEastAsia" w:hAnsiTheme="minorHAnsi"/>
          <w:b/>
          <w:sz w:val="22"/>
        </w:rPr>
        <w:t>Section 2 – The Impact on Teaching</w:t>
      </w:r>
    </w:p>
    <w:p w:rsidR="00F83E26" w:rsidRPr="00041524" w:rsidP="00F83E26">
      <w:pPr>
        <w:spacing w:line="240" w:lineRule="auto"/>
        <w:rPr>
          <w:rFonts w:asciiTheme="minorHAnsi" w:hAnsiTheme="minorHAnsi"/>
          <w:color w:val="000000" w:themeColor="text1"/>
          <w:sz w:val="22"/>
        </w:rPr>
      </w:pPr>
      <w:r w:rsidRPr="17A7C5D4">
        <w:rPr>
          <w:rFonts w:asciiTheme="minorHAnsi" w:hAnsiTheme="minorHAnsi"/>
          <w:color w:val="000000" w:themeColor="text1"/>
          <w:sz w:val="22"/>
        </w:rPr>
        <w:t xml:space="preserve">AI and </w:t>
      </w:r>
      <w:r w:rsidRPr="27C32B41">
        <w:rPr>
          <w:rFonts w:asciiTheme="minorHAnsi" w:hAnsiTheme="minorHAnsi"/>
          <w:color w:val="000000" w:themeColor="text1"/>
          <w:sz w:val="22"/>
        </w:rPr>
        <w:t>EdTech has had a</w:t>
      </w:r>
      <w:r>
        <w:rPr>
          <w:rFonts w:asciiTheme="minorHAnsi" w:hAnsiTheme="minorHAnsi"/>
          <w:color w:val="000000" w:themeColor="text1"/>
          <w:sz w:val="22"/>
        </w:rPr>
        <w:t xml:space="preserve"> seismic impact on how HE academics teach; it is now not possible to set an assignment or lecture without considering </w:t>
      </w:r>
      <w:r w:rsidRPr="27C32B41">
        <w:rPr>
          <w:rFonts w:asciiTheme="minorHAnsi" w:hAnsiTheme="minorHAnsi"/>
          <w:color w:val="000000" w:themeColor="text1"/>
          <w:sz w:val="22"/>
        </w:rPr>
        <w:t xml:space="preserve">the role and </w:t>
      </w:r>
      <w:r>
        <w:rPr>
          <w:rFonts w:asciiTheme="minorHAnsi" w:hAnsiTheme="minorHAnsi"/>
          <w:color w:val="000000" w:themeColor="text1"/>
          <w:sz w:val="22"/>
        </w:rPr>
        <w:t xml:space="preserve">impact </w:t>
      </w:r>
      <w:r w:rsidRPr="27C32B41">
        <w:rPr>
          <w:rFonts w:asciiTheme="minorHAnsi" w:hAnsiTheme="minorHAnsi"/>
          <w:color w:val="000000" w:themeColor="text1"/>
          <w:sz w:val="22"/>
        </w:rPr>
        <w:t xml:space="preserve">of AI </w:t>
      </w:r>
      <w:r>
        <w:rPr>
          <w:rFonts w:asciiTheme="minorHAnsi" w:hAnsiTheme="minorHAnsi"/>
          <w:color w:val="000000" w:themeColor="text1"/>
          <w:sz w:val="22"/>
        </w:rPr>
        <w:t xml:space="preserve">on teaching. Therefore, our research shows that there must be a change in HOW academics teach and not just WHAT they teach. Our research created two models known as the </w:t>
      </w:r>
      <w:r w:rsidRPr="00861FA6">
        <w:rPr>
          <w:rStyle w:val="normaltextrun"/>
          <w:rFonts w:asciiTheme="minorHAnsi" w:hAnsiTheme="minorHAnsi"/>
          <w:color w:val="000000"/>
          <w:sz w:val="22"/>
          <w:bdr w:val="nil"/>
        </w:rPr>
        <w:t>Experiential Learning Authentic Assessment Diamond</w:t>
      </w:r>
      <w:r>
        <w:rPr>
          <w:rStyle w:val="FootnoteReference"/>
          <w:rFonts w:asciiTheme="minorHAnsi" w:hAnsiTheme="minorHAnsi"/>
          <w:color w:val="000000"/>
          <w:sz w:val="22"/>
          <w:bdr w:val="nil"/>
        </w:rPr>
        <w:footnoteReference w:id="17"/>
      </w:r>
      <w:r w:rsidRPr="00861FA6">
        <w:rPr>
          <w:rStyle w:val="normaltextrun"/>
          <w:rFonts w:asciiTheme="minorHAnsi" w:hAnsiTheme="minorHAnsi"/>
          <w:color w:val="000000"/>
          <w:sz w:val="22"/>
          <w:bdr w:val="nil"/>
        </w:rPr>
        <w:t xml:space="preserve"> (ELAAD)</w:t>
      </w:r>
      <w:r>
        <w:rPr>
          <w:rStyle w:val="normaltextrun"/>
          <w:rFonts w:asciiTheme="minorHAnsi" w:hAnsiTheme="minorHAnsi"/>
          <w:color w:val="000000"/>
          <w:sz w:val="22"/>
          <w:bdr w:val="nil"/>
        </w:rPr>
        <w:t xml:space="preserve"> </w:t>
      </w:r>
      <w:r w:rsidRPr="00861FA6">
        <w:rPr>
          <w:rFonts w:asciiTheme="minorHAnsi" w:hAnsiTheme="minorHAnsi"/>
          <w:color w:val="000000" w:themeColor="text1"/>
          <w:sz w:val="22"/>
        </w:rPr>
        <w:t xml:space="preserve">and </w:t>
      </w:r>
      <w:r>
        <w:rPr>
          <w:rFonts w:asciiTheme="minorHAnsi" w:hAnsiTheme="minorHAnsi"/>
          <w:color w:val="000000" w:themeColor="text1"/>
          <w:sz w:val="22"/>
        </w:rPr>
        <w:t xml:space="preserve">the </w:t>
      </w:r>
      <w:r w:rsidRPr="00861FA6">
        <w:rPr>
          <w:rStyle w:val="normaltextrun"/>
          <w:rFonts w:asciiTheme="minorHAnsi" w:hAnsiTheme="minorHAnsi"/>
          <w:color w:val="000000"/>
          <w:sz w:val="22"/>
          <w:bdr w:val="nil"/>
        </w:rPr>
        <w:t>Transformative Skills Development Framework</w:t>
      </w:r>
      <w:r>
        <w:rPr>
          <w:rStyle w:val="FootnoteReference"/>
          <w:rFonts w:asciiTheme="minorHAnsi" w:hAnsiTheme="minorHAnsi"/>
          <w:color w:val="000000"/>
          <w:sz w:val="22"/>
          <w:bdr w:val="nil"/>
        </w:rPr>
        <w:footnoteReference w:id="18"/>
      </w:r>
      <w:r w:rsidRPr="00861FA6">
        <w:rPr>
          <w:rStyle w:val="normaltextrun"/>
          <w:rFonts w:asciiTheme="minorHAnsi" w:hAnsiTheme="minorHAnsi"/>
          <w:color w:val="000000"/>
          <w:sz w:val="22"/>
          <w:bdr w:val="nil"/>
        </w:rPr>
        <w:t xml:space="preserve"> (TSDF)</w:t>
      </w:r>
      <w:r>
        <w:rPr>
          <w:rStyle w:val="normaltextrun"/>
          <w:rFonts w:asciiTheme="minorHAnsi" w:hAnsiTheme="minorHAnsi"/>
          <w:color w:val="000000"/>
          <w:sz w:val="22"/>
          <w:bdr w:val="nil"/>
        </w:rPr>
        <w:t xml:space="preserve">. </w:t>
      </w:r>
      <w:r>
        <w:rPr>
          <w:rFonts w:asciiTheme="minorHAnsi" w:hAnsiTheme="minorHAnsi"/>
          <w:sz w:val="22"/>
        </w:rPr>
        <w:t>Our</w:t>
      </w:r>
      <w:r w:rsidRPr="006C513F">
        <w:rPr>
          <w:rFonts w:asciiTheme="minorHAnsi" w:hAnsiTheme="minorHAnsi"/>
          <w:sz w:val="22"/>
        </w:rPr>
        <w:t xml:space="preserve"> refocused pedagogy </w:t>
      </w:r>
      <w:r>
        <w:rPr>
          <w:rFonts w:asciiTheme="minorHAnsi" w:hAnsiTheme="minorHAnsi"/>
          <w:sz w:val="22"/>
        </w:rPr>
        <w:t xml:space="preserve">approach </w:t>
      </w:r>
      <w:r w:rsidRPr="006C513F">
        <w:rPr>
          <w:rFonts w:asciiTheme="minorHAnsi" w:hAnsiTheme="minorHAnsi"/>
          <w:sz w:val="22"/>
        </w:rPr>
        <w:t>supports the development of metacognitive skills, empowering learners to monitor and regulate their cognitive processes when interacting with technology</w:t>
      </w:r>
      <w:r>
        <w:rPr>
          <w:rStyle w:val="FootnoteReference"/>
          <w:rFonts w:asciiTheme="minorHAnsi" w:hAnsiTheme="minorHAnsi"/>
          <w:sz w:val="22"/>
        </w:rPr>
        <w:footnoteReference w:id="19"/>
      </w:r>
      <w:r>
        <w:rPr>
          <w:rFonts w:asciiTheme="minorHAnsi" w:hAnsiTheme="minorHAnsi"/>
          <w:sz w:val="22"/>
        </w:rPr>
        <w:t xml:space="preserve">. </w:t>
      </w:r>
      <w:r w:rsidRPr="006C513F">
        <w:rPr>
          <w:rFonts w:asciiTheme="minorHAnsi" w:hAnsiTheme="minorHAnsi"/>
          <w:sz w:val="22"/>
        </w:rPr>
        <w:t xml:space="preserve"> </w:t>
      </w:r>
    </w:p>
    <w:p w:rsidR="00F83E26" w:rsidRPr="00041524" w:rsidP="00F83E26">
      <w:pPr>
        <w:spacing w:line="240" w:lineRule="auto"/>
        <w:rPr>
          <w:rFonts w:asciiTheme="minorHAnsi" w:hAnsiTheme="minorHAnsi"/>
          <w:bCs/>
          <w:color w:val="000000" w:themeColor="text1"/>
          <w:sz w:val="22"/>
        </w:rPr>
      </w:pPr>
      <w:r>
        <w:rPr>
          <w:rFonts w:asciiTheme="minorHAnsi" w:hAnsiTheme="minorHAnsi"/>
          <w:sz w:val="22"/>
        </w:rPr>
        <w:t>Our ELAAD model reconstructs assignments to address future workplace skill gaps; therefore, academics must d</w:t>
      </w:r>
      <w:r w:rsidRPr="00041524">
        <w:rPr>
          <w:rFonts w:asciiTheme="minorHAnsi" w:hAnsiTheme="minorHAnsi"/>
          <w:bCs/>
          <w:color w:val="000000" w:themeColor="text1"/>
          <w:sz w:val="22"/>
        </w:rPr>
        <w:t xml:space="preserve">esign </w:t>
      </w:r>
      <w:r>
        <w:rPr>
          <w:rFonts w:asciiTheme="minorHAnsi" w:hAnsiTheme="minorHAnsi"/>
          <w:bCs/>
          <w:color w:val="000000" w:themeColor="text1"/>
          <w:sz w:val="22"/>
        </w:rPr>
        <w:t>a</w:t>
      </w:r>
      <w:r w:rsidRPr="00041524">
        <w:rPr>
          <w:rFonts w:asciiTheme="minorHAnsi" w:hAnsiTheme="minorHAnsi"/>
          <w:bCs/>
          <w:color w:val="000000" w:themeColor="text1"/>
          <w:sz w:val="22"/>
        </w:rPr>
        <w:t xml:space="preserve">ssessments that </w:t>
      </w:r>
      <w:r>
        <w:rPr>
          <w:rFonts w:asciiTheme="minorHAnsi" w:hAnsiTheme="minorHAnsi"/>
          <w:bCs/>
          <w:color w:val="000000" w:themeColor="text1"/>
          <w:sz w:val="22"/>
        </w:rPr>
        <w:t>r</w:t>
      </w:r>
      <w:r w:rsidRPr="00041524">
        <w:rPr>
          <w:rFonts w:asciiTheme="minorHAnsi" w:hAnsiTheme="minorHAnsi"/>
          <w:bCs/>
          <w:color w:val="000000" w:themeColor="text1"/>
          <w:sz w:val="22"/>
        </w:rPr>
        <w:t xml:space="preserve">eward </w:t>
      </w:r>
      <w:r>
        <w:rPr>
          <w:rFonts w:asciiTheme="minorHAnsi" w:hAnsiTheme="minorHAnsi"/>
          <w:bCs/>
          <w:color w:val="000000" w:themeColor="text1"/>
          <w:sz w:val="22"/>
        </w:rPr>
        <w:t>h</w:t>
      </w:r>
      <w:r w:rsidRPr="00041524">
        <w:rPr>
          <w:rFonts w:asciiTheme="minorHAnsi" w:hAnsiTheme="minorHAnsi"/>
          <w:bCs/>
          <w:color w:val="000000" w:themeColor="text1"/>
          <w:sz w:val="22"/>
        </w:rPr>
        <w:t xml:space="preserve">uman </w:t>
      </w:r>
      <w:r>
        <w:rPr>
          <w:rFonts w:asciiTheme="minorHAnsi" w:hAnsiTheme="minorHAnsi"/>
          <w:bCs/>
          <w:color w:val="000000" w:themeColor="text1"/>
          <w:sz w:val="22"/>
        </w:rPr>
        <w:t>c</w:t>
      </w:r>
      <w:r w:rsidRPr="00041524">
        <w:rPr>
          <w:rFonts w:asciiTheme="minorHAnsi" w:hAnsiTheme="minorHAnsi"/>
          <w:bCs/>
          <w:color w:val="000000" w:themeColor="text1"/>
          <w:sz w:val="22"/>
        </w:rPr>
        <w:t xml:space="preserve">reativity, </w:t>
      </w:r>
      <w:r>
        <w:rPr>
          <w:rFonts w:asciiTheme="minorHAnsi" w:hAnsiTheme="minorHAnsi"/>
          <w:bCs/>
          <w:color w:val="000000" w:themeColor="text1"/>
          <w:sz w:val="22"/>
        </w:rPr>
        <w:t>j</w:t>
      </w:r>
      <w:r w:rsidRPr="00041524">
        <w:rPr>
          <w:rFonts w:asciiTheme="minorHAnsi" w:hAnsiTheme="minorHAnsi"/>
          <w:bCs/>
          <w:color w:val="000000" w:themeColor="text1"/>
          <w:sz w:val="22"/>
        </w:rPr>
        <w:t xml:space="preserve">udgment, and </w:t>
      </w:r>
      <w:r>
        <w:rPr>
          <w:rFonts w:asciiTheme="minorHAnsi" w:hAnsiTheme="minorHAnsi"/>
          <w:bCs/>
          <w:color w:val="000000" w:themeColor="text1"/>
          <w:sz w:val="22"/>
        </w:rPr>
        <w:t>o</w:t>
      </w:r>
      <w:r w:rsidRPr="00041524">
        <w:rPr>
          <w:rFonts w:asciiTheme="minorHAnsi" w:hAnsiTheme="minorHAnsi"/>
          <w:bCs/>
          <w:color w:val="000000" w:themeColor="text1"/>
          <w:sz w:val="22"/>
        </w:rPr>
        <w:t>riginality</w:t>
      </w:r>
      <w:r>
        <w:rPr>
          <w:rFonts w:asciiTheme="minorHAnsi" w:hAnsiTheme="minorHAnsi"/>
          <w:bCs/>
          <w:color w:val="000000" w:themeColor="text1"/>
          <w:sz w:val="22"/>
        </w:rPr>
        <w:t>. A</w:t>
      </w:r>
      <w:r w:rsidRPr="00041524">
        <w:rPr>
          <w:rFonts w:asciiTheme="minorHAnsi" w:hAnsiTheme="minorHAnsi"/>
          <w:bCs/>
          <w:color w:val="000000" w:themeColor="text1"/>
          <w:sz w:val="22"/>
        </w:rPr>
        <w:t>ssessment models that prioritise authentic, creative problem-solving and reflective reasoning over AI-assisted shortcutting</w:t>
      </w:r>
      <w:r>
        <w:rPr>
          <w:rFonts w:asciiTheme="minorHAnsi" w:hAnsiTheme="minorHAnsi"/>
          <w:bCs/>
          <w:color w:val="000000" w:themeColor="text1"/>
          <w:sz w:val="22"/>
        </w:rPr>
        <w:t xml:space="preserve"> must be created</w:t>
      </w:r>
      <w:r w:rsidRPr="00041524">
        <w:rPr>
          <w:rFonts w:asciiTheme="minorHAnsi" w:hAnsiTheme="minorHAnsi"/>
          <w:bCs/>
          <w:color w:val="000000" w:themeColor="text1"/>
          <w:sz w:val="22"/>
        </w:rPr>
        <w:t>. This approach mitigates the risks of AI homogeni</w:t>
      </w:r>
      <w:r>
        <w:rPr>
          <w:rFonts w:asciiTheme="minorHAnsi" w:hAnsiTheme="minorHAnsi"/>
          <w:bCs/>
          <w:color w:val="000000" w:themeColor="text1"/>
          <w:sz w:val="22"/>
        </w:rPr>
        <w:t>s</w:t>
      </w:r>
      <w:r w:rsidRPr="00041524">
        <w:rPr>
          <w:rFonts w:asciiTheme="minorHAnsi" w:hAnsiTheme="minorHAnsi"/>
          <w:bCs/>
          <w:color w:val="000000" w:themeColor="text1"/>
          <w:sz w:val="22"/>
        </w:rPr>
        <w:t>ation and deskilling, promoting deeper learning and future-facing skills valued by employers.</w:t>
      </w:r>
      <w:r>
        <w:rPr>
          <w:rFonts w:asciiTheme="minorHAnsi" w:hAnsiTheme="minorHAnsi"/>
          <w:bCs/>
          <w:color w:val="000000" w:themeColor="text1"/>
          <w:sz w:val="22"/>
        </w:rPr>
        <w:t xml:space="preserve"> </w:t>
      </w:r>
      <w:r>
        <w:rPr>
          <w:rFonts w:asciiTheme="minorHAnsi" w:hAnsiTheme="minorHAnsi"/>
          <w:sz w:val="22"/>
        </w:rPr>
        <w:t xml:space="preserve">Our </w:t>
      </w:r>
      <w:r w:rsidRPr="00041524">
        <w:rPr>
          <w:rFonts w:asciiTheme="minorHAnsi" w:hAnsiTheme="minorHAnsi"/>
          <w:sz w:val="22"/>
        </w:rPr>
        <w:t>TSDF</w:t>
      </w:r>
      <w:r>
        <w:rPr>
          <w:rFonts w:asciiTheme="minorHAnsi" w:hAnsiTheme="minorHAnsi"/>
          <w:sz w:val="22"/>
        </w:rPr>
        <w:t xml:space="preserve"> model enables</w:t>
      </w:r>
      <w:r w:rsidRPr="00041524">
        <w:rPr>
          <w:rFonts w:asciiTheme="minorHAnsi" w:hAnsiTheme="minorHAnsi"/>
          <w:sz w:val="22"/>
        </w:rPr>
        <w:t xml:space="preserve"> individual reflection, student–teacher articulation, and group metacognition to foster a deeper understanding, ethical reasoning, and adaptive thinking in learners. This supports the development of nuanced perspectives necessary for complex real-world problem solving.</w:t>
      </w:r>
      <w:r>
        <w:rPr>
          <w:rFonts w:asciiTheme="minorHAnsi" w:hAnsiTheme="minorHAnsi"/>
          <w:sz w:val="22"/>
        </w:rPr>
        <w:t xml:space="preserve"> Our models</w:t>
      </w:r>
      <w:r w:rsidRPr="006C513F">
        <w:rPr>
          <w:rFonts w:asciiTheme="minorHAnsi" w:hAnsiTheme="minorHAnsi"/>
          <w:sz w:val="22"/>
        </w:rPr>
        <w:t xml:space="preserve"> counter the passive consumption of digital tools by promoting active engagement, critical evaluations, and iterative learning cycles. In doing so, ELAAD and TSDF contribute to producing graduates who are not only technologically literate but also capable of harnessing technology to enhance human-centric problem-solving and innovation.</w:t>
      </w:r>
    </w:p>
    <w:p w:rsidR="00F83E26" w:rsidP="00F83E26">
      <w:pPr>
        <w:spacing w:line="240" w:lineRule="auto"/>
        <w:rPr>
          <w:rFonts w:asciiTheme="minorHAnsi" w:hAnsiTheme="minorHAnsi"/>
          <w:sz w:val="22"/>
        </w:rPr>
      </w:pPr>
      <w:r>
        <w:rPr>
          <w:rFonts w:asciiTheme="minorHAnsi" w:hAnsiTheme="minorHAnsi"/>
          <w:sz w:val="22"/>
        </w:rPr>
        <w:t>As there is inherent</w:t>
      </w:r>
      <w:r w:rsidRPr="006C513F">
        <w:rPr>
          <w:rFonts w:asciiTheme="minorHAnsi" w:hAnsiTheme="minorHAnsi"/>
          <w:sz w:val="22"/>
        </w:rPr>
        <w:t xml:space="preserve"> variation in academic writing skills and needs across different educational stages</w:t>
      </w:r>
      <w:r>
        <w:rPr>
          <w:rFonts w:asciiTheme="minorHAnsi" w:hAnsiTheme="minorHAnsi"/>
          <w:sz w:val="22"/>
        </w:rPr>
        <w:t>, writing support and guidance also needs</w:t>
      </w:r>
      <w:r w:rsidRPr="006C513F">
        <w:rPr>
          <w:rFonts w:asciiTheme="minorHAnsi" w:hAnsiTheme="minorHAnsi"/>
          <w:sz w:val="22"/>
        </w:rPr>
        <w:t xml:space="preserve"> </w:t>
      </w:r>
      <w:r>
        <w:rPr>
          <w:rFonts w:asciiTheme="minorHAnsi" w:hAnsiTheme="minorHAnsi"/>
          <w:sz w:val="22"/>
        </w:rPr>
        <w:t>to be</w:t>
      </w:r>
      <w:r w:rsidRPr="006C513F">
        <w:rPr>
          <w:rFonts w:asciiTheme="minorHAnsi" w:hAnsiTheme="minorHAnsi"/>
          <w:sz w:val="22"/>
        </w:rPr>
        <w:t xml:space="preserve"> tailor</w:t>
      </w:r>
      <w:r>
        <w:rPr>
          <w:rFonts w:asciiTheme="minorHAnsi" w:hAnsiTheme="minorHAnsi"/>
          <w:sz w:val="22"/>
        </w:rPr>
        <w:t xml:space="preserve">ed. </w:t>
      </w:r>
      <w:r w:rsidRPr="006C513F">
        <w:rPr>
          <w:rFonts w:asciiTheme="minorHAnsi" w:hAnsiTheme="minorHAnsi"/>
          <w:sz w:val="22"/>
        </w:rPr>
        <w:t>At the undergraduate level, students often require foundational guidance focusing on clarity, structure, and basic argumentation. As learners progress to graduate studies, the complexity of writing increases, demanding more sophisticated critical analysis, integration of literature, and adherence to disciplinary conventions</w:t>
      </w:r>
      <w:r>
        <w:rPr>
          <w:rStyle w:val="FootnoteReference"/>
          <w:rFonts w:asciiTheme="minorHAnsi" w:hAnsiTheme="minorHAnsi"/>
          <w:sz w:val="22"/>
        </w:rPr>
        <w:footnoteReference w:id="20"/>
      </w:r>
      <w:r w:rsidRPr="006C513F">
        <w:rPr>
          <w:rFonts w:asciiTheme="minorHAnsi" w:hAnsiTheme="minorHAnsi"/>
          <w:sz w:val="22"/>
        </w:rPr>
        <w:t>. Doctoral candidates, in particular, face the challenge of producing original research with rigorous methodology, nuanced argumentation, and precise scholarly communication. This progression necessitates adaptive tools and strategies that recognise the evolving capabilities and expectations at each stage. Effective academic writing assistance must therefore be flexible, offering targeted support that aligns with the developmental trajectory of students’ writing proficiency and the specific demands of their academic level.</w:t>
      </w:r>
      <w:r>
        <w:rPr>
          <w:rFonts w:asciiTheme="minorHAnsi" w:hAnsiTheme="minorHAnsi"/>
          <w:sz w:val="22"/>
        </w:rPr>
        <w:t xml:space="preserve"> </w:t>
      </w:r>
    </w:p>
    <w:p w:rsidR="00F83E26" w:rsidRPr="006C513F" w:rsidP="00F83E26">
      <w:pPr>
        <w:spacing w:line="240" w:lineRule="auto"/>
        <w:rPr>
          <w:rFonts w:asciiTheme="minorHAnsi" w:hAnsiTheme="minorHAnsi"/>
          <w:sz w:val="22"/>
        </w:rPr>
      </w:pPr>
      <w:r>
        <w:rPr>
          <w:rFonts w:asciiTheme="minorHAnsi" w:hAnsiTheme="minorHAnsi"/>
          <w:sz w:val="22"/>
        </w:rPr>
        <w:t xml:space="preserve">There is a tendency in HE today to default to using EdTech to teach in the lecture hall, bombarding students with sensory overload from additional apps and multiple screens. However, our research has shown that as academics, we must recognise when technology is not needed and to include sessions where technology is not used. This may be considered an old-fashioned way of teaching; however, using notebooks, whiteboards, and pens </w:t>
      </w:r>
      <w:r w:rsidRPr="00041524">
        <w:rPr>
          <w:rFonts w:asciiTheme="minorHAnsi" w:hAnsiTheme="minorHAnsi"/>
          <w:sz w:val="22"/>
        </w:rPr>
        <w:t>mitigate</w:t>
      </w:r>
      <w:r>
        <w:rPr>
          <w:rFonts w:asciiTheme="minorHAnsi" w:hAnsiTheme="minorHAnsi"/>
          <w:sz w:val="22"/>
        </w:rPr>
        <w:t>s</w:t>
      </w:r>
      <w:r w:rsidRPr="00041524">
        <w:rPr>
          <w:rFonts w:asciiTheme="minorHAnsi" w:hAnsiTheme="minorHAnsi"/>
          <w:sz w:val="22"/>
        </w:rPr>
        <w:t xml:space="preserve"> </w:t>
      </w:r>
      <w:r>
        <w:rPr>
          <w:rFonts w:asciiTheme="minorHAnsi" w:hAnsiTheme="minorHAnsi"/>
          <w:sz w:val="22"/>
        </w:rPr>
        <w:t xml:space="preserve">the </w:t>
      </w:r>
      <w:r w:rsidRPr="00041524">
        <w:rPr>
          <w:rFonts w:asciiTheme="minorHAnsi" w:hAnsiTheme="minorHAnsi"/>
          <w:sz w:val="22"/>
        </w:rPr>
        <w:t xml:space="preserve">risks of over-reliance on AI and digital distractions. </w:t>
      </w:r>
      <w:r>
        <w:rPr>
          <w:rFonts w:asciiTheme="minorHAnsi" w:hAnsiTheme="minorHAnsi"/>
          <w:sz w:val="22"/>
        </w:rPr>
        <w:t>Our research on d</w:t>
      </w:r>
      <w:r w:rsidRPr="00041524">
        <w:rPr>
          <w:rFonts w:asciiTheme="minorHAnsi" w:hAnsiTheme="minorHAnsi"/>
          <w:sz w:val="22"/>
        </w:rPr>
        <w:t>igital detoxing</w:t>
      </w:r>
      <w:r>
        <w:rPr>
          <w:rStyle w:val="FootnoteReference"/>
          <w:rFonts w:asciiTheme="minorHAnsi" w:hAnsiTheme="minorHAnsi"/>
          <w:sz w:val="22"/>
        </w:rPr>
        <w:footnoteReference w:id="21"/>
      </w:r>
      <w:r w:rsidRPr="00041524">
        <w:rPr>
          <w:rFonts w:asciiTheme="minorHAnsi" w:hAnsiTheme="minorHAnsi"/>
          <w:sz w:val="22"/>
        </w:rPr>
        <w:t xml:space="preserve"> </w:t>
      </w:r>
      <w:r>
        <w:rPr>
          <w:rFonts w:asciiTheme="minorHAnsi" w:hAnsiTheme="minorHAnsi"/>
          <w:sz w:val="22"/>
        </w:rPr>
        <w:t>created a</w:t>
      </w:r>
      <w:r w:rsidRPr="00041524">
        <w:rPr>
          <w:rFonts w:asciiTheme="minorHAnsi" w:hAnsiTheme="minorHAnsi"/>
          <w:sz w:val="22"/>
        </w:rPr>
        <w:t xml:space="preserve"> pedagogical tool to strengthen student attention, promote cognitive independence, and support well-being, from schools through higher education.</w:t>
      </w:r>
    </w:p>
    <w:p w:rsidR="00F83E26" w:rsidRPr="00041524" w:rsidP="00F83E26">
      <w:pPr>
        <w:spacing w:line="240" w:lineRule="auto"/>
        <w:rPr>
          <w:rFonts w:asciiTheme="minorHAnsi" w:hAnsiTheme="minorHAnsi"/>
          <w:sz w:val="22"/>
        </w:rPr>
      </w:pPr>
      <w:r w:rsidRPr="00041524">
        <w:rPr>
          <w:rFonts w:asciiTheme="minorHAnsi" w:hAnsiTheme="minorHAnsi"/>
          <w:sz w:val="22"/>
        </w:rPr>
        <w:t>To support academics, we</w:t>
      </w:r>
      <w:r w:rsidRPr="00041524">
        <w:rPr>
          <w:sz w:val="22"/>
        </w:rPr>
        <w:t xml:space="preserve"> </w:t>
      </w:r>
      <w:r>
        <w:rPr>
          <w:rFonts w:asciiTheme="minorHAnsi" w:hAnsiTheme="minorHAnsi"/>
          <w:sz w:val="22"/>
        </w:rPr>
        <w:t>recommend that</w:t>
      </w:r>
      <w:r w:rsidRPr="00041524">
        <w:rPr>
          <w:rFonts w:asciiTheme="minorHAnsi" w:hAnsiTheme="minorHAnsi"/>
          <w:sz w:val="22"/>
        </w:rPr>
        <w:t xml:space="preserve"> </w:t>
      </w:r>
      <w:r>
        <w:rPr>
          <w:rFonts w:asciiTheme="minorHAnsi" w:hAnsiTheme="minorHAnsi"/>
          <w:sz w:val="22"/>
        </w:rPr>
        <w:t>HE I</w:t>
      </w:r>
      <w:r w:rsidRPr="00041524">
        <w:rPr>
          <w:rFonts w:asciiTheme="minorHAnsi" w:hAnsiTheme="minorHAnsi"/>
          <w:sz w:val="22"/>
        </w:rPr>
        <w:t>nstitutions</w:t>
      </w:r>
      <w:r>
        <w:rPr>
          <w:rFonts w:asciiTheme="minorHAnsi" w:hAnsiTheme="minorHAnsi"/>
          <w:sz w:val="22"/>
        </w:rPr>
        <w:t xml:space="preserve"> (HEI’s)</w:t>
      </w:r>
      <w:r w:rsidRPr="00041524">
        <w:rPr>
          <w:rFonts w:asciiTheme="minorHAnsi" w:hAnsiTheme="minorHAnsi"/>
          <w:sz w:val="22"/>
        </w:rPr>
        <w:t xml:space="preserve"> provide structured instruction on AI capabilities, limitations, prompt design, ethical considerations, and output evaluation. This equips learners to critically assess AI-generated content, recognise biases or hallucinations, and maintain originality and academic integrity.</w:t>
      </w:r>
    </w:p>
    <w:p w:rsidR="00F83E26" w:rsidRPr="00DC35EF" w:rsidP="00F83E26">
      <w:pPr>
        <w:spacing w:line="240" w:lineRule="auto"/>
        <w:rPr>
          <w:rFonts w:asciiTheme="minorHAnsi" w:hAnsiTheme="minorHAnsi"/>
          <w:sz w:val="22"/>
        </w:rPr>
      </w:pPr>
      <w:r>
        <w:rPr>
          <w:rFonts w:asciiTheme="minorHAnsi" w:hAnsiTheme="minorHAnsi"/>
          <w:sz w:val="22"/>
        </w:rPr>
        <w:t>In addition, HEIs d</w:t>
      </w:r>
      <w:r w:rsidRPr="00041524">
        <w:rPr>
          <w:rFonts w:asciiTheme="minorHAnsi" w:hAnsiTheme="minorHAnsi"/>
          <w:sz w:val="22"/>
        </w:rPr>
        <w:t xml:space="preserve">evelop and mandate professional development programs that prepare educators to implement AI-integrated teaching responsibly. Training should include AI literacy, digital detox facilitation, ethical engagement modelling, and strategies to maintain learner well-being in technology-rich environments. </w:t>
      </w:r>
      <w:r>
        <w:rPr>
          <w:rFonts w:asciiTheme="minorHAnsi" w:hAnsiTheme="minorHAnsi"/>
          <w:sz w:val="22"/>
        </w:rPr>
        <w:t xml:space="preserve">We argue that </w:t>
      </w:r>
      <w:r w:rsidRPr="00041524">
        <w:rPr>
          <w:rFonts w:asciiTheme="minorHAnsi" w:hAnsiTheme="minorHAnsi"/>
          <w:sz w:val="22"/>
        </w:rPr>
        <w:t xml:space="preserve">scalable, secure, and interoperable digital systems </w:t>
      </w:r>
      <w:r>
        <w:rPr>
          <w:rFonts w:asciiTheme="minorHAnsi" w:hAnsiTheme="minorHAnsi"/>
          <w:sz w:val="22"/>
        </w:rPr>
        <w:t xml:space="preserve">need to be </w:t>
      </w:r>
      <w:r w:rsidRPr="00041524">
        <w:rPr>
          <w:rFonts w:asciiTheme="minorHAnsi" w:hAnsiTheme="minorHAnsi"/>
          <w:sz w:val="22"/>
        </w:rPr>
        <w:t>complemented by continuous staff training in emerging technologies, cybersecurity, and data analytics. Include digital detox principles in teacher education to enable effective boundary-setting and reflective AI use.</w:t>
      </w:r>
    </w:p>
    <w:p w:rsidR="00F83E26" w:rsidP="00F83E26">
      <w:pPr>
        <w:spacing w:line="240" w:lineRule="auto"/>
        <w:rPr>
          <w:rFonts w:asciiTheme="minorHAnsi" w:eastAsiaTheme="minorEastAsia" w:hAnsiTheme="minorHAnsi"/>
          <w:b/>
          <w:sz w:val="22"/>
        </w:rPr>
      </w:pPr>
      <w:r w:rsidRPr="004A6668">
        <w:rPr>
          <w:rFonts w:asciiTheme="minorHAnsi" w:eastAsiaTheme="minorEastAsia" w:hAnsiTheme="minorHAnsi"/>
          <w:b/>
          <w:sz w:val="22"/>
        </w:rPr>
        <w:t>Section 3 – The Impact on Learning</w:t>
      </w:r>
    </w:p>
    <w:p w:rsidR="00F83E26" w:rsidRPr="006C513F" w:rsidP="00F83E26">
      <w:pPr>
        <w:spacing w:line="240" w:lineRule="auto"/>
        <w:rPr>
          <w:rFonts w:asciiTheme="minorHAnsi" w:hAnsiTheme="minorHAnsi"/>
          <w:sz w:val="22"/>
        </w:rPr>
      </w:pPr>
      <w:r>
        <w:rPr>
          <w:rFonts w:asciiTheme="minorHAnsi" w:hAnsiTheme="minorHAnsi"/>
          <w:sz w:val="22"/>
        </w:rPr>
        <w:t>As AI is reshaping teaching, it consequently reshapes learning for everyone, including how</w:t>
      </w:r>
      <w:r w:rsidRPr="00AB74AD">
        <w:rPr>
          <w:rFonts w:asciiTheme="minorHAnsi" w:hAnsiTheme="minorHAnsi"/>
          <w:sz w:val="22"/>
        </w:rPr>
        <w:t xml:space="preserve"> </w:t>
      </w:r>
      <w:r>
        <w:rPr>
          <w:rFonts w:asciiTheme="minorHAnsi" w:hAnsiTheme="minorHAnsi"/>
          <w:sz w:val="22"/>
        </w:rPr>
        <w:t xml:space="preserve">the </w:t>
      </w:r>
      <w:r w:rsidRPr="00AB74AD">
        <w:rPr>
          <w:rFonts w:asciiTheme="minorHAnsi" w:hAnsiTheme="minorHAnsi"/>
          <w:sz w:val="22"/>
        </w:rPr>
        <w:t>use of AI affects learners' cognitive abilities (such as critical thinking</w:t>
      </w:r>
      <w:r>
        <w:rPr>
          <w:rStyle w:val="FootnoteReference"/>
          <w:rFonts w:asciiTheme="minorHAnsi" w:hAnsiTheme="minorHAnsi"/>
          <w:sz w:val="22"/>
        </w:rPr>
        <w:footnoteReference w:id="22"/>
      </w:r>
      <w:r w:rsidRPr="00AB74AD">
        <w:rPr>
          <w:rFonts w:asciiTheme="minorHAnsi" w:hAnsiTheme="minorHAnsi"/>
          <w:sz w:val="22"/>
        </w:rPr>
        <w:t>), how content is personalised and assessed, and how emerging skills are developed.</w:t>
      </w:r>
      <w:r>
        <w:rPr>
          <w:rFonts w:asciiTheme="minorHAnsi" w:hAnsiTheme="minorHAnsi"/>
          <w:sz w:val="22"/>
        </w:rPr>
        <w:t xml:space="preserve"> Our research identified </w:t>
      </w:r>
      <w:r>
        <w:rPr>
          <w:rFonts w:asciiTheme="minorHAnsi" w:hAnsiTheme="minorHAnsi"/>
          <w:sz w:val="22"/>
        </w:rPr>
        <w:t xml:space="preserve">that skill development has become stunted over the last decade and that AI is only accelerating this. AI should not be viewed as the enemy but rather as a partner in ensuring student skill development. Greater attention needs to be paid to HOW students learn and develop. Our aforementioned </w:t>
      </w:r>
      <w:r w:rsidRPr="006C513F">
        <w:rPr>
          <w:rFonts w:asciiTheme="minorHAnsi" w:hAnsiTheme="minorHAnsi"/>
          <w:sz w:val="22"/>
        </w:rPr>
        <w:t>framework, the TSDF, addresses this by incorporating deliberate pauses for reflection, thereby encouraging learners to:</w:t>
      </w:r>
    </w:p>
    <w:p w:rsidR="00F83E26" w:rsidRPr="006C513F" w:rsidP="00F83E26">
      <w:pPr>
        <w:pStyle w:val="ListParagraph"/>
        <w:numPr>
          <w:ilvl w:val="0"/>
          <w:numId w:val="1"/>
        </w:numPr>
        <w:spacing w:line="240" w:lineRule="auto"/>
        <w:rPr>
          <w:rFonts w:asciiTheme="minorHAnsi" w:hAnsiTheme="minorHAnsi"/>
          <w:sz w:val="22"/>
        </w:rPr>
      </w:pPr>
      <w:r w:rsidRPr="006C513F">
        <w:rPr>
          <w:rFonts w:asciiTheme="minorHAnsi" w:hAnsiTheme="minorHAnsi"/>
          <w:sz w:val="22"/>
        </w:rPr>
        <w:t>slow down,</w:t>
      </w:r>
    </w:p>
    <w:p w:rsidR="00F83E26" w:rsidRPr="006C513F" w:rsidP="00F83E26">
      <w:pPr>
        <w:pStyle w:val="ListParagraph"/>
        <w:numPr>
          <w:ilvl w:val="0"/>
          <w:numId w:val="1"/>
        </w:numPr>
        <w:spacing w:line="240" w:lineRule="auto"/>
        <w:rPr>
          <w:rFonts w:asciiTheme="minorHAnsi" w:hAnsiTheme="minorHAnsi"/>
          <w:sz w:val="22"/>
        </w:rPr>
      </w:pPr>
      <w:r w:rsidRPr="006C513F">
        <w:rPr>
          <w:rFonts w:asciiTheme="minorHAnsi" w:hAnsiTheme="minorHAnsi"/>
          <w:sz w:val="22"/>
        </w:rPr>
        <w:t>question the validity of AI outputs,</w:t>
      </w:r>
    </w:p>
    <w:p w:rsidR="00F83E26" w:rsidRPr="006C513F" w:rsidP="00F83E26">
      <w:pPr>
        <w:pStyle w:val="ListParagraph"/>
        <w:numPr>
          <w:ilvl w:val="0"/>
          <w:numId w:val="1"/>
        </w:numPr>
        <w:spacing w:line="240" w:lineRule="auto"/>
        <w:rPr>
          <w:rFonts w:asciiTheme="minorHAnsi" w:hAnsiTheme="minorHAnsi"/>
          <w:sz w:val="22"/>
        </w:rPr>
      </w:pPr>
      <w:r w:rsidRPr="006C513F">
        <w:rPr>
          <w:rFonts w:asciiTheme="minorHAnsi" w:hAnsiTheme="minorHAnsi"/>
          <w:sz w:val="22"/>
        </w:rPr>
        <w:t>identify hallucinations or biases, and</w:t>
      </w:r>
    </w:p>
    <w:p w:rsidR="00F83E26" w:rsidRPr="006C513F" w:rsidP="00F83E26">
      <w:pPr>
        <w:pStyle w:val="ListParagraph"/>
        <w:numPr>
          <w:ilvl w:val="0"/>
          <w:numId w:val="1"/>
        </w:numPr>
        <w:spacing w:line="240" w:lineRule="auto"/>
        <w:rPr>
          <w:rFonts w:asciiTheme="minorHAnsi" w:hAnsiTheme="minorHAnsi"/>
          <w:sz w:val="22"/>
        </w:rPr>
      </w:pPr>
      <w:r w:rsidRPr="006C513F">
        <w:rPr>
          <w:rFonts w:asciiTheme="minorHAnsi" w:hAnsiTheme="minorHAnsi"/>
          <w:sz w:val="22"/>
        </w:rPr>
        <w:t>develop stronger metacognitive awareness</w:t>
      </w:r>
      <w:r>
        <w:rPr>
          <w:rStyle w:val="FootnoteReference"/>
          <w:rFonts w:asciiTheme="minorHAnsi" w:hAnsiTheme="minorHAnsi"/>
          <w:sz w:val="22"/>
        </w:rPr>
        <w:footnoteReference w:id="23"/>
      </w:r>
      <w:r w:rsidRPr="006C513F">
        <w:rPr>
          <w:rFonts w:asciiTheme="minorHAnsi" w:hAnsiTheme="minorHAnsi"/>
          <w:sz w:val="22"/>
        </w:rPr>
        <w:t xml:space="preserve"> </w:t>
      </w:r>
    </w:p>
    <w:p w:rsidR="00F83E26" w:rsidP="00F83E26">
      <w:pPr>
        <w:spacing w:line="240" w:lineRule="auto"/>
        <w:rPr>
          <w:rFonts w:asciiTheme="minorHAnsi" w:hAnsiTheme="minorHAnsi"/>
          <w:sz w:val="22"/>
        </w:rPr>
      </w:pPr>
      <w:r w:rsidRPr="006C513F">
        <w:rPr>
          <w:rFonts w:asciiTheme="minorHAnsi" w:hAnsiTheme="minorHAnsi"/>
          <w:sz w:val="22"/>
        </w:rPr>
        <w:t>Digital detox practices interrupt compulsive screen engagement, supporting sustained attention, which is an essential component of critical thinking</w:t>
      </w:r>
      <w:r>
        <w:rPr>
          <w:rStyle w:val="FootnoteReference"/>
          <w:rFonts w:asciiTheme="minorHAnsi" w:hAnsiTheme="minorHAnsi"/>
          <w:sz w:val="22"/>
        </w:rPr>
        <w:footnoteReference w:id="24"/>
      </w:r>
      <w:r>
        <w:rPr>
          <w:rFonts w:asciiTheme="minorHAnsi" w:hAnsiTheme="minorHAnsi"/>
          <w:sz w:val="22"/>
        </w:rPr>
        <w:t>.</w:t>
      </w:r>
    </w:p>
    <w:p w:rsidR="00F83E26" w:rsidP="00F83E26">
      <w:pPr>
        <w:spacing w:line="240" w:lineRule="auto"/>
        <w:rPr>
          <w:rFonts w:asciiTheme="minorHAnsi" w:hAnsiTheme="minorHAnsi"/>
          <w:sz w:val="22"/>
        </w:rPr>
      </w:pPr>
      <w:r>
        <w:rPr>
          <w:rFonts w:asciiTheme="minorHAnsi" w:hAnsiTheme="minorHAnsi"/>
          <w:sz w:val="22"/>
        </w:rPr>
        <w:t xml:space="preserve">To resist the impact of AI on learning, </w:t>
      </w:r>
      <w:r w:rsidRPr="5625783D">
        <w:rPr>
          <w:rFonts w:asciiTheme="minorHAnsi" w:hAnsiTheme="minorHAnsi"/>
          <w:sz w:val="22"/>
        </w:rPr>
        <w:t>HEI’s</w:t>
      </w:r>
      <w:r>
        <w:rPr>
          <w:rFonts w:asciiTheme="minorHAnsi" w:hAnsiTheme="minorHAnsi"/>
          <w:sz w:val="22"/>
        </w:rPr>
        <w:t xml:space="preserve"> must </w:t>
      </w:r>
      <w:r w:rsidRPr="006C513F">
        <w:rPr>
          <w:rFonts w:asciiTheme="minorHAnsi" w:hAnsiTheme="minorHAnsi"/>
          <w:sz w:val="22"/>
        </w:rPr>
        <w:t>intentionally redirect</w:t>
      </w:r>
      <w:r>
        <w:rPr>
          <w:rFonts w:asciiTheme="minorHAnsi" w:hAnsiTheme="minorHAnsi"/>
          <w:sz w:val="22"/>
        </w:rPr>
        <w:t xml:space="preserve"> our</w:t>
      </w:r>
      <w:r w:rsidRPr="006C513F">
        <w:rPr>
          <w:rFonts w:asciiTheme="minorHAnsi" w:hAnsiTheme="minorHAnsi"/>
          <w:sz w:val="22"/>
        </w:rPr>
        <w:t xml:space="preserve"> focus toward</w:t>
      </w:r>
      <w:r>
        <w:rPr>
          <w:rFonts w:asciiTheme="minorHAnsi" w:hAnsiTheme="minorHAnsi"/>
          <w:sz w:val="22"/>
        </w:rPr>
        <w:t xml:space="preserve"> developing </w:t>
      </w:r>
      <w:r w:rsidRPr="006C513F">
        <w:rPr>
          <w:rFonts w:asciiTheme="minorHAnsi" w:hAnsiTheme="minorHAnsi"/>
          <w:sz w:val="22"/>
        </w:rPr>
        <w:t>human values</w:t>
      </w:r>
      <w:r>
        <w:rPr>
          <w:rFonts w:asciiTheme="minorHAnsi" w:hAnsiTheme="minorHAnsi"/>
          <w:sz w:val="22"/>
        </w:rPr>
        <w:t>.</w:t>
      </w:r>
      <w:r w:rsidRPr="5625783D">
        <w:rPr>
          <w:rFonts w:asciiTheme="minorHAnsi" w:hAnsiTheme="minorHAnsi"/>
          <w:sz w:val="22"/>
        </w:rPr>
        <w:t xml:space="preserve"> Policy development must not become so focussed on digital skill acquisition that the range of graduate skills if </w:t>
      </w:r>
      <w:r w:rsidRPr="53DB214E">
        <w:rPr>
          <w:rFonts w:asciiTheme="minorHAnsi" w:hAnsiTheme="minorHAnsi"/>
          <w:sz w:val="22"/>
        </w:rPr>
        <w:t xml:space="preserve">overlooked for </w:t>
      </w:r>
      <w:r w:rsidRPr="3CC1ADB0">
        <w:rPr>
          <w:rFonts w:asciiTheme="minorHAnsi" w:hAnsiTheme="minorHAnsi"/>
          <w:sz w:val="22"/>
        </w:rPr>
        <w:t>forgotten.</w:t>
      </w:r>
      <w:r>
        <w:rPr>
          <w:rFonts w:asciiTheme="minorHAnsi" w:hAnsiTheme="minorHAnsi"/>
          <w:sz w:val="22"/>
        </w:rPr>
        <w:t xml:space="preserve"> </w:t>
      </w:r>
      <w:r w:rsidRPr="006C513F">
        <w:rPr>
          <w:rFonts w:asciiTheme="minorHAnsi" w:hAnsiTheme="minorHAnsi"/>
          <w:sz w:val="22"/>
        </w:rPr>
        <w:t xml:space="preserve">These processes </w:t>
      </w:r>
      <w:r>
        <w:rPr>
          <w:rFonts w:asciiTheme="minorHAnsi" w:hAnsiTheme="minorHAnsi"/>
          <w:sz w:val="22"/>
        </w:rPr>
        <w:t xml:space="preserve">will </w:t>
      </w:r>
      <w:r w:rsidRPr="006C513F">
        <w:rPr>
          <w:rFonts w:asciiTheme="minorHAnsi" w:hAnsiTheme="minorHAnsi"/>
          <w:sz w:val="22"/>
        </w:rPr>
        <w:t>cultivate learners’ abilities to critically interpret complex problems and the technologies involved, fostering deeper understanding</w:t>
      </w:r>
      <w:r>
        <w:rPr>
          <w:rFonts w:asciiTheme="minorHAnsi" w:hAnsiTheme="minorHAnsi"/>
          <w:sz w:val="22"/>
        </w:rPr>
        <w:t xml:space="preserve">, </w:t>
      </w:r>
      <w:r w:rsidRPr="006C513F">
        <w:rPr>
          <w:rFonts w:asciiTheme="minorHAnsi" w:hAnsiTheme="minorHAnsi"/>
          <w:sz w:val="22"/>
        </w:rPr>
        <w:t>adaptive thinking</w:t>
      </w:r>
      <w:r>
        <w:rPr>
          <w:rFonts w:asciiTheme="minorHAnsi" w:hAnsiTheme="minorHAnsi"/>
          <w:sz w:val="22"/>
        </w:rPr>
        <w:t xml:space="preserve"> and creativity</w:t>
      </w:r>
      <w:r>
        <w:rPr>
          <w:rStyle w:val="FootnoteReference"/>
          <w:rFonts w:asciiTheme="minorHAnsi" w:hAnsiTheme="minorHAnsi"/>
          <w:sz w:val="22"/>
        </w:rPr>
        <w:footnoteReference w:id="25"/>
      </w:r>
      <w:r>
        <w:rPr>
          <w:rFonts w:asciiTheme="minorHAnsi" w:hAnsiTheme="minorHAnsi"/>
          <w:sz w:val="22"/>
        </w:rPr>
        <w:t>. Learners must be</w:t>
      </w:r>
      <w:r w:rsidRPr="006C513F">
        <w:rPr>
          <w:rFonts w:asciiTheme="minorHAnsi" w:hAnsiTheme="minorHAnsi"/>
          <w:sz w:val="22"/>
        </w:rPr>
        <w:t xml:space="preserve"> encouraged not only to engage with technological tools but also to question underlying assumptions, contextualise information, and anticipate broader implications. This approach nurtures reflective judgment and creative problem framing, enabling students to develop nuanced perspectives that align with real-world complexities</w:t>
      </w:r>
      <w:r>
        <w:rPr>
          <w:rFonts w:asciiTheme="minorHAnsi" w:hAnsiTheme="minorHAnsi"/>
          <w:sz w:val="22"/>
        </w:rPr>
        <w:t xml:space="preserve"> </w:t>
      </w:r>
      <w:r w:rsidRPr="006C513F">
        <w:rPr>
          <w:rFonts w:asciiTheme="minorHAnsi" w:hAnsiTheme="minorHAnsi"/>
          <w:sz w:val="22"/>
        </w:rPr>
        <w:t>and mitigate</w:t>
      </w:r>
      <w:r>
        <w:rPr>
          <w:rFonts w:asciiTheme="minorHAnsi" w:hAnsiTheme="minorHAnsi"/>
          <w:sz w:val="22"/>
        </w:rPr>
        <w:t>s</w:t>
      </w:r>
      <w:r w:rsidRPr="006C513F">
        <w:rPr>
          <w:rFonts w:asciiTheme="minorHAnsi" w:hAnsiTheme="minorHAnsi"/>
          <w:sz w:val="22"/>
        </w:rPr>
        <w:t xml:space="preserve"> the risks associated with over-reliance on AI</w:t>
      </w:r>
      <w:r>
        <w:rPr>
          <w:rFonts w:asciiTheme="minorHAnsi" w:hAnsiTheme="minorHAnsi"/>
          <w:sz w:val="22"/>
        </w:rPr>
        <w:t>. We argue that the lecture hall must not become a place of just knowledge dissemination but become a place of active experiential learning</w:t>
      </w:r>
      <w:r>
        <w:rPr>
          <w:rStyle w:val="FootnoteReference"/>
          <w:rFonts w:asciiTheme="minorHAnsi" w:hAnsiTheme="minorHAnsi"/>
          <w:sz w:val="22"/>
        </w:rPr>
        <w:footnoteReference w:id="26"/>
      </w:r>
      <w:r>
        <w:rPr>
          <w:rFonts w:asciiTheme="minorHAnsi" w:hAnsiTheme="minorHAnsi"/>
          <w:sz w:val="22"/>
        </w:rPr>
        <w:t>. Our expertise in authentic assessments</w:t>
      </w:r>
      <w:r>
        <w:rPr>
          <w:rStyle w:val="FootnoteReference"/>
          <w:rFonts w:asciiTheme="minorHAnsi" w:hAnsiTheme="minorHAnsi"/>
          <w:sz w:val="22"/>
        </w:rPr>
        <w:footnoteReference w:id="27"/>
      </w:r>
      <w:r>
        <w:rPr>
          <w:rFonts w:asciiTheme="minorHAnsi" w:hAnsiTheme="minorHAnsi"/>
          <w:sz w:val="22"/>
        </w:rPr>
        <w:t xml:space="preserve"> shows that students do not just learn by essay or exam but rather that to reflect the workplace assessment must change. Montano’s National Teaching Fellowship was awarded due to evidence that if we create assessments such as digital artefacts that use </w:t>
      </w:r>
      <w:r>
        <w:rPr>
          <w:rFonts w:asciiTheme="minorHAnsi" w:hAnsiTheme="minorHAnsi"/>
          <w:sz w:val="22"/>
        </w:rPr>
        <w:t>EdTech and build employability skills, we can transform learning that also ensure students are ready for the 4</w:t>
      </w:r>
      <w:r w:rsidRPr="007F3E3F">
        <w:rPr>
          <w:rFonts w:asciiTheme="minorHAnsi" w:hAnsiTheme="minorHAnsi"/>
          <w:sz w:val="22"/>
          <w:vertAlign w:val="superscript"/>
        </w:rPr>
        <w:t>th</w:t>
      </w:r>
      <w:r>
        <w:rPr>
          <w:rFonts w:asciiTheme="minorHAnsi" w:hAnsiTheme="minorHAnsi"/>
          <w:sz w:val="22"/>
        </w:rPr>
        <w:t xml:space="preserve"> Industrial Revolution. </w:t>
      </w:r>
    </w:p>
    <w:p w:rsidR="00F83E26" w:rsidP="00F83E26">
      <w:pPr>
        <w:spacing w:line="240" w:lineRule="auto"/>
        <w:rPr>
          <w:rFonts w:asciiTheme="minorHAnsi" w:hAnsiTheme="minorHAnsi"/>
          <w:sz w:val="22"/>
        </w:rPr>
      </w:pPr>
      <w:r w:rsidRPr="006C513F">
        <w:rPr>
          <w:rFonts w:asciiTheme="minorHAnsi" w:hAnsiTheme="minorHAnsi"/>
          <w:sz w:val="22"/>
        </w:rPr>
        <w:t xml:space="preserve">Our research shows that </w:t>
      </w:r>
      <w:r w:rsidRPr="2FA209C6">
        <w:rPr>
          <w:rFonts w:asciiTheme="minorHAnsi" w:hAnsiTheme="minorHAnsi"/>
          <w:sz w:val="22"/>
        </w:rPr>
        <w:t>HEI’s and academics</w:t>
      </w:r>
      <w:r>
        <w:rPr>
          <w:rFonts w:asciiTheme="minorHAnsi" w:hAnsiTheme="minorHAnsi"/>
          <w:sz w:val="22"/>
        </w:rPr>
        <w:t xml:space="preserve"> must create spaces to</w:t>
      </w:r>
      <w:r w:rsidRPr="006C513F">
        <w:rPr>
          <w:rFonts w:asciiTheme="minorHAnsi" w:hAnsiTheme="minorHAnsi"/>
          <w:sz w:val="22"/>
        </w:rPr>
        <w:t xml:space="preserve"> foster creativity by providing cognitive space for deep reflection and ideation</w:t>
      </w:r>
      <w:r>
        <w:rPr>
          <w:rFonts w:asciiTheme="minorHAnsi" w:hAnsiTheme="minorHAnsi"/>
          <w:sz w:val="22"/>
        </w:rPr>
        <w:t>. We need to</w:t>
      </w:r>
      <w:r w:rsidRPr="006C513F">
        <w:rPr>
          <w:rFonts w:asciiTheme="minorHAnsi" w:hAnsiTheme="minorHAnsi"/>
          <w:sz w:val="22"/>
        </w:rPr>
        <w:t xml:space="preserve"> interrupt the habitual and passive use of AI, allowing students to critically examine or deviate from AI-generated "default" responses. This process enhances the cognitive independence necessary for effectively utilising AI in teaching and learning.</w:t>
      </w:r>
      <w:r>
        <w:rPr>
          <w:rFonts w:asciiTheme="minorHAnsi" w:hAnsiTheme="minorHAnsi"/>
          <w:sz w:val="22"/>
        </w:rPr>
        <w:t xml:space="preserve"> HEI’s and Government must provide </w:t>
      </w:r>
      <w:r w:rsidRPr="00041524">
        <w:rPr>
          <w:rFonts w:asciiTheme="minorHAnsi" w:hAnsiTheme="minorHAnsi"/>
          <w:sz w:val="22"/>
        </w:rPr>
        <w:t>actionable strategies for educators, institutions, and policymakers to harness AI’s benefits responsibly, ensuring that learners develop essential transformative skills alongside digital literacy and ethical awareness.</w:t>
      </w:r>
    </w:p>
    <w:p w:rsidR="00F83E26" w:rsidP="00F83E26">
      <w:pPr>
        <w:spacing w:line="240" w:lineRule="auto"/>
        <w:rPr>
          <w:rFonts w:asciiTheme="minorHAnsi" w:hAnsiTheme="minorHAnsi"/>
          <w:sz w:val="22"/>
        </w:rPr>
      </w:pPr>
      <w:r>
        <w:rPr>
          <w:rFonts w:asciiTheme="minorHAnsi" w:hAnsiTheme="minorHAnsi"/>
          <w:sz w:val="22"/>
        </w:rPr>
        <w:t xml:space="preserve">In summary, we are argue that HE </w:t>
      </w:r>
      <w:r w:rsidRPr="2FA209C6">
        <w:rPr>
          <w:rFonts w:asciiTheme="minorHAnsi" w:hAnsiTheme="minorHAnsi"/>
          <w:sz w:val="22"/>
        </w:rPr>
        <w:t xml:space="preserve">and Government policy </w:t>
      </w:r>
      <w:r>
        <w:rPr>
          <w:rFonts w:asciiTheme="minorHAnsi" w:hAnsiTheme="minorHAnsi"/>
          <w:sz w:val="22"/>
        </w:rPr>
        <w:t>must l</w:t>
      </w:r>
      <w:r w:rsidRPr="00041524">
        <w:rPr>
          <w:rFonts w:asciiTheme="minorHAnsi" w:hAnsiTheme="minorHAnsi"/>
          <w:sz w:val="22"/>
        </w:rPr>
        <w:t xml:space="preserve">everage </w:t>
      </w:r>
      <w:r>
        <w:rPr>
          <w:rFonts w:asciiTheme="minorHAnsi" w:hAnsiTheme="minorHAnsi"/>
          <w:sz w:val="22"/>
        </w:rPr>
        <w:t>new ways of teaching and learning to</w:t>
      </w:r>
      <w:r w:rsidRPr="00041524">
        <w:rPr>
          <w:rFonts w:asciiTheme="minorHAnsi" w:hAnsiTheme="minorHAnsi"/>
          <w:sz w:val="22"/>
        </w:rPr>
        <w:t xml:space="preserve"> design learning experiences that balance AI integration with analogue, embodied, and reflective pedagogies. </w:t>
      </w:r>
      <w:r w:rsidRPr="048F6843">
        <w:rPr>
          <w:rFonts w:asciiTheme="minorHAnsi" w:hAnsiTheme="minorHAnsi"/>
          <w:sz w:val="22"/>
        </w:rPr>
        <w:t xml:space="preserve">HEI’s need to ensure that </w:t>
      </w:r>
      <w:r w:rsidRPr="41375CBE">
        <w:rPr>
          <w:rFonts w:asciiTheme="minorHAnsi" w:hAnsiTheme="minorHAnsi"/>
          <w:sz w:val="22"/>
        </w:rPr>
        <w:t>institutional structures facilitate</w:t>
      </w:r>
      <w:r w:rsidRPr="00041524">
        <w:rPr>
          <w:rFonts w:asciiTheme="minorHAnsi" w:hAnsiTheme="minorHAnsi"/>
          <w:sz w:val="22"/>
        </w:rPr>
        <w:t xml:space="preserve"> authentic, employer-relevant assessments that foster creativity, critical thinking, empathy, and metacognitive skills, ensuring students develop essential human-centred competencies alongside technological literacy</w:t>
      </w:r>
      <w:r w:rsidRPr="1A9DEE01">
        <w:rPr>
          <w:rFonts w:asciiTheme="minorHAnsi" w:hAnsiTheme="minorHAnsi"/>
          <w:sz w:val="22"/>
        </w:rPr>
        <w:t>, to succeed in the AI workplace.</w:t>
      </w:r>
    </w:p>
    <w:p w:rsidR="00F83E26" w:rsidRPr="00C556EC" w:rsidP="00F83E26">
      <w:pPr>
        <w:spacing w:line="240" w:lineRule="auto"/>
        <w:rPr>
          <w:rFonts w:asciiTheme="minorHAnsi" w:hAnsiTheme="minorHAnsi"/>
          <w:i/>
          <w:iCs/>
          <w:sz w:val="22"/>
        </w:rPr>
      </w:pPr>
      <w:r w:rsidRPr="00C556EC">
        <w:rPr>
          <w:rFonts w:asciiTheme="minorHAnsi" w:hAnsiTheme="minorHAnsi"/>
          <w:i/>
          <w:iCs/>
          <w:sz w:val="22"/>
        </w:rPr>
        <w:t>May 2026</w:t>
      </w:r>
    </w:p>
    <w:p w:rsidR="00F83E26" w:rsidRPr="006C513F" w:rsidP="00F83E26">
      <w:pPr>
        <w:spacing w:line="240" w:lineRule="auto"/>
        <w:rPr>
          <w:rFonts w:asciiTheme="minorHAnsi" w:eastAsiaTheme="minorEastAsia" w:hAnsiTheme="minorHAnsi"/>
          <w:b/>
          <w:sz w:val="22"/>
        </w:rPr>
      </w:pPr>
    </w:p>
    <w:p w:rsidR="00F83E26" w:rsidRPr="00BF1330" w:rsidP="00F83E26">
      <w:pPr>
        <w:spacing w:line="240" w:lineRule="auto"/>
        <w:rPr>
          <w:rFonts w:asciiTheme="minorHAnsi" w:hAnsiTheme="minorHAnsi"/>
          <w:sz w:val="22"/>
        </w:rPr>
      </w:pPr>
    </w:p>
    <w:p w:rsidR="00F83E26" w:rsidRPr="004A4865" w:rsidP="00F83E26">
      <w:pPr>
        <w:spacing w:line="240" w:lineRule="auto"/>
        <w:ind w:left="360"/>
        <w:rPr>
          <w:rFonts w:asciiTheme="minorHAnsi" w:hAnsiTheme="minorHAnsi"/>
          <w:sz w:val="20"/>
          <w:szCs w:val="20"/>
        </w:rPr>
      </w:pPr>
    </w:p>
    <w:p w:rsidR="00F83E26" w:rsidRPr="006C513F" w:rsidP="00F83E26">
      <w:pPr>
        <w:spacing w:line="240" w:lineRule="auto"/>
        <w:rPr>
          <w:rFonts w:asciiTheme="minorHAnsi" w:hAnsiTheme="minorHAnsi"/>
          <w:sz w:val="22"/>
        </w:rPr>
      </w:pPr>
    </w:p>
    <w:p w:rsidR="009A0038"/>
    <w:sectPr w:rsidSect="00F83E2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3E26" w:rsidP="00F83E26">
      <w:pPr>
        <w:spacing w:before="0" w:after="0" w:line="240" w:lineRule="auto"/>
      </w:pPr>
      <w:r>
        <w:separator/>
      </w:r>
    </w:p>
  </w:footnote>
  <w:footnote w:type="continuationSeparator" w:id="1">
    <w:p w:rsidR="00F83E26" w:rsidP="00F83E26">
      <w:pPr>
        <w:spacing w:before="0" w:after="0" w:line="240" w:lineRule="auto"/>
      </w:pPr>
      <w:r>
        <w:continuationSeparator/>
      </w:r>
    </w:p>
  </w:footnote>
  <w:footnote w:id="2">
    <w:p w:rsidR="00F83E26" w:rsidP="00F83E26">
      <w:pPr>
        <w:pStyle w:val="FootnoteText"/>
      </w:pPr>
      <w:r>
        <w:rPr>
          <w:rStyle w:val="FootnoteReference"/>
        </w:rPr>
        <w:footnoteRef/>
      </w:r>
      <w:r>
        <w:t xml:space="preserve"> Corresponding author</w:t>
      </w:r>
    </w:p>
  </w:footnote>
  <w:footnote w:id="3">
    <w:p w:rsidR="00F83E26" w:rsidP="00F83E26">
      <w:pPr>
        <w:pStyle w:val="FootnoteText"/>
      </w:pPr>
      <w:r>
        <w:rPr>
          <w:rStyle w:val="FootnoteReference"/>
        </w:rPr>
        <w:footnoteRef/>
      </w:r>
      <w:r>
        <w:t xml:space="preserve"> Corresponding author</w:t>
      </w:r>
    </w:p>
  </w:footnote>
  <w:footnote w:id="4">
    <w:p w:rsidR="00F83E26" w:rsidP="00F83E26">
      <w:pPr>
        <w:pStyle w:val="FootnoteText"/>
      </w:pPr>
      <w:r>
        <w:rPr>
          <w:rStyle w:val="FootnoteReference"/>
        </w:rPr>
        <w:footnoteRef/>
      </w:r>
      <w:r>
        <w:t xml:space="preserve"> As academics at a University that carry out research into student skills and employability, pour evidence focuses on these students and question on schools/ children are out of our area of expertise</w:t>
      </w:r>
    </w:p>
  </w:footnote>
  <w:footnote w:id="5">
    <w:p w:rsidR="00F83E26" w:rsidRPr="004A4865" w:rsidP="00F83E26">
      <w:pPr>
        <w:spacing w:line="240" w:lineRule="auto"/>
        <w:ind w:left="360"/>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World Economic Forum (WEF) (2025) The Future of Jobs Report. [online] Available at: https://reports.weforum.org/docs/WEF_Future_of_Jobs_Report_2025.pdf3</w:t>
      </w:r>
    </w:p>
  </w:footnote>
  <w:footnote w:id="6">
    <w:p w:rsidR="00F83E26" w:rsidRPr="004A4865" w:rsidP="00F83E26">
      <w:pPr>
        <w:spacing w:line="240" w:lineRule="auto"/>
        <w:ind w:left="360"/>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Montano, S. &amp; Manson, I.T. (2024) ‘Responsible marketing and consumption start with changing mindsets: How educators can embed responsible marketing and consumption into curricula’, in Responsible Marketing for Well-being and Society. Routledge, pp. 84–100.3</w:t>
      </w:r>
    </w:p>
  </w:footnote>
  <w:footnote w:id="7">
    <w:p w:rsidR="00F83E26" w:rsidRPr="004A6668" w:rsidP="00F83E26">
      <w:pPr>
        <w:spacing w:line="240" w:lineRule="auto"/>
        <w:ind w:left="360"/>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i/>
          <w:iCs/>
          <w:sz w:val="20"/>
          <w:szCs w:val="20"/>
        </w:rPr>
        <w:t>Ibid</w:t>
      </w:r>
    </w:p>
  </w:footnote>
  <w:footnote w:id="8">
    <w:p w:rsidR="00F83E26" w:rsidRPr="004A4865" w:rsidP="00F83E26">
      <w:pPr>
        <w:spacing w:line="240" w:lineRule="auto"/>
        <w:ind w:left="360"/>
        <w:rPr>
          <w:rFonts w:asciiTheme="minorHAnsi" w:hAnsiTheme="minorHAnsi"/>
          <w:sz w:val="20"/>
          <w:szCs w:val="20"/>
        </w:rPr>
      </w:pPr>
      <w:r>
        <w:rPr>
          <w:rStyle w:val="FootnoteReference"/>
        </w:rPr>
        <w:footnoteRef/>
      </w:r>
      <w:r>
        <w:t xml:space="preserve"> </w:t>
      </w:r>
      <w:r w:rsidRPr="004A4865">
        <w:rPr>
          <w:rFonts w:asciiTheme="minorHAnsi" w:hAnsiTheme="minorHAnsi"/>
          <w:sz w:val="20"/>
          <w:szCs w:val="20"/>
        </w:rPr>
        <w:t>British Retail Consortium (2025a) Skills. [online] Available at: https://brc.org.uk/priorities/people/skills/#skills1</w:t>
      </w:r>
    </w:p>
    <w:p w:rsidR="00F83E26" w:rsidP="00F83E26">
      <w:pPr>
        <w:pStyle w:val="FootnoteText"/>
      </w:pPr>
    </w:p>
  </w:footnote>
  <w:footnote w:id="9">
    <w:p w:rsidR="00F83E26" w:rsidRPr="004A4865" w:rsidP="00F83E26">
      <w:pPr>
        <w:spacing w:line="240" w:lineRule="auto"/>
        <w:ind w:left="360"/>
        <w:rPr>
          <w:rFonts w:asciiTheme="minorHAnsi" w:hAnsiTheme="minorHAnsi"/>
          <w:sz w:val="20"/>
          <w:szCs w:val="20"/>
        </w:rPr>
      </w:pPr>
      <w:r>
        <w:rPr>
          <w:rStyle w:val="FootnoteReference"/>
        </w:rPr>
        <w:footnoteRef/>
      </w:r>
      <w:r>
        <w:t xml:space="preserve"> </w:t>
      </w:r>
      <w:r w:rsidRPr="004A4865">
        <w:rPr>
          <w:rFonts w:asciiTheme="minorHAnsi" w:hAnsiTheme="minorHAnsi"/>
          <w:sz w:val="20"/>
          <w:szCs w:val="20"/>
        </w:rPr>
        <w:t>Toral, I., &amp; Montano, S. (2022, May). An Experiential Learning Framework for Retail: Creative Authentic Skill Development. In Academy of Marketing Science Annual Conference (pp. 189-199). Cham: Springer Nature Switzerland.</w:t>
      </w:r>
    </w:p>
  </w:footnote>
  <w:footnote w:id="10">
    <w:p w:rsidR="00F83E26" w:rsidRPr="004A6668" w:rsidP="00F83E26">
      <w:pPr>
        <w:spacing w:line="240" w:lineRule="auto"/>
        <w:ind w:left="360"/>
        <w:rPr>
          <w:rFonts w:asciiTheme="minorHAnsi" w:hAnsiTheme="minorHAnsi"/>
          <w:sz w:val="20"/>
          <w:szCs w:val="20"/>
        </w:rPr>
      </w:pPr>
      <w:r>
        <w:rPr>
          <w:rStyle w:val="FootnoteReference"/>
        </w:rPr>
        <w:footnoteRef/>
      </w:r>
      <w:r>
        <w:t xml:space="preserve"> </w:t>
      </w:r>
      <w:r w:rsidRPr="004A4865">
        <w:rPr>
          <w:rFonts w:asciiTheme="minorHAnsi" w:hAnsiTheme="minorHAnsi"/>
          <w:sz w:val="20"/>
          <w:szCs w:val="20"/>
        </w:rPr>
        <w:t>British Retail Consortium (2025b) Workforce evolution. [online] Available at: https://brc.org.uk/priorities/people/workforce-evolution/1</w:t>
      </w:r>
    </w:p>
  </w:footnote>
  <w:footnote w:id="11">
    <w:p w:rsidR="00F83E26" w:rsidRPr="004A4865" w:rsidP="00F83E26">
      <w:pPr>
        <w:spacing w:line="240" w:lineRule="auto"/>
        <w:ind w:left="360"/>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 xml:space="preserve">Scott, D. A., Valley, B., &amp; Simecka, B. A. (2016). Mental Health Concerns in the Digital Age. </w:t>
      </w:r>
      <w:r w:rsidRPr="004A4865">
        <w:rPr>
          <w:rFonts w:asciiTheme="minorHAnsi" w:hAnsiTheme="minorHAnsi"/>
          <w:i/>
          <w:iCs/>
          <w:sz w:val="20"/>
          <w:szCs w:val="20"/>
        </w:rPr>
        <w:t>International Journal of Mental Health and Addiction</w:t>
      </w:r>
      <w:r w:rsidRPr="004A4865">
        <w:rPr>
          <w:rFonts w:asciiTheme="minorHAnsi" w:hAnsiTheme="minorHAnsi"/>
          <w:sz w:val="20"/>
          <w:szCs w:val="20"/>
        </w:rPr>
        <w:t xml:space="preserve">, </w:t>
      </w:r>
      <w:r w:rsidRPr="004A4865">
        <w:rPr>
          <w:rFonts w:asciiTheme="minorHAnsi" w:hAnsiTheme="minorHAnsi"/>
          <w:i/>
          <w:iCs/>
          <w:sz w:val="20"/>
          <w:szCs w:val="20"/>
        </w:rPr>
        <w:t>15</w:t>
      </w:r>
      <w:r w:rsidRPr="004A4865">
        <w:rPr>
          <w:rFonts w:asciiTheme="minorHAnsi" w:hAnsiTheme="minorHAnsi"/>
          <w:sz w:val="20"/>
          <w:szCs w:val="20"/>
        </w:rPr>
        <w:t>(3), 604–613. https://doi.org/10.1007/s11469-016-9684-0</w:t>
      </w:r>
    </w:p>
  </w:footnote>
  <w:footnote w:id="12">
    <w:p w:rsidR="00F83E26" w:rsidRPr="004A6668" w:rsidP="00F83E26">
      <w:pPr>
        <w:spacing w:line="240" w:lineRule="auto"/>
        <w:ind w:left="360"/>
        <w:rPr>
          <w:rFonts w:asciiTheme="minorHAnsi" w:hAnsiTheme="minorHAnsi"/>
          <w:sz w:val="20"/>
          <w:szCs w:val="20"/>
        </w:rPr>
      </w:pPr>
      <w:r w:rsidRPr="004A6668">
        <w:rPr>
          <w:rStyle w:val="FootnoteReference"/>
          <w:sz w:val="20"/>
          <w:szCs w:val="20"/>
        </w:rPr>
        <w:footnoteRef/>
      </w:r>
      <w:r w:rsidRPr="004A6668">
        <w:rPr>
          <w:sz w:val="20"/>
          <w:szCs w:val="20"/>
        </w:rPr>
        <w:t xml:space="preserve"> </w:t>
      </w:r>
      <w:r w:rsidRPr="004A6668">
        <w:rPr>
          <w:rFonts w:asciiTheme="minorHAnsi" w:hAnsiTheme="minorHAnsi"/>
          <w:sz w:val="20"/>
          <w:szCs w:val="20"/>
        </w:rPr>
        <w:t xml:space="preserve">Chow, A. (2025) ‘ChatGPT May Be Eroding Critical Thinking Skills, According to a New MIT Study’, Time Magazine. [online] Available at: </w:t>
      </w:r>
      <w:r>
        <w:fldChar w:fldCharType="begin"/>
      </w:r>
      <w:r>
        <w:instrText xml:space="preserve"> HYPERLINK "https://time.com/7295195/ai-chatgpt-google-learning-school/13" </w:instrText>
      </w:r>
      <w:r>
        <w:fldChar w:fldCharType="separate"/>
      </w:r>
      <w:r w:rsidRPr="004A6668">
        <w:rPr>
          <w:rStyle w:val="Hyperlink"/>
          <w:rFonts w:asciiTheme="minorHAnsi" w:hAnsiTheme="minorHAnsi"/>
          <w:sz w:val="20"/>
          <w:szCs w:val="20"/>
        </w:rPr>
        <w:t>https://time.com/7295195/ai-chatgpt-google-learning-school/13</w:t>
      </w:r>
      <w:r>
        <w:fldChar w:fldCharType="end"/>
      </w:r>
    </w:p>
  </w:footnote>
  <w:footnote w:id="13">
    <w:p w:rsidR="00F83E26" w:rsidRPr="004A6668" w:rsidP="00F83E26">
      <w:pPr>
        <w:spacing w:line="240" w:lineRule="auto"/>
        <w:ind w:left="360"/>
        <w:rPr>
          <w:rFonts w:asciiTheme="minorHAnsi" w:hAnsiTheme="minorHAnsi"/>
          <w:sz w:val="20"/>
          <w:szCs w:val="20"/>
        </w:rPr>
      </w:pPr>
      <w:r w:rsidRPr="004A6668">
        <w:rPr>
          <w:rStyle w:val="FootnoteReference"/>
          <w:sz w:val="20"/>
          <w:szCs w:val="20"/>
        </w:rPr>
        <w:footnoteRef/>
      </w:r>
      <w:r w:rsidRPr="004A6668">
        <w:rPr>
          <w:sz w:val="20"/>
          <w:szCs w:val="20"/>
        </w:rPr>
        <w:t xml:space="preserve"> </w:t>
      </w:r>
      <w:r w:rsidRPr="004A6668">
        <w:rPr>
          <w:rFonts w:asciiTheme="minorHAnsi" w:hAnsiTheme="minorHAnsi"/>
          <w:sz w:val="20"/>
          <w:szCs w:val="20"/>
        </w:rPr>
        <w:t>Kosmyna, N. et al. (2025) ‘Your brain on ChatGPT: Accumulation of cognitive debt when using an AI assistant for essay writing task’, arXiv preprint arXiv:2506.08872, 4.3</w:t>
      </w:r>
    </w:p>
    <w:p w:rsidR="00F83E26" w:rsidP="00F83E26">
      <w:pPr>
        <w:pStyle w:val="FootnoteText"/>
      </w:pPr>
    </w:p>
  </w:footnote>
  <w:footnote w:id="14">
    <w:p w:rsidR="00F83E26" w:rsidRPr="004A4865" w:rsidP="00F83E26">
      <w:pPr>
        <w:spacing w:line="240" w:lineRule="auto"/>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Arantes, J., Buchanan, R., &amp; Goriss-Hunter, A. (2025). Investigating digital poverty and the new forms of agency and advocacy needed in Initial Teacher Education. Asia-Pacific Journal of Teacher Education, 53(2), 191-206.</w:t>
      </w:r>
    </w:p>
  </w:footnote>
  <w:footnote w:id="15">
    <w:p w:rsidR="00F83E26" w:rsidRPr="004A4865" w:rsidP="00F83E26">
      <w:pPr>
        <w:spacing w:line="240" w:lineRule="auto"/>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Butcher, J., &amp; Curry, G. (2022). Digital poverty as a barrier to access. Widening Participation and Lifelong Learning, 24(2), 180-194.</w:t>
      </w:r>
    </w:p>
  </w:footnote>
  <w:footnote w:id="16">
    <w:p w:rsidR="00F83E26" w:rsidRPr="004A4865" w:rsidP="00F83E26">
      <w:pPr>
        <w:spacing w:line="240" w:lineRule="auto"/>
        <w:rPr>
          <w:rFonts w:asciiTheme="minorHAnsi" w:hAnsiTheme="minorHAnsi"/>
          <w:sz w:val="20"/>
          <w:szCs w:val="20"/>
        </w:rPr>
      </w:pPr>
      <w:r w:rsidRPr="004A4865">
        <w:rPr>
          <w:rStyle w:val="FootnoteReference"/>
          <w:sz w:val="20"/>
          <w:szCs w:val="20"/>
        </w:rPr>
        <w:footnoteRef/>
      </w:r>
      <w:r w:rsidRPr="004A4865">
        <w:rPr>
          <w:sz w:val="20"/>
          <w:szCs w:val="20"/>
        </w:rPr>
        <w:t xml:space="preserve"> </w:t>
      </w:r>
      <w:r w:rsidRPr="004A4865">
        <w:rPr>
          <w:rFonts w:asciiTheme="minorHAnsi" w:hAnsiTheme="minorHAnsi"/>
          <w:sz w:val="20"/>
          <w:szCs w:val="20"/>
        </w:rPr>
        <w:t>Fox, S. (2016). An equitable education in the digital age: Providing internet access to students of poverty. Journal of Education &amp; Social Policy, 3(3), 12-20.</w:t>
      </w:r>
    </w:p>
  </w:footnote>
  <w:footnote w:id="17">
    <w:p w:rsidR="00F83E26" w:rsidP="00F83E26">
      <w:pPr>
        <w:pStyle w:val="FootnoteText"/>
      </w:pPr>
      <w:r>
        <w:rPr>
          <w:rStyle w:val="FootnoteReference"/>
        </w:rPr>
        <w:footnoteRef/>
      </w:r>
      <w:r>
        <w:t xml:space="preserve"> </w:t>
      </w:r>
      <w:r w:rsidRPr="004A4865">
        <w:rPr>
          <w:rFonts w:asciiTheme="minorHAnsi" w:hAnsiTheme="minorHAnsi"/>
        </w:rPr>
        <w:t>Montano, S. &amp; Manson, I.T. (2024) ‘Responsible marketing and consumption start with changing mindsets: How educators can embed responsible marketing and consumption into curricula’, in Responsible Marketing for Well-being and Society. Routledge, pp. 84–100.3</w:t>
      </w:r>
    </w:p>
  </w:footnote>
  <w:footnote w:id="18">
    <w:p w:rsidR="00F83E26" w:rsidRPr="00BF1330" w:rsidP="00F83E26">
      <w:pPr>
        <w:spacing w:line="240" w:lineRule="auto"/>
        <w:rPr>
          <w:rFonts w:asciiTheme="minorHAnsi" w:hAnsiTheme="minorHAnsi"/>
          <w:sz w:val="22"/>
        </w:rPr>
      </w:pPr>
      <w:r>
        <w:rPr>
          <w:rStyle w:val="FootnoteReference"/>
        </w:rPr>
        <w:footnoteRef/>
      </w:r>
      <w:r>
        <w:t xml:space="preserve"> </w:t>
      </w:r>
      <w:r w:rsidRPr="004A4865">
        <w:rPr>
          <w:rFonts w:asciiTheme="minorHAnsi" w:hAnsiTheme="minorHAnsi"/>
          <w:sz w:val="20"/>
          <w:szCs w:val="20"/>
        </w:rPr>
        <w:t>Montano, S. &amp; Toral, I. (2026)</w:t>
      </w:r>
      <w:r w:rsidRPr="004A4865">
        <w:rPr>
          <w:rFonts w:asciiTheme="minorHAnsi" w:hAnsiTheme="minorHAnsi"/>
          <w:color w:val="000000" w:themeColor="text1"/>
          <w:sz w:val="20"/>
          <w:szCs w:val="20"/>
        </w:rPr>
        <w:t xml:space="preserve"> </w:t>
      </w:r>
      <w:r w:rsidRPr="004A4865">
        <w:rPr>
          <w:rStyle w:val="normaltextrun"/>
          <w:rFonts w:asciiTheme="minorHAnsi" w:hAnsiTheme="minorHAnsi"/>
          <w:color w:val="000000" w:themeColor="text1"/>
          <w:sz w:val="20"/>
          <w:szCs w:val="20"/>
          <w:shd w:val="clear" w:color="auto" w:fill="FFFFFF"/>
        </w:rPr>
        <w:t xml:space="preserve">Sparking Creativity: The juxtaposition of a digital detox to stimulate graduate skills, </w:t>
      </w:r>
      <w:r w:rsidRPr="004A4865">
        <w:rPr>
          <w:rStyle w:val="Strong"/>
          <w:rFonts w:asciiTheme="minorHAnsi" w:hAnsiTheme="minorHAnsi"/>
          <w:color w:val="000000" w:themeColor="text1"/>
          <w:sz w:val="20"/>
          <w:szCs w:val="20"/>
        </w:rPr>
        <w:t>32</w:t>
      </w:r>
      <w:r w:rsidRPr="004A4865">
        <w:rPr>
          <w:rStyle w:val="Strong"/>
          <w:rFonts w:asciiTheme="minorHAnsi" w:hAnsiTheme="minorHAnsi"/>
          <w:color w:val="000000" w:themeColor="text1"/>
          <w:sz w:val="20"/>
          <w:szCs w:val="20"/>
          <w:vertAlign w:val="superscript"/>
        </w:rPr>
        <w:t>nd</w:t>
      </w:r>
      <w:r w:rsidRPr="004A4865">
        <w:rPr>
          <w:rStyle w:val="Strong"/>
          <w:rFonts w:asciiTheme="minorHAnsi" w:hAnsiTheme="minorHAnsi"/>
          <w:color w:val="000000" w:themeColor="text1"/>
          <w:sz w:val="20"/>
          <w:szCs w:val="20"/>
        </w:rPr>
        <w:t xml:space="preserve"> Recent Advances in Retailing and Consumer Science Conference.</w:t>
      </w:r>
      <w:r w:rsidRPr="00BF1330">
        <w:rPr>
          <w:rStyle w:val="Strong"/>
          <w:rFonts w:asciiTheme="minorHAnsi" w:hAnsiTheme="minorHAnsi"/>
          <w:color w:val="000000" w:themeColor="text1"/>
          <w:sz w:val="22"/>
        </w:rPr>
        <w:t xml:space="preserve"> </w:t>
      </w:r>
    </w:p>
    <w:p w:rsidR="00F83E26" w:rsidP="00F83E26">
      <w:pPr>
        <w:pStyle w:val="FootnoteText"/>
      </w:pPr>
    </w:p>
  </w:footnote>
  <w:footnote w:id="19">
    <w:p w:rsidR="00F83E26" w:rsidP="00F83E26">
      <w:pPr>
        <w:pStyle w:val="FootnoteText"/>
      </w:pPr>
      <w:r>
        <w:rPr>
          <w:rStyle w:val="FootnoteReference"/>
        </w:rPr>
        <w:footnoteRef/>
      </w:r>
      <w:r>
        <w:t xml:space="preserve"> </w:t>
      </w:r>
      <w:r w:rsidRPr="004A4865">
        <w:rPr>
          <w:rFonts w:asciiTheme="minorHAnsi" w:hAnsiTheme="minorHAnsi"/>
        </w:rPr>
        <w:t>Montano, S. &amp; Manson, I.T. (2024) ‘Responsible marketing and consumption start with changing mindsets: How educators can embed responsible marketing and consumption into curricula’, in Responsible Marketing for Well-being and Society. Routledge, pp. 84–100.3</w:t>
      </w:r>
    </w:p>
  </w:footnote>
  <w:footnote w:id="20">
    <w:p w:rsidR="00F83E26" w:rsidRPr="004A4865" w:rsidP="00F83E26">
      <w:pPr>
        <w:spacing w:line="240" w:lineRule="auto"/>
        <w:rPr>
          <w:rFonts w:asciiTheme="minorHAnsi" w:hAnsiTheme="minorHAnsi"/>
          <w:sz w:val="20"/>
          <w:szCs w:val="20"/>
        </w:rPr>
      </w:pPr>
      <w:r>
        <w:rPr>
          <w:rStyle w:val="FootnoteReference"/>
        </w:rPr>
        <w:footnoteRef/>
      </w:r>
      <w:r>
        <w:t xml:space="preserve"> </w:t>
      </w:r>
      <w:r w:rsidRPr="004A4865">
        <w:rPr>
          <w:rFonts w:asciiTheme="minorHAnsi" w:hAnsiTheme="minorHAnsi"/>
          <w:sz w:val="20"/>
          <w:szCs w:val="20"/>
        </w:rPr>
        <w:t xml:space="preserve">Nussbaum, E. M. (2020). Critical integrative argumentation: Toward complexity in students’ thinking. </w:t>
      </w:r>
      <w:r w:rsidRPr="004A4865">
        <w:rPr>
          <w:rFonts w:asciiTheme="minorHAnsi" w:hAnsiTheme="minorHAnsi"/>
          <w:i/>
          <w:iCs/>
          <w:sz w:val="20"/>
          <w:szCs w:val="20"/>
        </w:rPr>
        <w:t>Educational Psychologist</w:t>
      </w:r>
      <w:r w:rsidRPr="004A4865">
        <w:rPr>
          <w:rFonts w:asciiTheme="minorHAnsi" w:hAnsiTheme="minorHAnsi"/>
          <w:sz w:val="20"/>
          <w:szCs w:val="20"/>
        </w:rPr>
        <w:t xml:space="preserve">, </w:t>
      </w:r>
      <w:r w:rsidRPr="004A4865">
        <w:rPr>
          <w:rFonts w:asciiTheme="minorHAnsi" w:hAnsiTheme="minorHAnsi"/>
          <w:i/>
          <w:iCs/>
          <w:sz w:val="20"/>
          <w:szCs w:val="20"/>
        </w:rPr>
        <w:t>56</w:t>
      </w:r>
      <w:r w:rsidRPr="004A4865">
        <w:rPr>
          <w:rFonts w:asciiTheme="minorHAnsi" w:hAnsiTheme="minorHAnsi"/>
          <w:sz w:val="20"/>
          <w:szCs w:val="20"/>
        </w:rPr>
        <w:t>(1), 1–17. https://doi.org/10.1080/00461520.2020.1845173</w:t>
      </w:r>
    </w:p>
    <w:p w:rsidR="00F83E26" w:rsidP="00F83E26">
      <w:pPr>
        <w:pStyle w:val="FootnoteText"/>
      </w:pPr>
    </w:p>
  </w:footnote>
  <w:footnote w:id="21">
    <w:p w:rsidR="00F83E26" w:rsidP="00F83E26">
      <w:pPr>
        <w:pStyle w:val="FootnoteText"/>
        <w:spacing w:before="240" w:beforeAutospacing="0" w:after="240" w:afterAutospacing="0"/>
        <w:rPr>
          <w:rFonts w:ascii="Aptos" w:hAnsi="Aptos" w:cs="Aptos"/>
          <w:color w:val="000000" w:themeColor="text1"/>
          <w:sz w:val="22"/>
          <w:szCs w:val="22"/>
        </w:rPr>
      </w:pPr>
      <w:r w:rsidRPr="47B3D2CD">
        <w:rPr>
          <w:rStyle w:val="FootnoteReference"/>
        </w:rPr>
        <w:footnoteRef/>
      </w:r>
      <w:r>
        <w:t xml:space="preserve"> </w:t>
      </w:r>
      <w:r w:rsidRPr="3B7BF0E1">
        <w:rPr>
          <w:rFonts w:ascii="Aptos" w:hAnsi="Aptos" w:cs="Aptos"/>
        </w:rPr>
        <w:t>Montano, S. &amp; Toral, I. (2026)</w:t>
      </w:r>
      <w:r w:rsidRPr="3B7BF0E1">
        <w:rPr>
          <w:rFonts w:ascii="Aptos" w:hAnsi="Aptos" w:cs="Aptos"/>
          <w:color w:val="000000" w:themeColor="text1"/>
        </w:rPr>
        <w:t xml:space="preserve"> Sparking Creativity: The juxtaposition of a digital detox to stimulate graduate skills, 32</w:t>
      </w:r>
      <w:r w:rsidRPr="3B7BF0E1">
        <w:rPr>
          <w:rFonts w:ascii="Aptos" w:hAnsi="Aptos" w:cs="Aptos"/>
          <w:color w:val="000000" w:themeColor="text1"/>
          <w:vertAlign w:val="superscript"/>
        </w:rPr>
        <w:t>nd</w:t>
      </w:r>
      <w:r w:rsidRPr="3B7BF0E1">
        <w:rPr>
          <w:rFonts w:ascii="Aptos" w:hAnsi="Aptos" w:cs="Aptos"/>
          <w:color w:val="000000" w:themeColor="text1"/>
        </w:rPr>
        <w:t xml:space="preserve"> Recent Advances in Retailing and Consumer Science Conference.</w:t>
      </w:r>
    </w:p>
  </w:footnote>
  <w:footnote w:id="22">
    <w:p w:rsidR="00F83E26" w:rsidP="00F83E26">
      <w:pPr>
        <w:pStyle w:val="FootnoteText"/>
      </w:pPr>
      <w:r>
        <w:rPr>
          <w:rStyle w:val="FootnoteReference"/>
        </w:rPr>
        <w:footnoteRef/>
      </w:r>
      <w:r>
        <w:t xml:space="preserve"> </w:t>
      </w:r>
      <w:r w:rsidRPr="004A4865">
        <w:rPr>
          <w:rFonts w:asciiTheme="minorHAnsi" w:hAnsiTheme="minorHAnsi"/>
        </w:rPr>
        <w:t>Karunarathne, W. and Calma, A. (2023) ‘Assessing creative thinking skills in higher education: deficits and improvements’, Studies in Higher Education, 49(1), pp. 157–177.32</w:t>
      </w:r>
    </w:p>
  </w:footnote>
  <w:footnote w:id="23">
    <w:p w:rsidR="00F83E26" w:rsidP="00F83E26">
      <w:pPr>
        <w:pStyle w:val="FootnoteText"/>
      </w:pPr>
      <w:r>
        <w:rPr>
          <w:rStyle w:val="FootnoteReference"/>
        </w:rPr>
        <w:footnoteRef/>
      </w:r>
      <w:r>
        <w:t xml:space="preserve"> </w:t>
      </w:r>
      <w:r w:rsidRPr="004A4865">
        <w:rPr>
          <w:rFonts w:asciiTheme="minorHAnsi" w:hAnsiTheme="minorHAnsi"/>
        </w:rPr>
        <w:t>Montano, S. &amp; Manson, I.T. (2024) ‘Responsible marketing and consumption start with changing mindsets: How educators can embed responsible marketing and consumption into curricula’, in Responsible Marketing for Well-being and Society. Routledge, pp. 84–100.3</w:t>
      </w:r>
    </w:p>
  </w:footnote>
  <w:footnote w:id="24">
    <w:p w:rsidR="00F83E26" w:rsidRPr="004A6668" w:rsidP="00F83E26">
      <w:pPr>
        <w:spacing w:line="240" w:lineRule="auto"/>
        <w:rPr>
          <w:rFonts w:asciiTheme="minorHAnsi" w:hAnsiTheme="minorHAnsi"/>
          <w:sz w:val="20"/>
          <w:szCs w:val="20"/>
        </w:rPr>
      </w:pPr>
      <w:r>
        <w:rPr>
          <w:rStyle w:val="FootnoteReference"/>
        </w:rPr>
        <w:footnoteRef/>
      </w:r>
      <w:r>
        <w:t xml:space="preserve"> </w:t>
      </w:r>
      <w:r w:rsidRPr="004A4865">
        <w:rPr>
          <w:rFonts w:asciiTheme="minorHAnsi" w:hAnsiTheme="minorHAnsi"/>
          <w:sz w:val="20"/>
          <w:szCs w:val="20"/>
        </w:rPr>
        <w:t>Toral, I. &amp; Montano, S. (2026). Detoxing Technology: Fostering Creativity and Innovation in Retail Education through the Transformative Skills Development Framework. University of Birmingham. Recent Advances in Retail and Consumer Services Conference (2026), (Upcoming)</w:t>
      </w:r>
    </w:p>
  </w:footnote>
  <w:footnote w:id="25">
    <w:p w:rsidR="00F83E26" w:rsidRPr="004A4865" w:rsidP="00F83E26">
      <w:pPr>
        <w:spacing w:line="240" w:lineRule="auto"/>
        <w:rPr>
          <w:rFonts w:asciiTheme="minorHAnsi" w:hAnsiTheme="minorHAnsi"/>
          <w:sz w:val="20"/>
          <w:szCs w:val="20"/>
        </w:rPr>
      </w:pPr>
    </w:p>
    <w:p w:rsidR="00F83E26" w:rsidP="00F83E26">
      <w:pPr>
        <w:pStyle w:val="FootnoteText"/>
      </w:pPr>
    </w:p>
  </w:footnote>
  <w:footnote w:id="26">
    <w:p w:rsidR="00F83E26" w:rsidRPr="004A6668" w:rsidP="00F83E26">
      <w:pPr>
        <w:spacing w:line="240" w:lineRule="auto"/>
        <w:ind w:left="360"/>
        <w:rPr>
          <w:rFonts w:asciiTheme="minorHAnsi" w:hAnsiTheme="minorHAnsi"/>
          <w:color w:val="000000" w:themeColor="text1"/>
          <w:sz w:val="20"/>
          <w:szCs w:val="20"/>
        </w:rPr>
      </w:pPr>
      <w:r>
        <w:rPr>
          <w:rStyle w:val="FootnoteReference"/>
        </w:rPr>
        <w:footnoteRef/>
      </w:r>
      <w:r>
        <w:t xml:space="preserve"> </w:t>
      </w:r>
      <w:r w:rsidRPr="004A4865">
        <w:rPr>
          <w:rFonts w:asciiTheme="minorHAnsi" w:hAnsiTheme="minorHAnsi"/>
          <w:sz w:val="20"/>
          <w:szCs w:val="20"/>
        </w:rPr>
        <w:t>Toral, I., &amp; Montano, S</w:t>
      </w:r>
      <w:r w:rsidRPr="004A4865">
        <w:rPr>
          <w:rStyle w:val="normaltextrun"/>
          <w:rFonts w:asciiTheme="minorHAnsi" w:hAnsiTheme="minorHAnsi"/>
          <w:color w:val="000000" w:themeColor="text1"/>
          <w:sz w:val="20"/>
          <w:szCs w:val="20"/>
          <w:shd w:val="clear" w:color="auto" w:fill="FFFFFF"/>
        </w:rPr>
        <w:t>. (2025) Enhancing Student Job Confidence and readiness through Sense-Making and Experiential Learning: A Multi-Level Approach</w:t>
      </w:r>
      <w:r w:rsidRPr="004A4865">
        <w:rPr>
          <w:rStyle w:val="eop"/>
          <w:rFonts w:asciiTheme="minorHAnsi" w:hAnsiTheme="minorHAnsi"/>
          <w:color w:val="000000" w:themeColor="text1"/>
          <w:sz w:val="20"/>
          <w:szCs w:val="20"/>
          <w:shd w:val="clear" w:color="auto" w:fill="FFFFFF"/>
        </w:rPr>
        <w:t xml:space="preserve">, </w:t>
      </w:r>
      <w:r w:rsidRPr="004A4865">
        <w:rPr>
          <w:rStyle w:val="Strong"/>
          <w:rFonts w:asciiTheme="minorHAnsi" w:hAnsiTheme="minorHAnsi"/>
          <w:color w:val="000000" w:themeColor="text1"/>
          <w:sz w:val="20"/>
          <w:szCs w:val="20"/>
        </w:rPr>
        <w:t>31</w:t>
      </w:r>
      <w:r w:rsidRPr="004A4865">
        <w:rPr>
          <w:rStyle w:val="Strong"/>
          <w:rFonts w:asciiTheme="minorHAnsi" w:hAnsiTheme="minorHAnsi"/>
          <w:color w:val="000000" w:themeColor="text1"/>
          <w:sz w:val="20"/>
          <w:szCs w:val="20"/>
          <w:vertAlign w:val="superscript"/>
        </w:rPr>
        <w:t>st</w:t>
      </w:r>
      <w:r w:rsidRPr="004A4865">
        <w:rPr>
          <w:rStyle w:val="Strong"/>
          <w:rFonts w:asciiTheme="minorHAnsi" w:hAnsiTheme="minorHAnsi"/>
          <w:color w:val="000000" w:themeColor="text1"/>
          <w:sz w:val="20"/>
          <w:szCs w:val="20"/>
        </w:rPr>
        <w:t xml:space="preserve"> Recent Advances in Retailing and Consumer Science Conference. </w:t>
      </w:r>
    </w:p>
  </w:footnote>
  <w:footnote w:id="27">
    <w:p w:rsidR="00F83E26" w:rsidRPr="004A4865" w:rsidP="00F83E26">
      <w:pPr>
        <w:spacing w:line="240" w:lineRule="auto"/>
        <w:ind w:left="360"/>
        <w:rPr>
          <w:rStyle w:val="Strong"/>
          <w:rFonts w:asciiTheme="minorHAnsi" w:hAnsiTheme="minorHAnsi"/>
          <w:b w:val="0"/>
          <w:bCs w:val="0"/>
          <w:sz w:val="20"/>
          <w:szCs w:val="20"/>
        </w:rPr>
      </w:pPr>
      <w:r>
        <w:rPr>
          <w:rStyle w:val="FootnoteReference"/>
        </w:rPr>
        <w:footnoteRef/>
      </w:r>
      <w:r>
        <w:t xml:space="preserve"> </w:t>
      </w:r>
      <w:r w:rsidRPr="004A4865">
        <w:rPr>
          <w:rFonts w:asciiTheme="minorHAnsi" w:hAnsiTheme="minorHAnsi"/>
          <w:sz w:val="20"/>
          <w:szCs w:val="20"/>
        </w:rPr>
        <w:t>Montano, S. &amp;</w:t>
      </w:r>
      <w:r>
        <w:rPr>
          <w:rFonts w:asciiTheme="minorHAnsi" w:hAnsiTheme="minorHAnsi"/>
          <w:sz w:val="20"/>
          <w:szCs w:val="20"/>
        </w:rPr>
        <w:t xml:space="preserve"> </w:t>
      </w:r>
      <w:r w:rsidRPr="004A4865">
        <w:rPr>
          <w:rFonts w:asciiTheme="minorHAnsi" w:hAnsiTheme="minorHAnsi"/>
          <w:sz w:val="20"/>
          <w:szCs w:val="20"/>
        </w:rPr>
        <w:t xml:space="preserve">Toral, I. (2025) </w:t>
      </w:r>
      <w:r w:rsidRPr="004A4865">
        <w:rPr>
          <w:rStyle w:val="normaltextrun"/>
          <w:rFonts w:asciiTheme="minorHAnsi" w:hAnsiTheme="minorHAnsi"/>
          <w:color w:val="000000"/>
          <w:sz w:val="20"/>
          <w:szCs w:val="20"/>
          <w:shd w:val="clear" w:color="auto" w:fill="FFFFFF"/>
        </w:rPr>
        <w:t>Experiential Learning and Authentic Assessment: Future Proofing Graduate Employabilit</w:t>
      </w:r>
      <w:r>
        <w:rPr>
          <w:rStyle w:val="normaltextrun"/>
          <w:rFonts w:asciiTheme="minorHAnsi" w:hAnsiTheme="minorHAnsi"/>
          <w:color w:val="000000"/>
          <w:sz w:val="20"/>
          <w:szCs w:val="20"/>
          <w:shd w:val="clear" w:color="auto" w:fill="FFFFFF"/>
        </w:rPr>
        <w:t>y</w:t>
      </w:r>
      <w:r w:rsidRPr="004A4865">
        <w:rPr>
          <w:rStyle w:val="normaltextrun"/>
          <w:rFonts w:asciiTheme="minorHAnsi" w:hAnsiTheme="minorHAnsi"/>
          <w:color w:val="000000"/>
          <w:sz w:val="20"/>
          <w:szCs w:val="20"/>
          <w:shd w:val="clear" w:color="auto" w:fill="FFFFFF"/>
        </w:rPr>
        <w:t>,</w:t>
      </w:r>
      <w:r w:rsidRPr="004A4865">
        <w:rPr>
          <w:rStyle w:val="normaltextrun"/>
          <w:rFonts w:asciiTheme="minorHAnsi" w:hAnsiTheme="minorHAnsi"/>
          <w:color w:val="000000" w:themeColor="text1"/>
          <w:sz w:val="20"/>
          <w:szCs w:val="20"/>
          <w:shd w:val="clear" w:color="auto" w:fill="FFFFFF"/>
        </w:rPr>
        <w:t xml:space="preserve"> </w:t>
      </w:r>
      <w:r w:rsidRPr="004A4865">
        <w:rPr>
          <w:rStyle w:val="Strong"/>
          <w:rFonts w:asciiTheme="minorHAnsi" w:hAnsiTheme="minorHAnsi"/>
          <w:color w:val="000000" w:themeColor="text1"/>
          <w:sz w:val="20"/>
          <w:szCs w:val="20"/>
        </w:rPr>
        <w:t>31</w:t>
      </w:r>
      <w:r w:rsidRPr="004A4865">
        <w:rPr>
          <w:rStyle w:val="Strong"/>
          <w:rFonts w:asciiTheme="minorHAnsi" w:hAnsiTheme="minorHAnsi"/>
          <w:color w:val="000000" w:themeColor="text1"/>
          <w:sz w:val="20"/>
          <w:szCs w:val="20"/>
          <w:vertAlign w:val="superscript"/>
        </w:rPr>
        <w:t>st</w:t>
      </w:r>
      <w:r w:rsidRPr="004A4865">
        <w:rPr>
          <w:rStyle w:val="Strong"/>
          <w:rFonts w:asciiTheme="minorHAnsi" w:hAnsiTheme="minorHAnsi"/>
          <w:color w:val="000000" w:themeColor="text1"/>
          <w:sz w:val="20"/>
          <w:szCs w:val="20"/>
        </w:rPr>
        <w:t xml:space="preserve"> Recent Advances in Retailing and Consumer Science Conference. </w:t>
      </w:r>
    </w:p>
    <w:p w:rsidR="00F83E26" w:rsidP="00F83E2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0F02BB"/>
    <w:multiLevelType w:val="multilevel"/>
    <w:tmpl w:val="E7F41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4283221"/>
    <w:multiLevelType w:val="hybridMultilevel"/>
    <w:tmpl w:val="D28A72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FD122AB"/>
    <w:multiLevelType w:val="hybridMultilevel"/>
    <w:tmpl w:val="D884C002"/>
    <w:lvl w:ilvl="0">
      <w:start w:val="2"/>
      <w:numFmt w:val="bullet"/>
      <w:lvlText w:val="-"/>
      <w:lvlJc w:val="left"/>
      <w:pPr>
        <w:ind w:left="720" w:hanging="360"/>
      </w:pPr>
      <w:rPr>
        <w:rFonts w:ascii="Aptos" w:hAnsi="Aptos"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3E26"/>
    <w:pPr>
      <w:spacing w:before="100" w:beforeAutospacing="1" w:after="100" w:afterAutospacing="1" w:line="360" w:lineRule="auto"/>
    </w:pPr>
    <w:rPr>
      <w:rFonts w:ascii="Times New Roman" w:eastAsia="Aptos" w:hAnsi="Times New Roman" w:cs="Times New Roman"/>
      <w:kern w:val="0"/>
      <w:sz w:val="24"/>
      <w:lang w:eastAsia="en-GB"/>
    </w:rPr>
  </w:style>
  <w:style w:type="paragraph" w:styleId="Heading1">
    <w:name w:val="heading 1"/>
    <w:basedOn w:val="Normal"/>
    <w:next w:val="Normal"/>
    <w:link w:val="Heading1Char"/>
    <w:uiPriority w:val="9"/>
    <w:qFormat/>
    <w:rsid w:val="00F83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26"/>
    <w:rPr>
      <w:rFonts w:eastAsiaTheme="majorEastAsia" w:cstheme="majorBidi"/>
      <w:color w:val="272727" w:themeColor="text1" w:themeTint="D8"/>
    </w:rPr>
  </w:style>
  <w:style w:type="paragraph" w:styleId="Title">
    <w:name w:val="Title"/>
    <w:basedOn w:val="Normal"/>
    <w:next w:val="Normal"/>
    <w:link w:val="TitleChar"/>
    <w:uiPriority w:val="10"/>
    <w:qFormat/>
    <w:rsid w:val="00F83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26"/>
    <w:pPr>
      <w:spacing w:before="160"/>
      <w:jc w:val="center"/>
    </w:pPr>
    <w:rPr>
      <w:i/>
      <w:iCs/>
      <w:color w:val="404040" w:themeColor="text1" w:themeTint="BF"/>
    </w:rPr>
  </w:style>
  <w:style w:type="character" w:customStyle="1" w:styleId="QuoteChar">
    <w:name w:val="Quote Char"/>
    <w:basedOn w:val="DefaultParagraphFont"/>
    <w:link w:val="Quote"/>
    <w:uiPriority w:val="29"/>
    <w:rsid w:val="00F83E26"/>
    <w:rPr>
      <w:i/>
      <w:iCs/>
      <w:color w:val="404040" w:themeColor="text1" w:themeTint="BF"/>
    </w:rPr>
  </w:style>
  <w:style w:type="paragraph" w:styleId="ListParagraph">
    <w:name w:val="List Paragraph"/>
    <w:basedOn w:val="Normal"/>
    <w:uiPriority w:val="34"/>
    <w:qFormat/>
    <w:rsid w:val="00F83E26"/>
    <w:pPr>
      <w:ind w:left="720"/>
      <w:contextualSpacing/>
    </w:pPr>
  </w:style>
  <w:style w:type="character" w:styleId="IntenseEmphasis">
    <w:name w:val="Intense Emphasis"/>
    <w:basedOn w:val="DefaultParagraphFont"/>
    <w:uiPriority w:val="21"/>
    <w:qFormat/>
    <w:rsid w:val="00F83E26"/>
    <w:rPr>
      <w:i/>
      <w:iCs/>
      <w:color w:val="0F4761" w:themeColor="accent1" w:themeShade="BF"/>
    </w:rPr>
  </w:style>
  <w:style w:type="paragraph" w:styleId="IntenseQuote">
    <w:name w:val="Intense Quote"/>
    <w:basedOn w:val="Normal"/>
    <w:next w:val="Normal"/>
    <w:link w:val="IntenseQuoteChar"/>
    <w:uiPriority w:val="30"/>
    <w:qFormat/>
    <w:rsid w:val="00F83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E26"/>
    <w:rPr>
      <w:i/>
      <w:iCs/>
      <w:color w:val="0F4761" w:themeColor="accent1" w:themeShade="BF"/>
    </w:rPr>
  </w:style>
  <w:style w:type="character" w:styleId="IntenseReference">
    <w:name w:val="Intense Reference"/>
    <w:basedOn w:val="DefaultParagraphFont"/>
    <w:uiPriority w:val="32"/>
    <w:qFormat/>
    <w:rsid w:val="00F83E26"/>
    <w:rPr>
      <w:b/>
      <w:bCs/>
      <w:smallCaps/>
      <w:color w:val="0F4761" w:themeColor="accent1" w:themeShade="BF"/>
      <w:spacing w:val="5"/>
    </w:rPr>
  </w:style>
  <w:style w:type="character" w:styleId="Hyperlink">
    <w:name w:val="Hyperlink"/>
    <w:basedOn w:val="DefaultParagraphFont"/>
    <w:uiPriority w:val="99"/>
    <w:unhideWhenUsed/>
    <w:rsid w:val="00F83E26"/>
    <w:rPr>
      <w:color w:val="467886" w:themeColor="hyperlink"/>
      <w:u w:val="single"/>
    </w:rPr>
  </w:style>
  <w:style w:type="character" w:customStyle="1" w:styleId="normaltextrun">
    <w:name w:val="normaltextrun"/>
    <w:basedOn w:val="DefaultParagraphFont"/>
    <w:rsid w:val="00F83E26"/>
  </w:style>
  <w:style w:type="character" w:styleId="Strong">
    <w:name w:val="Strong"/>
    <w:basedOn w:val="DefaultParagraphFont"/>
    <w:uiPriority w:val="22"/>
    <w:qFormat/>
    <w:rsid w:val="00F83E26"/>
    <w:rPr>
      <w:b/>
      <w:bCs/>
    </w:rPr>
  </w:style>
  <w:style w:type="character" w:customStyle="1" w:styleId="eop">
    <w:name w:val="eop"/>
    <w:basedOn w:val="DefaultParagraphFont"/>
    <w:rsid w:val="00F83E26"/>
  </w:style>
  <w:style w:type="paragraph" w:styleId="FootnoteText">
    <w:name w:val="footnote text"/>
    <w:basedOn w:val="Normal"/>
    <w:link w:val="FootnoteTextChar"/>
    <w:uiPriority w:val="99"/>
    <w:semiHidden/>
    <w:unhideWhenUsed/>
    <w:rsid w:val="00F83E2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83E26"/>
    <w:rPr>
      <w:rFonts w:ascii="Times New Roman" w:eastAsia="Aptos" w:hAnsi="Times New Roman" w:cs="Times New Roman"/>
      <w:kern w:val="0"/>
      <w:sz w:val="20"/>
      <w:szCs w:val="20"/>
      <w:lang w:eastAsia="en-GB"/>
    </w:rPr>
  </w:style>
  <w:style w:type="character" w:styleId="FootnoteReference">
    <w:name w:val="footnote reference"/>
    <w:basedOn w:val="DefaultParagraphFont"/>
    <w:uiPriority w:val="99"/>
    <w:semiHidden/>
    <w:unhideWhenUsed/>
    <w:rsid w:val="00F83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AIE0066</dc:title>
  <cp:revision>0</cp:revision>
</cp:coreProperties>
</file>