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1F30" w:rsidRPr="00E31F30" w:rsidP="00E31F30">
      <w:pPr>
        <w:jc w:val="center"/>
        <w:rPr>
          <w:b/>
          <w:bCs/>
          <w:sz w:val="32"/>
          <w:szCs w:val="32"/>
        </w:rPr>
      </w:pPr>
      <w:r w:rsidRPr="00E31F30">
        <w:rPr>
          <w:b/>
          <w:bCs/>
          <w:sz w:val="32"/>
          <w:szCs w:val="32"/>
        </w:rPr>
        <w:t>Written Evidence Submitted by Association of Colleges (CYM023</w:t>
      </w:r>
      <w:r w:rsidRPr="00E31F30">
        <w:rPr>
          <w:b/>
          <w:bCs/>
          <w:sz w:val="32"/>
          <w:szCs w:val="32"/>
        </w:rPr>
        <w:t>3</w:t>
      </w:r>
      <w:r w:rsidRPr="00E31F30">
        <w:rPr>
          <w:b/>
          <w:bCs/>
          <w:sz w:val="32"/>
          <w:szCs w:val="32"/>
        </w:rPr>
        <w:t>)</w:t>
      </w:r>
    </w:p>
    <w:p w:rsidR="00E31F30" w:rsidP="00FF62B1">
      <w:pPr>
        <w:spacing w:after="0" w:line="360" w:lineRule="auto"/>
        <w:rPr>
          <w:rFonts w:asciiTheme="majorBidi" w:hAnsiTheme="majorBidi" w:cstheme="majorBidi"/>
          <w:b/>
          <w:bCs/>
          <w:sz w:val="32"/>
          <w:szCs w:val="32"/>
        </w:rPr>
      </w:pPr>
      <w:r w:rsidRPr="00E31F30">
        <w:rPr>
          <w:rFonts w:asciiTheme="majorBidi" w:hAnsiTheme="majorBidi" w:cstheme="majorBidi"/>
          <w:b/>
          <w:bCs/>
          <w:sz w:val="32"/>
          <w:szCs w:val="32"/>
        </w:rPr>
        <w:br/>
      </w:r>
    </w:p>
    <w:p w:rsidR="00E31F30" w:rsidP="00FF62B1">
      <w:pPr>
        <w:spacing w:after="0" w:line="360" w:lineRule="auto"/>
        <w:rPr>
          <w:rFonts w:asciiTheme="majorBidi" w:hAnsiTheme="majorBidi" w:cstheme="majorBidi"/>
          <w:b/>
          <w:bCs/>
          <w:sz w:val="32"/>
          <w:szCs w:val="32"/>
        </w:rPr>
      </w:pPr>
    </w:p>
    <w:p w:rsidR="00E31F30" w:rsidP="00FF62B1">
      <w:pPr>
        <w:spacing w:after="0" w:line="360" w:lineRule="auto"/>
        <w:rPr>
          <w:rFonts w:asciiTheme="majorBidi" w:hAnsiTheme="majorBidi" w:cstheme="majorBidi"/>
          <w:b/>
          <w:bCs/>
          <w:sz w:val="32"/>
          <w:szCs w:val="32"/>
        </w:rPr>
      </w:pPr>
    </w:p>
    <w:p w:rsidR="00A2567D" w:rsidRPr="003725B1" w:rsidP="00FF62B1">
      <w:pPr>
        <w:spacing w:after="0" w:line="360" w:lineRule="auto"/>
        <w:rPr>
          <w:rFonts w:asciiTheme="majorBidi" w:hAnsiTheme="majorBidi" w:cstheme="majorBidi"/>
          <w:b/>
          <w:bCs/>
          <w:sz w:val="32"/>
          <w:szCs w:val="32"/>
        </w:rPr>
      </w:pPr>
      <w:r w:rsidRPr="003725B1">
        <w:rPr>
          <w:rFonts w:asciiTheme="majorBidi" w:hAnsiTheme="majorBidi" w:cstheme="majorBidi"/>
          <w:b/>
          <w:bCs/>
          <w:sz w:val="32"/>
          <w:szCs w:val="32"/>
        </w:rPr>
        <w:t xml:space="preserve">Written Evidence Submission: </w:t>
      </w:r>
      <w:r w:rsidRPr="003725B1">
        <w:rPr>
          <w:rFonts w:asciiTheme="majorBidi" w:hAnsiTheme="majorBidi" w:cstheme="majorBidi"/>
          <w:b/>
          <w:bCs/>
          <w:sz w:val="32"/>
          <w:szCs w:val="32"/>
        </w:rPr>
        <w:t>Dr Ladan Hashemi</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This submission draws on three recent studies using longitudinal data from the </w:t>
      </w:r>
      <w:r w:rsidRPr="00FF62B1">
        <w:rPr>
          <w:rFonts w:asciiTheme="majorBidi" w:hAnsiTheme="majorBidi" w:cstheme="majorBidi"/>
          <w:i/>
          <w:iCs/>
        </w:rPr>
        <w:t>Growing Up in New Zealand</w:t>
      </w:r>
      <w:r w:rsidRPr="00FF62B1">
        <w:rPr>
          <w:rFonts w:asciiTheme="majorBidi" w:hAnsiTheme="majorBidi" w:cstheme="majorBidi"/>
        </w:rPr>
        <w:t xml:space="preserve"> cohort, which provides robust evidence on how early adversity affects young people’s development, including mental health and school engagement, and identifies protective factors that can mitigate these effects. While the data are from New Zealand, the findings are highly relevant to the UK context given comparable prevalence and patterns of adversity across high-income countries (Ghasemi</w:t>
      </w:r>
      <w:r w:rsidRPr="00FF62B1">
        <w:rPr>
          <w:rFonts w:asciiTheme="majorBidi" w:hAnsiTheme="majorBidi" w:cstheme="majorBidi"/>
        </w:rPr>
        <w:t>, M</w:t>
      </w:r>
      <w:r w:rsidRPr="00FF62B1">
        <w:rPr>
          <w:rFonts w:asciiTheme="majorBidi" w:hAnsiTheme="majorBidi" w:cstheme="majorBidi"/>
        </w:rPr>
        <w:t xml:space="preserve">., </w:t>
      </w:r>
      <w:r w:rsidRPr="00FF62B1">
        <w:rPr>
          <w:rFonts w:asciiTheme="majorBidi" w:hAnsiTheme="majorBidi" w:cstheme="majorBidi"/>
        </w:rPr>
        <w:t>Meissel</w:t>
      </w:r>
      <w:r w:rsidRPr="00FF62B1">
        <w:rPr>
          <w:rFonts w:asciiTheme="majorBidi" w:hAnsiTheme="majorBidi" w:cstheme="majorBidi"/>
        </w:rPr>
        <w:t xml:space="preserve">, K., </w:t>
      </w:r>
      <w:r w:rsidRPr="00FF62B1">
        <w:rPr>
          <w:rFonts w:asciiTheme="majorBidi" w:hAnsiTheme="majorBidi" w:cstheme="majorBidi"/>
        </w:rPr>
        <w:t xml:space="preserve">McIntosh, </w:t>
      </w:r>
      <w:r w:rsidRPr="00FF62B1">
        <w:rPr>
          <w:rFonts w:asciiTheme="majorBidi" w:hAnsiTheme="majorBidi" w:cstheme="majorBidi"/>
        </w:rPr>
        <w:t>T.</w:t>
      </w:r>
      <w:r w:rsidRPr="00FF62B1">
        <w:rPr>
          <w:rFonts w:asciiTheme="majorBidi" w:hAnsiTheme="majorBidi" w:cstheme="majorBidi"/>
        </w:rPr>
        <w:t>,</w:t>
      </w:r>
      <w:r w:rsidRPr="00FF62B1">
        <w:rPr>
          <w:rFonts w:asciiTheme="majorBidi" w:hAnsiTheme="majorBidi" w:cstheme="majorBidi"/>
        </w:rPr>
        <w:t xml:space="preserve"> Hashemi, L.</w:t>
      </w:r>
      <w:r w:rsidRPr="00FF62B1">
        <w:rPr>
          <w:rFonts w:asciiTheme="majorBidi" w:hAnsiTheme="majorBidi" w:cstheme="majorBidi"/>
        </w:rPr>
        <w:t xml:space="preserve"> forthcoming).</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Key messages</w:t>
      </w:r>
    </w:p>
    <w:p w:rsidR="00A2567D" w:rsidRPr="00FF62B1" w:rsidP="00FF62B1">
      <w:pPr>
        <w:numPr>
          <w:ilvl w:val="0"/>
          <w:numId w:val="1"/>
        </w:numPr>
        <w:spacing w:after="0" w:line="360" w:lineRule="auto"/>
        <w:ind w:left="0" w:firstLine="0"/>
        <w:rPr>
          <w:rFonts w:asciiTheme="majorBidi" w:hAnsiTheme="majorBidi" w:cstheme="majorBidi"/>
        </w:rPr>
      </w:pPr>
      <w:r w:rsidRPr="00FF62B1">
        <w:rPr>
          <w:rFonts w:asciiTheme="majorBidi" w:hAnsiTheme="majorBidi" w:cstheme="majorBidi"/>
        </w:rPr>
        <w:t xml:space="preserve">Early adversity (Adverse Childhood Experiences or ACEs) is common and strongly linked to poorer mental health and reduced engagement with education. </w:t>
      </w:r>
    </w:p>
    <w:p w:rsidR="00A2567D" w:rsidRPr="00FF62B1" w:rsidP="00FF62B1">
      <w:pPr>
        <w:numPr>
          <w:ilvl w:val="0"/>
          <w:numId w:val="1"/>
        </w:numPr>
        <w:spacing w:after="0" w:line="360" w:lineRule="auto"/>
        <w:ind w:left="0" w:firstLine="0"/>
        <w:rPr>
          <w:rFonts w:asciiTheme="majorBidi" w:hAnsiTheme="majorBidi" w:cstheme="majorBidi"/>
        </w:rPr>
      </w:pPr>
      <w:r w:rsidRPr="00FF62B1">
        <w:rPr>
          <w:rFonts w:asciiTheme="majorBidi" w:hAnsiTheme="majorBidi" w:cstheme="majorBidi"/>
        </w:rPr>
        <w:t xml:space="preserve">Current approaches risk </w:t>
      </w:r>
      <w:r w:rsidRPr="00FF62B1">
        <w:rPr>
          <w:rFonts w:asciiTheme="majorBidi" w:hAnsiTheme="majorBidi" w:cstheme="majorBidi"/>
          <w:b/>
          <w:bCs/>
        </w:rPr>
        <w:t>under-identifying children in need</w:t>
      </w:r>
      <w:r w:rsidRPr="00FF62B1">
        <w:rPr>
          <w:rFonts w:asciiTheme="majorBidi" w:hAnsiTheme="majorBidi" w:cstheme="majorBidi"/>
        </w:rPr>
        <w:t xml:space="preserve">, due to narrow definitions and measurement of adversity. </w:t>
      </w:r>
    </w:p>
    <w:p w:rsidR="00A2567D" w:rsidRPr="00FF62B1" w:rsidP="00FF62B1">
      <w:pPr>
        <w:numPr>
          <w:ilvl w:val="0"/>
          <w:numId w:val="1"/>
        </w:numPr>
        <w:spacing w:after="0" w:line="360" w:lineRule="auto"/>
        <w:ind w:left="0" w:firstLine="0"/>
        <w:rPr>
          <w:rFonts w:asciiTheme="majorBidi" w:hAnsiTheme="majorBidi" w:cstheme="majorBidi"/>
        </w:rPr>
      </w:pPr>
      <w:r w:rsidRPr="00FF62B1">
        <w:rPr>
          <w:rFonts w:asciiTheme="majorBidi" w:hAnsiTheme="majorBidi" w:cstheme="majorBidi"/>
          <w:b/>
          <w:bCs/>
        </w:rPr>
        <w:t>School engagement is a critical, observable early indicator of mental health risk</w:t>
      </w:r>
      <w:r w:rsidRPr="00FF62B1">
        <w:rPr>
          <w:rFonts w:asciiTheme="majorBidi" w:hAnsiTheme="majorBidi" w:cstheme="majorBidi"/>
        </w:rPr>
        <w:t xml:space="preserve"> and should be prioritised in education settings. </w:t>
      </w:r>
    </w:p>
    <w:p w:rsidR="00A2567D" w:rsidRPr="00FF62B1" w:rsidP="00FF62B1">
      <w:pPr>
        <w:numPr>
          <w:ilvl w:val="0"/>
          <w:numId w:val="1"/>
        </w:numPr>
        <w:spacing w:after="0" w:line="360" w:lineRule="auto"/>
        <w:ind w:left="0" w:firstLine="0"/>
        <w:rPr>
          <w:rFonts w:asciiTheme="majorBidi" w:hAnsiTheme="majorBidi" w:cstheme="majorBidi"/>
        </w:rPr>
      </w:pPr>
      <w:r w:rsidRPr="00FF62B1">
        <w:rPr>
          <w:rFonts w:asciiTheme="majorBidi" w:hAnsiTheme="majorBidi" w:cstheme="majorBidi"/>
          <w:b/>
          <w:bCs/>
        </w:rPr>
        <w:t>Supportive relationships with trusted adults</w:t>
      </w:r>
      <w:r w:rsidRPr="00FF62B1">
        <w:rPr>
          <w:rFonts w:asciiTheme="majorBidi" w:hAnsiTheme="majorBidi" w:cstheme="majorBidi"/>
        </w:rPr>
        <w:t xml:space="preserve"> are one of the most effective protective factors. </w:t>
      </w:r>
    </w:p>
    <w:p w:rsidR="00A2567D" w:rsidRPr="00FF62B1" w:rsidP="00FF62B1">
      <w:pPr>
        <w:numPr>
          <w:ilvl w:val="0"/>
          <w:numId w:val="1"/>
        </w:numPr>
        <w:spacing w:after="0" w:line="360" w:lineRule="auto"/>
        <w:ind w:left="0" w:firstLine="0"/>
        <w:rPr>
          <w:rFonts w:asciiTheme="majorBidi" w:hAnsiTheme="majorBidi" w:cstheme="majorBidi"/>
        </w:rPr>
      </w:pPr>
      <w:r w:rsidRPr="00FF62B1">
        <w:rPr>
          <w:rFonts w:asciiTheme="majorBidi" w:hAnsiTheme="majorBidi" w:cstheme="majorBidi"/>
        </w:rPr>
        <w:t xml:space="preserve">Mental health support systems must move beyond crisis thresholds and adopt </w:t>
      </w:r>
      <w:r w:rsidRPr="00FF62B1">
        <w:rPr>
          <w:rFonts w:asciiTheme="majorBidi" w:hAnsiTheme="majorBidi" w:cstheme="majorBidi"/>
          <w:b/>
          <w:bCs/>
        </w:rPr>
        <w:t>early, relational, and system-wide approaches</w:t>
      </w:r>
      <w:r w:rsidRPr="00FF62B1">
        <w:rPr>
          <w:rFonts w:asciiTheme="majorBidi" w:hAnsiTheme="majorBidi" w:cstheme="majorBidi"/>
        </w:rPr>
        <w:t xml:space="preserve">.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1. The role of education and community settings</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1.1 Identification of mental health needs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Evidence from the studies shows that exposure to multiple adversities is associated with </w:t>
      </w:r>
      <w:r w:rsidRPr="00FF62B1">
        <w:rPr>
          <w:rFonts w:asciiTheme="majorBidi" w:hAnsiTheme="majorBidi" w:cstheme="majorBidi"/>
          <w:b/>
          <w:bCs/>
        </w:rPr>
        <w:t>lower school engagement over time</w:t>
      </w:r>
      <w:r w:rsidRPr="00FF62B1">
        <w:rPr>
          <w:rFonts w:asciiTheme="majorBidi" w:hAnsiTheme="majorBidi" w:cstheme="majorBidi"/>
        </w:rPr>
        <w:t xml:space="preserve">, including reduced motivation, participation, and sense of </w:t>
      </w:r>
      <w:r w:rsidRPr="00FF62B1">
        <w:rPr>
          <w:rFonts w:asciiTheme="majorBidi" w:hAnsiTheme="majorBidi" w:cstheme="majorBidi"/>
        </w:rPr>
        <w:t>belonging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School engagement is not only an educational outcome but also:</w:t>
      </w:r>
    </w:p>
    <w:p w:rsidR="00A2567D" w:rsidRPr="00FF62B1" w:rsidP="00FF62B1">
      <w:pPr>
        <w:numPr>
          <w:ilvl w:val="0"/>
          <w:numId w:val="2"/>
        </w:numPr>
        <w:spacing w:after="0" w:line="360" w:lineRule="auto"/>
        <w:ind w:left="0" w:firstLine="0"/>
        <w:rPr>
          <w:rFonts w:asciiTheme="majorBidi" w:hAnsiTheme="majorBidi" w:cstheme="majorBidi"/>
        </w:rPr>
      </w:pPr>
      <w:r w:rsidRPr="00FF62B1">
        <w:rPr>
          <w:rFonts w:asciiTheme="majorBidi" w:hAnsiTheme="majorBidi" w:cstheme="majorBidi"/>
        </w:rPr>
        <w:t xml:space="preserve">an </w:t>
      </w:r>
      <w:r w:rsidRPr="00FF62B1">
        <w:rPr>
          <w:rFonts w:asciiTheme="majorBidi" w:hAnsiTheme="majorBidi" w:cstheme="majorBidi"/>
          <w:b/>
          <w:bCs/>
        </w:rPr>
        <w:t>early warning indicator of mental health difficulties</w:t>
      </w:r>
      <w:r w:rsidRPr="00FF62B1">
        <w:rPr>
          <w:rFonts w:asciiTheme="majorBidi" w:hAnsiTheme="majorBidi" w:cstheme="majorBidi"/>
        </w:rPr>
        <w:t xml:space="preserve">, and </w:t>
      </w:r>
    </w:p>
    <w:p w:rsidR="00A2567D" w:rsidRPr="00FF62B1" w:rsidP="00FF62B1">
      <w:pPr>
        <w:numPr>
          <w:ilvl w:val="0"/>
          <w:numId w:val="2"/>
        </w:numPr>
        <w:spacing w:after="0" w:line="360" w:lineRule="auto"/>
        <w:ind w:left="0" w:firstLine="0"/>
        <w:rPr>
          <w:rFonts w:asciiTheme="majorBidi" w:hAnsiTheme="majorBidi" w:cstheme="majorBidi"/>
        </w:rPr>
      </w:pPr>
      <w:r w:rsidRPr="00FF62B1">
        <w:rPr>
          <w:rFonts w:asciiTheme="majorBidi" w:hAnsiTheme="majorBidi" w:cstheme="majorBidi"/>
        </w:rPr>
        <w:t xml:space="preserve">a </w:t>
      </w:r>
      <w:r w:rsidRPr="00FF62B1">
        <w:rPr>
          <w:rFonts w:asciiTheme="majorBidi" w:hAnsiTheme="majorBidi" w:cstheme="majorBidi"/>
          <w:b/>
          <w:bCs/>
        </w:rPr>
        <w:t>modifiable process</w:t>
      </w:r>
      <w:r w:rsidRPr="00FF62B1">
        <w:rPr>
          <w:rFonts w:asciiTheme="majorBidi" w:hAnsiTheme="majorBidi" w:cstheme="majorBidi"/>
        </w:rPr>
        <w:t xml:space="preserve">, observable by teachers.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However, current systems often rely on:</w:t>
      </w:r>
    </w:p>
    <w:p w:rsidR="00A2567D" w:rsidRPr="00FF62B1" w:rsidP="00FF62B1">
      <w:pPr>
        <w:numPr>
          <w:ilvl w:val="0"/>
          <w:numId w:val="3"/>
        </w:numPr>
        <w:spacing w:after="0" w:line="360" w:lineRule="auto"/>
        <w:ind w:left="0" w:firstLine="0"/>
        <w:rPr>
          <w:rFonts w:asciiTheme="majorBidi" w:hAnsiTheme="majorBidi" w:cstheme="majorBidi"/>
        </w:rPr>
      </w:pPr>
      <w:r w:rsidRPr="00FF62B1">
        <w:rPr>
          <w:rFonts w:asciiTheme="majorBidi" w:hAnsiTheme="majorBidi" w:cstheme="majorBidi"/>
        </w:rPr>
        <w:t xml:space="preserve">behavioural crises, or </w:t>
      </w:r>
    </w:p>
    <w:p w:rsidR="00A2567D" w:rsidRPr="00FF62B1" w:rsidP="00FF62B1">
      <w:pPr>
        <w:numPr>
          <w:ilvl w:val="0"/>
          <w:numId w:val="3"/>
        </w:numPr>
        <w:spacing w:after="0" w:line="360" w:lineRule="auto"/>
        <w:ind w:left="0" w:firstLine="0"/>
        <w:rPr>
          <w:rFonts w:asciiTheme="majorBidi" w:hAnsiTheme="majorBidi" w:cstheme="majorBidi"/>
        </w:rPr>
      </w:pPr>
      <w:r w:rsidRPr="00FF62B1">
        <w:rPr>
          <w:rFonts w:asciiTheme="majorBidi" w:hAnsiTheme="majorBidi" w:cstheme="majorBidi"/>
        </w:rPr>
        <w:t xml:space="preserve">clinical thresholds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before support is triggered.</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Implication:</w:t>
      </w:r>
      <w:r w:rsidRPr="00FF62B1">
        <w:rPr>
          <w:rFonts w:asciiTheme="majorBidi" w:hAnsiTheme="majorBidi" w:cstheme="majorBidi"/>
        </w:rPr>
        <w:br/>
        <w:t>Education settings are well placed to identify early signs of distress, but need:</w:t>
      </w:r>
    </w:p>
    <w:p w:rsidR="00A2567D" w:rsidRPr="00FF62B1" w:rsidP="00FF62B1">
      <w:pPr>
        <w:numPr>
          <w:ilvl w:val="0"/>
          <w:numId w:val="4"/>
        </w:numPr>
        <w:spacing w:after="0" w:line="360" w:lineRule="auto"/>
        <w:ind w:left="0" w:firstLine="0"/>
        <w:rPr>
          <w:rFonts w:asciiTheme="majorBidi" w:hAnsiTheme="majorBidi" w:cstheme="majorBidi"/>
        </w:rPr>
      </w:pPr>
      <w:r w:rsidRPr="00FF62B1">
        <w:rPr>
          <w:rFonts w:asciiTheme="majorBidi" w:hAnsiTheme="majorBidi" w:cstheme="majorBidi"/>
        </w:rPr>
        <w:t xml:space="preserve">better tools to recognise </w:t>
      </w:r>
      <w:r w:rsidRPr="00FF62B1">
        <w:rPr>
          <w:rFonts w:asciiTheme="majorBidi" w:hAnsiTheme="majorBidi" w:cstheme="majorBidi"/>
          <w:b/>
          <w:bCs/>
        </w:rPr>
        <w:t>subtle and cumulative risk</w:t>
      </w:r>
      <w:r w:rsidRPr="00FF62B1">
        <w:rPr>
          <w:rFonts w:asciiTheme="majorBidi" w:hAnsiTheme="majorBidi" w:cstheme="majorBidi"/>
        </w:rPr>
        <w:t xml:space="preserve">, and </w:t>
      </w:r>
    </w:p>
    <w:p w:rsidR="00A2567D" w:rsidRPr="00FF62B1" w:rsidP="00FF62B1">
      <w:pPr>
        <w:numPr>
          <w:ilvl w:val="0"/>
          <w:numId w:val="4"/>
        </w:numPr>
        <w:spacing w:after="0" w:line="360" w:lineRule="auto"/>
        <w:ind w:left="0" w:firstLine="0"/>
        <w:rPr>
          <w:rFonts w:asciiTheme="majorBidi" w:hAnsiTheme="majorBidi" w:cstheme="majorBidi"/>
        </w:rPr>
      </w:pPr>
      <w:r w:rsidRPr="00FF62B1">
        <w:rPr>
          <w:rFonts w:asciiTheme="majorBidi" w:hAnsiTheme="majorBidi" w:cstheme="majorBidi"/>
        </w:rPr>
        <w:t xml:space="preserve">frameworks that go beyond attendance or behaviour alone.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1.2 What role should education staff play?</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The evidence suggests that schools should play a </w:t>
      </w:r>
      <w:r w:rsidRPr="00FF62B1">
        <w:rPr>
          <w:rFonts w:asciiTheme="majorBidi" w:hAnsiTheme="majorBidi" w:cstheme="majorBidi"/>
          <w:b/>
          <w:bCs/>
        </w:rPr>
        <w:t>relational and preventative role</w:t>
      </w:r>
      <w:r w:rsidRPr="00FF62B1">
        <w:rPr>
          <w:rFonts w:asciiTheme="majorBidi" w:hAnsiTheme="majorBidi" w:cstheme="majorBidi"/>
        </w:rPr>
        <w:t>, rather than acting as gatekeepers to specialist services.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A key finding is that:</w:t>
      </w:r>
    </w:p>
    <w:p w:rsidR="00A2567D" w:rsidRPr="00FF62B1" w:rsidP="00FF62B1">
      <w:pPr>
        <w:numPr>
          <w:ilvl w:val="0"/>
          <w:numId w:val="5"/>
        </w:numPr>
        <w:spacing w:after="0" w:line="360" w:lineRule="auto"/>
        <w:ind w:left="0" w:firstLine="0"/>
        <w:rPr>
          <w:rFonts w:asciiTheme="majorBidi" w:hAnsiTheme="majorBidi" w:cstheme="majorBidi"/>
        </w:rPr>
      </w:pPr>
      <w:r w:rsidRPr="00FF62B1">
        <w:rPr>
          <w:rFonts w:asciiTheme="majorBidi" w:hAnsiTheme="majorBidi" w:cstheme="majorBidi"/>
          <w:b/>
          <w:bCs/>
        </w:rPr>
        <w:t>supportive adult relationships significantly buffer the negative impact of adversity</w:t>
      </w:r>
      <w:r w:rsidRPr="00FF62B1">
        <w:rPr>
          <w:rFonts w:asciiTheme="majorBidi" w:hAnsiTheme="majorBidi" w:cstheme="majorBidi"/>
        </w:rPr>
        <w:t xml:space="preserve">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Importantly, protection is strongest when children have:</w:t>
      </w:r>
    </w:p>
    <w:p w:rsidR="00A2567D" w:rsidRPr="00FF62B1" w:rsidP="00FF62B1">
      <w:pPr>
        <w:numPr>
          <w:ilvl w:val="0"/>
          <w:numId w:val="6"/>
        </w:numPr>
        <w:spacing w:after="0" w:line="360" w:lineRule="auto"/>
        <w:ind w:left="0" w:firstLine="0"/>
        <w:rPr>
          <w:rFonts w:asciiTheme="majorBidi" w:hAnsiTheme="majorBidi" w:cstheme="majorBidi"/>
        </w:rPr>
      </w:pPr>
      <w:r w:rsidRPr="00FF62B1">
        <w:rPr>
          <w:rFonts w:asciiTheme="majorBidi" w:hAnsiTheme="majorBidi" w:cstheme="majorBidi"/>
          <w:b/>
          <w:bCs/>
        </w:rPr>
        <w:t>multiple trusted adults across settings</w:t>
      </w:r>
      <w:r w:rsidRPr="00FF62B1">
        <w:rPr>
          <w:rFonts w:asciiTheme="majorBidi" w:hAnsiTheme="majorBidi" w:cstheme="majorBidi"/>
        </w:rPr>
        <w:t xml:space="preserve"> (school, family, community)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This implies that all staff—not only specialists—have a role in:</w:t>
      </w:r>
    </w:p>
    <w:p w:rsidR="00A2567D" w:rsidRPr="00FF62B1" w:rsidP="00FF62B1">
      <w:pPr>
        <w:numPr>
          <w:ilvl w:val="0"/>
          <w:numId w:val="7"/>
        </w:numPr>
        <w:spacing w:after="0" w:line="360" w:lineRule="auto"/>
        <w:ind w:left="0" w:firstLine="0"/>
        <w:rPr>
          <w:rFonts w:asciiTheme="majorBidi" w:hAnsiTheme="majorBidi" w:cstheme="majorBidi"/>
        </w:rPr>
      </w:pPr>
      <w:r w:rsidRPr="00FF62B1">
        <w:rPr>
          <w:rFonts w:asciiTheme="majorBidi" w:hAnsiTheme="majorBidi" w:cstheme="majorBidi"/>
        </w:rPr>
        <w:t xml:space="preserve">building consistent, trusting relationships </w:t>
      </w:r>
    </w:p>
    <w:p w:rsidR="00A2567D" w:rsidRPr="00FF62B1" w:rsidP="00FF62B1">
      <w:pPr>
        <w:numPr>
          <w:ilvl w:val="0"/>
          <w:numId w:val="7"/>
        </w:numPr>
        <w:spacing w:after="0" w:line="360" w:lineRule="auto"/>
        <w:ind w:left="0" w:firstLine="0"/>
        <w:rPr>
          <w:rFonts w:asciiTheme="majorBidi" w:hAnsiTheme="majorBidi" w:cstheme="majorBidi"/>
        </w:rPr>
      </w:pPr>
      <w:r w:rsidRPr="00FF62B1">
        <w:rPr>
          <w:rFonts w:asciiTheme="majorBidi" w:hAnsiTheme="majorBidi" w:cstheme="majorBidi"/>
        </w:rPr>
        <w:t xml:space="preserve">fostering belonging and inclusion </w:t>
      </w:r>
    </w:p>
    <w:p w:rsidR="00A2567D" w:rsidRPr="00FF62B1" w:rsidP="00FF62B1">
      <w:pPr>
        <w:numPr>
          <w:ilvl w:val="0"/>
          <w:numId w:val="7"/>
        </w:numPr>
        <w:spacing w:after="0" w:line="360" w:lineRule="auto"/>
        <w:ind w:left="0" w:firstLine="0"/>
        <w:rPr>
          <w:rFonts w:asciiTheme="majorBidi" w:hAnsiTheme="majorBidi" w:cstheme="majorBidi"/>
        </w:rPr>
      </w:pPr>
      <w:r w:rsidRPr="00FF62B1">
        <w:rPr>
          <w:rFonts w:asciiTheme="majorBidi" w:hAnsiTheme="majorBidi" w:cstheme="majorBidi"/>
        </w:rPr>
        <w:t xml:space="preserve">supporting self-concept and confidence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What staff need:</w:t>
      </w:r>
    </w:p>
    <w:p w:rsidR="00A2567D" w:rsidRPr="00FF62B1" w:rsidP="00FF62B1">
      <w:pPr>
        <w:numPr>
          <w:ilvl w:val="0"/>
          <w:numId w:val="8"/>
        </w:numPr>
        <w:spacing w:after="0" w:line="360" w:lineRule="auto"/>
        <w:ind w:left="0" w:firstLine="0"/>
        <w:rPr>
          <w:rFonts w:asciiTheme="majorBidi" w:hAnsiTheme="majorBidi" w:cstheme="majorBidi"/>
        </w:rPr>
      </w:pPr>
      <w:r w:rsidRPr="00FF62B1">
        <w:rPr>
          <w:rFonts w:asciiTheme="majorBidi" w:hAnsiTheme="majorBidi" w:cstheme="majorBidi"/>
        </w:rPr>
        <w:t xml:space="preserve">Training in trauma-informed and developmentally informed practice </w:t>
      </w:r>
    </w:p>
    <w:p w:rsidR="00A2567D" w:rsidRPr="00FF62B1" w:rsidP="00FF62B1">
      <w:pPr>
        <w:numPr>
          <w:ilvl w:val="0"/>
          <w:numId w:val="8"/>
        </w:numPr>
        <w:spacing w:after="0" w:line="360" w:lineRule="auto"/>
        <w:ind w:left="0" w:firstLine="0"/>
        <w:rPr>
          <w:rFonts w:asciiTheme="majorBidi" w:hAnsiTheme="majorBidi" w:cstheme="majorBidi"/>
        </w:rPr>
      </w:pPr>
      <w:r w:rsidRPr="00FF62B1">
        <w:rPr>
          <w:rFonts w:asciiTheme="majorBidi" w:hAnsiTheme="majorBidi" w:cstheme="majorBidi"/>
        </w:rPr>
        <w:t xml:space="preserve">Time and capacity to build relationships </w:t>
      </w:r>
    </w:p>
    <w:p w:rsidR="00A2567D" w:rsidRPr="00FF62B1" w:rsidP="00FF62B1">
      <w:pPr>
        <w:numPr>
          <w:ilvl w:val="0"/>
          <w:numId w:val="8"/>
        </w:numPr>
        <w:spacing w:after="0" w:line="360" w:lineRule="auto"/>
        <w:ind w:left="0" w:firstLine="0"/>
        <w:rPr>
          <w:rFonts w:asciiTheme="majorBidi" w:hAnsiTheme="majorBidi" w:cstheme="majorBidi"/>
        </w:rPr>
      </w:pPr>
      <w:r w:rsidRPr="00FF62B1">
        <w:rPr>
          <w:rFonts w:asciiTheme="majorBidi" w:hAnsiTheme="majorBidi" w:cstheme="majorBidi"/>
        </w:rPr>
        <w:t xml:space="preserve">Institutional support (not additional unfunded responsibilities)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1.3 Limitations of current frameworks (e.g. Ofsted)</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Current accountability frameworks tend to prioritise:</w:t>
      </w:r>
    </w:p>
    <w:p w:rsidR="00A2567D" w:rsidRPr="00FF62B1" w:rsidP="00FF62B1">
      <w:pPr>
        <w:numPr>
          <w:ilvl w:val="0"/>
          <w:numId w:val="9"/>
        </w:numPr>
        <w:spacing w:after="0" w:line="360" w:lineRule="auto"/>
        <w:ind w:left="0" w:firstLine="0"/>
        <w:rPr>
          <w:rFonts w:asciiTheme="majorBidi" w:hAnsiTheme="majorBidi" w:cstheme="majorBidi"/>
        </w:rPr>
      </w:pPr>
      <w:r w:rsidRPr="00FF62B1">
        <w:rPr>
          <w:rFonts w:asciiTheme="majorBidi" w:hAnsiTheme="majorBidi" w:cstheme="majorBidi"/>
        </w:rPr>
        <w:t xml:space="preserve">attainment </w:t>
      </w:r>
    </w:p>
    <w:p w:rsidR="00A2567D" w:rsidRPr="00FF62B1" w:rsidP="00FF62B1">
      <w:pPr>
        <w:numPr>
          <w:ilvl w:val="0"/>
          <w:numId w:val="9"/>
        </w:numPr>
        <w:spacing w:after="0" w:line="360" w:lineRule="auto"/>
        <w:ind w:left="0" w:firstLine="0"/>
        <w:rPr>
          <w:rFonts w:asciiTheme="majorBidi" w:hAnsiTheme="majorBidi" w:cstheme="majorBidi"/>
        </w:rPr>
      </w:pPr>
      <w:r w:rsidRPr="00FF62B1">
        <w:rPr>
          <w:rFonts w:asciiTheme="majorBidi" w:hAnsiTheme="majorBidi" w:cstheme="majorBidi"/>
        </w:rPr>
        <w:t xml:space="preserve">attendance </w:t>
      </w:r>
    </w:p>
    <w:p w:rsidR="00A2567D" w:rsidRPr="00FF62B1" w:rsidP="00FF62B1">
      <w:pPr>
        <w:numPr>
          <w:ilvl w:val="0"/>
          <w:numId w:val="9"/>
        </w:numPr>
        <w:spacing w:after="0" w:line="360" w:lineRule="auto"/>
        <w:ind w:left="0" w:firstLine="0"/>
        <w:rPr>
          <w:rFonts w:asciiTheme="majorBidi" w:hAnsiTheme="majorBidi" w:cstheme="majorBidi"/>
        </w:rPr>
      </w:pPr>
      <w:r w:rsidRPr="00FF62B1">
        <w:rPr>
          <w:rFonts w:asciiTheme="majorBidi" w:hAnsiTheme="majorBidi" w:cstheme="majorBidi"/>
        </w:rPr>
        <w:t xml:space="preserve">behaviour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These do not adequately capture:</w:t>
      </w:r>
    </w:p>
    <w:p w:rsidR="00A2567D" w:rsidRPr="00FF62B1" w:rsidP="00FF62B1">
      <w:pPr>
        <w:numPr>
          <w:ilvl w:val="0"/>
          <w:numId w:val="10"/>
        </w:numPr>
        <w:spacing w:after="0" w:line="360" w:lineRule="auto"/>
        <w:ind w:left="0" w:firstLine="0"/>
        <w:rPr>
          <w:rFonts w:asciiTheme="majorBidi" w:hAnsiTheme="majorBidi" w:cstheme="majorBidi"/>
        </w:rPr>
      </w:pPr>
      <w:r w:rsidRPr="00FF62B1">
        <w:rPr>
          <w:rFonts w:asciiTheme="majorBidi" w:hAnsiTheme="majorBidi" w:cstheme="majorBidi"/>
        </w:rPr>
        <w:t xml:space="preserve">emotional engagement </w:t>
      </w:r>
    </w:p>
    <w:p w:rsidR="00A2567D" w:rsidRPr="00FF62B1" w:rsidP="00FF62B1">
      <w:pPr>
        <w:numPr>
          <w:ilvl w:val="0"/>
          <w:numId w:val="10"/>
        </w:numPr>
        <w:spacing w:after="0" w:line="360" w:lineRule="auto"/>
        <w:ind w:left="0" w:firstLine="0"/>
        <w:rPr>
          <w:rFonts w:asciiTheme="majorBidi" w:hAnsiTheme="majorBidi" w:cstheme="majorBidi"/>
        </w:rPr>
      </w:pPr>
      <w:r w:rsidRPr="00FF62B1">
        <w:rPr>
          <w:rFonts w:asciiTheme="majorBidi" w:hAnsiTheme="majorBidi" w:cstheme="majorBidi"/>
        </w:rPr>
        <w:t xml:space="preserve">sense of belonging </w:t>
      </w:r>
    </w:p>
    <w:p w:rsidR="00A2567D" w:rsidRPr="00FF62B1" w:rsidP="00FF62B1">
      <w:pPr>
        <w:numPr>
          <w:ilvl w:val="0"/>
          <w:numId w:val="10"/>
        </w:numPr>
        <w:spacing w:after="0" w:line="360" w:lineRule="auto"/>
        <w:ind w:left="0" w:firstLine="0"/>
        <w:rPr>
          <w:rFonts w:asciiTheme="majorBidi" w:hAnsiTheme="majorBidi" w:cstheme="majorBidi"/>
        </w:rPr>
      </w:pPr>
      <w:r w:rsidRPr="00FF62B1">
        <w:rPr>
          <w:rFonts w:asciiTheme="majorBidi" w:hAnsiTheme="majorBidi" w:cstheme="majorBidi"/>
        </w:rPr>
        <w:t xml:space="preserve">relational support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Yet these are </w:t>
      </w:r>
      <w:r w:rsidRPr="00FF62B1">
        <w:rPr>
          <w:rFonts w:asciiTheme="majorBidi" w:hAnsiTheme="majorBidi" w:cstheme="majorBidi"/>
          <w:b/>
          <w:bCs/>
        </w:rPr>
        <w:t>central to mental health and resilience</w:t>
      </w:r>
      <w:r w:rsidRPr="00FF62B1">
        <w:rPr>
          <w:rFonts w:asciiTheme="majorBidi" w:hAnsiTheme="majorBidi" w:cstheme="majorBidi"/>
        </w:rPr>
        <w:t>.</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Recommendation:</w:t>
      </w:r>
    </w:p>
    <w:p w:rsidR="00A2567D" w:rsidRPr="00FF62B1" w:rsidP="00FF62B1">
      <w:pPr>
        <w:numPr>
          <w:ilvl w:val="0"/>
          <w:numId w:val="11"/>
        </w:numPr>
        <w:spacing w:after="0" w:line="360" w:lineRule="auto"/>
        <w:ind w:left="0" w:firstLine="0"/>
        <w:rPr>
          <w:rFonts w:asciiTheme="majorBidi" w:hAnsiTheme="majorBidi" w:cstheme="majorBidi"/>
        </w:rPr>
      </w:pPr>
      <w:r w:rsidRPr="00FF62B1">
        <w:rPr>
          <w:rFonts w:asciiTheme="majorBidi" w:hAnsiTheme="majorBidi" w:cstheme="majorBidi"/>
        </w:rPr>
        <w:t xml:space="preserve">Include </w:t>
      </w:r>
      <w:r w:rsidRPr="00FF62B1">
        <w:rPr>
          <w:rFonts w:asciiTheme="majorBidi" w:hAnsiTheme="majorBidi" w:cstheme="majorBidi"/>
          <w:b/>
          <w:bCs/>
        </w:rPr>
        <w:t>student engagement and wellbeing indicators</w:t>
      </w:r>
      <w:r w:rsidRPr="00FF62B1">
        <w:rPr>
          <w:rFonts w:asciiTheme="majorBidi" w:hAnsiTheme="majorBidi" w:cstheme="majorBidi"/>
        </w:rPr>
        <w:t xml:space="preserve"> as core inspection metrics </w:t>
      </w:r>
    </w:p>
    <w:p w:rsidR="00A2567D" w:rsidRPr="00FF62B1" w:rsidP="00FF62B1">
      <w:pPr>
        <w:numPr>
          <w:ilvl w:val="0"/>
          <w:numId w:val="11"/>
        </w:numPr>
        <w:spacing w:after="0" w:line="360" w:lineRule="auto"/>
        <w:ind w:left="0" w:firstLine="0"/>
        <w:rPr>
          <w:rFonts w:asciiTheme="majorBidi" w:hAnsiTheme="majorBidi" w:cstheme="majorBidi"/>
        </w:rPr>
      </w:pPr>
      <w:r w:rsidRPr="00FF62B1">
        <w:rPr>
          <w:rFonts w:asciiTheme="majorBidi" w:hAnsiTheme="majorBidi" w:cstheme="majorBidi"/>
        </w:rPr>
        <w:t xml:space="preserve">Recognise schools that implement </w:t>
      </w:r>
      <w:r w:rsidRPr="00FF62B1">
        <w:rPr>
          <w:rFonts w:asciiTheme="majorBidi" w:hAnsiTheme="majorBidi" w:cstheme="majorBidi"/>
          <w:b/>
          <w:bCs/>
        </w:rPr>
        <w:t>trauma-informed, relational approaches</w:t>
      </w:r>
      <w:r w:rsidRPr="00FF62B1">
        <w:rPr>
          <w:rFonts w:asciiTheme="majorBidi" w:hAnsiTheme="majorBidi" w:cstheme="majorBidi"/>
        </w:rPr>
        <w:t xml:space="preserve">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1.4 Community-based approaches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The findings highlight that resilience is </w:t>
      </w:r>
      <w:r w:rsidRPr="00FF62B1">
        <w:rPr>
          <w:rFonts w:asciiTheme="majorBidi" w:hAnsiTheme="majorBidi" w:cstheme="majorBidi"/>
          <w:b/>
          <w:bCs/>
        </w:rPr>
        <w:t>multi-systemic</w:t>
      </w:r>
      <w:r w:rsidRPr="00FF62B1">
        <w:rPr>
          <w:rFonts w:asciiTheme="majorBidi" w:hAnsiTheme="majorBidi" w:cstheme="majorBidi"/>
        </w:rPr>
        <w:t>, not located within the child alone.</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Support is most effective when it is:</w:t>
      </w:r>
    </w:p>
    <w:p w:rsidR="00A2567D" w:rsidRPr="00FF62B1" w:rsidP="00FF62B1">
      <w:pPr>
        <w:numPr>
          <w:ilvl w:val="0"/>
          <w:numId w:val="12"/>
        </w:numPr>
        <w:spacing w:after="0" w:line="360" w:lineRule="auto"/>
        <w:ind w:left="0" w:firstLine="0"/>
        <w:rPr>
          <w:rFonts w:asciiTheme="majorBidi" w:hAnsiTheme="majorBidi" w:cstheme="majorBidi"/>
        </w:rPr>
      </w:pPr>
      <w:r w:rsidRPr="00FF62B1">
        <w:rPr>
          <w:rFonts w:asciiTheme="majorBidi" w:hAnsiTheme="majorBidi" w:cstheme="majorBidi"/>
        </w:rPr>
        <w:t xml:space="preserve">distributed across </w:t>
      </w:r>
      <w:r w:rsidRPr="00FF62B1">
        <w:rPr>
          <w:rFonts w:asciiTheme="majorBidi" w:hAnsiTheme="majorBidi" w:cstheme="majorBidi"/>
          <w:b/>
          <w:bCs/>
        </w:rPr>
        <w:t>family, school, and community systems</w:t>
      </w:r>
      <w:r w:rsidRPr="00FF62B1">
        <w:rPr>
          <w:rFonts w:asciiTheme="majorBidi" w:hAnsiTheme="majorBidi" w:cstheme="majorBidi"/>
        </w:rPr>
        <w:t xml:space="preserve"> </w:t>
      </w:r>
    </w:p>
    <w:p w:rsidR="00A2567D" w:rsidRPr="00FF62B1" w:rsidP="00FF62B1">
      <w:pPr>
        <w:numPr>
          <w:ilvl w:val="0"/>
          <w:numId w:val="12"/>
        </w:numPr>
        <w:spacing w:after="0" w:line="360" w:lineRule="auto"/>
        <w:ind w:left="0" w:firstLine="0"/>
        <w:rPr>
          <w:rFonts w:asciiTheme="majorBidi" w:hAnsiTheme="majorBidi" w:cstheme="majorBidi"/>
        </w:rPr>
      </w:pPr>
      <w:r w:rsidRPr="00FF62B1">
        <w:rPr>
          <w:rFonts w:asciiTheme="majorBidi" w:hAnsiTheme="majorBidi" w:cstheme="majorBidi"/>
        </w:rPr>
        <w:t xml:space="preserve">consistent and sustained over time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This supports investment in:</w:t>
      </w:r>
    </w:p>
    <w:p w:rsidR="00A2567D" w:rsidRPr="00FF62B1" w:rsidP="00FF62B1">
      <w:pPr>
        <w:numPr>
          <w:ilvl w:val="0"/>
          <w:numId w:val="13"/>
        </w:numPr>
        <w:spacing w:after="0" w:line="360" w:lineRule="auto"/>
        <w:ind w:left="0" w:firstLine="0"/>
        <w:rPr>
          <w:rFonts w:asciiTheme="majorBidi" w:hAnsiTheme="majorBidi" w:cstheme="majorBidi"/>
        </w:rPr>
      </w:pPr>
      <w:r w:rsidRPr="00FF62B1">
        <w:rPr>
          <w:rFonts w:asciiTheme="majorBidi" w:hAnsiTheme="majorBidi" w:cstheme="majorBidi"/>
        </w:rPr>
        <w:t xml:space="preserve">Early Support Hubs </w:t>
      </w:r>
    </w:p>
    <w:p w:rsidR="00A2567D" w:rsidRPr="00FF62B1" w:rsidP="00FF62B1">
      <w:pPr>
        <w:numPr>
          <w:ilvl w:val="0"/>
          <w:numId w:val="13"/>
        </w:numPr>
        <w:spacing w:after="0" w:line="360" w:lineRule="auto"/>
        <w:ind w:left="0" w:firstLine="0"/>
        <w:rPr>
          <w:rFonts w:asciiTheme="majorBidi" w:hAnsiTheme="majorBidi" w:cstheme="majorBidi"/>
        </w:rPr>
      </w:pPr>
      <w:r w:rsidRPr="00FF62B1">
        <w:rPr>
          <w:rFonts w:asciiTheme="majorBidi" w:hAnsiTheme="majorBidi" w:cstheme="majorBidi"/>
        </w:rPr>
        <w:t xml:space="preserve">Youth services </w:t>
      </w:r>
    </w:p>
    <w:p w:rsidR="00A2567D" w:rsidRPr="00FF62B1" w:rsidP="00FF62B1">
      <w:pPr>
        <w:numPr>
          <w:ilvl w:val="0"/>
          <w:numId w:val="13"/>
        </w:numPr>
        <w:spacing w:after="0" w:line="360" w:lineRule="auto"/>
        <w:ind w:left="0" w:firstLine="0"/>
        <w:rPr>
          <w:rFonts w:asciiTheme="majorBidi" w:hAnsiTheme="majorBidi" w:cstheme="majorBidi"/>
        </w:rPr>
      </w:pPr>
      <w:r w:rsidRPr="00FF62B1">
        <w:rPr>
          <w:rFonts w:asciiTheme="majorBidi" w:hAnsiTheme="majorBidi" w:cstheme="majorBidi"/>
        </w:rPr>
        <w:t xml:space="preserve">Family-based interventions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However, effectiveness depends on:</w:t>
      </w:r>
    </w:p>
    <w:p w:rsidR="00A2567D" w:rsidRPr="00FF62B1" w:rsidP="00FF62B1">
      <w:pPr>
        <w:numPr>
          <w:ilvl w:val="0"/>
          <w:numId w:val="14"/>
        </w:numPr>
        <w:spacing w:after="0" w:line="360" w:lineRule="auto"/>
        <w:ind w:left="0" w:firstLine="0"/>
        <w:rPr>
          <w:rFonts w:asciiTheme="majorBidi" w:hAnsiTheme="majorBidi" w:cstheme="majorBidi"/>
        </w:rPr>
      </w:pPr>
      <w:r w:rsidRPr="00FF62B1">
        <w:rPr>
          <w:rFonts w:asciiTheme="majorBidi" w:hAnsiTheme="majorBidi" w:cstheme="majorBidi"/>
        </w:rPr>
        <w:t xml:space="preserve">accessibility (including for marginalised groups) </w:t>
      </w:r>
    </w:p>
    <w:p w:rsidR="00A2567D" w:rsidRPr="00FF62B1" w:rsidP="00FF62B1">
      <w:pPr>
        <w:numPr>
          <w:ilvl w:val="0"/>
          <w:numId w:val="14"/>
        </w:numPr>
        <w:spacing w:after="0" w:line="360" w:lineRule="auto"/>
        <w:ind w:left="0" w:firstLine="0"/>
        <w:rPr>
          <w:rFonts w:asciiTheme="majorBidi" w:hAnsiTheme="majorBidi" w:cstheme="majorBidi"/>
        </w:rPr>
      </w:pPr>
      <w:r w:rsidRPr="00FF62B1">
        <w:rPr>
          <w:rFonts w:asciiTheme="majorBidi" w:hAnsiTheme="majorBidi" w:cstheme="majorBidi"/>
        </w:rPr>
        <w:t xml:space="preserve">integration with schools and NHS services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2. The role of NHS and specialist services</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2.1 Limitations of threshold-based models (CAMHS)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The evidence suggests that mental health difficulties linked to adversity:</w:t>
      </w:r>
    </w:p>
    <w:p w:rsidR="00A2567D" w:rsidRPr="00FF62B1" w:rsidP="00FF62B1">
      <w:pPr>
        <w:numPr>
          <w:ilvl w:val="0"/>
          <w:numId w:val="15"/>
        </w:numPr>
        <w:spacing w:after="0" w:line="360" w:lineRule="auto"/>
        <w:ind w:left="0" w:firstLine="0"/>
        <w:rPr>
          <w:rFonts w:asciiTheme="majorBidi" w:hAnsiTheme="majorBidi" w:cstheme="majorBidi"/>
        </w:rPr>
      </w:pPr>
      <w:r w:rsidRPr="00FF62B1">
        <w:rPr>
          <w:rFonts w:asciiTheme="majorBidi" w:hAnsiTheme="majorBidi" w:cstheme="majorBidi"/>
        </w:rPr>
        <w:t xml:space="preserve">develop gradually </w:t>
      </w:r>
    </w:p>
    <w:p w:rsidR="00A2567D" w:rsidRPr="00FF62B1" w:rsidP="00FF62B1">
      <w:pPr>
        <w:numPr>
          <w:ilvl w:val="0"/>
          <w:numId w:val="15"/>
        </w:numPr>
        <w:spacing w:after="0" w:line="360" w:lineRule="auto"/>
        <w:ind w:left="0" w:firstLine="0"/>
        <w:rPr>
          <w:rFonts w:asciiTheme="majorBidi" w:hAnsiTheme="majorBidi" w:cstheme="majorBidi"/>
        </w:rPr>
      </w:pPr>
      <w:r w:rsidRPr="00FF62B1">
        <w:rPr>
          <w:rFonts w:asciiTheme="majorBidi" w:hAnsiTheme="majorBidi" w:cstheme="majorBidi"/>
        </w:rPr>
        <w:t xml:space="preserve">are shaped by cumulative experiences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However, current systems rely on </w:t>
      </w:r>
      <w:r w:rsidRPr="00FF62B1">
        <w:rPr>
          <w:rFonts w:asciiTheme="majorBidi" w:hAnsiTheme="majorBidi" w:cstheme="majorBidi"/>
          <w:b/>
          <w:bCs/>
        </w:rPr>
        <w:t>high thresholds</w:t>
      </w:r>
      <w:r w:rsidRPr="00FF62B1">
        <w:rPr>
          <w:rFonts w:asciiTheme="majorBidi" w:hAnsiTheme="majorBidi" w:cstheme="majorBidi"/>
        </w:rPr>
        <w:t>, meaning:</w:t>
      </w:r>
    </w:p>
    <w:p w:rsidR="00A2567D" w:rsidRPr="00FF62B1" w:rsidP="00FF62B1">
      <w:pPr>
        <w:numPr>
          <w:ilvl w:val="0"/>
          <w:numId w:val="16"/>
        </w:numPr>
        <w:spacing w:after="0" w:line="360" w:lineRule="auto"/>
        <w:ind w:left="0" w:firstLine="0"/>
        <w:rPr>
          <w:rFonts w:asciiTheme="majorBidi" w:hAnsiTheme="majorBidi" w:cstheme="majorBidi"/>
        </w:rPr>
      </w:pPr>
      <w:r w:rsidRPr="00FF62B1">
        <w:rPr>
          <w:rFonts w:asciiTheme="majorBidi" w:hAnsiTheme="majorBidi" w:cstheme="majorBidi"/>
        </w:rPr>
        <w:t xml:space="preserve">many children with significant need do not qualify for support </w:t>
      </w:r>
    </w:p>
    <w:p w:rsidR="00A2567D" w:rsidRPr="00FF62B1" w:rsidP="00FF62B1">
      <w:pPr>
        <w:numPr>
          <w:ilvl w:val="0"/>
          <w:numId w:val="16"/>
        </w:numPr>
        <w:spacing w:after="0" w:line="360" w:lineRule="auto"/>
        <w:ind w:left="0" w:firstLine="0"/>
        <w:rPr>
          <w:rFonts w:asciiTheme="majorBidi" w:hAnsiTheme="majorBidi" w:cstheme="majorBidi"/>
        </w:rPr>
      </w:pPr>
      <w:r w:rsidRPr="00FF62B1">
        <w:rPr>
          <w:rFonts w:asciiTheme="majorBidi" w:hAnsiTheme="majorBidi" w:cstheme="majorBidi"/>
        </w:rPr>
        <w:t xml:space="preserve">problems escalate before intervention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Implication:</w:t>
      </w:r>
      <w:r w:rsidRPr="00FF62B1">
        <w:rPr>
          <w:rFonts w:asciiTheme="majorBidi" w:hAnsiTheme="majorBidi" w:cstheme="majorBidi"/>
        </w:rPr>
        <w:br/>
        <w:t>A large group of children fall into the “missing middle”:</w:t>
      </w:r>
    </w:p>
    <w:p w:rsidR="00A2567D" w:rsidRPr="00FF62B1" w:rsidP="00FF62B1">
      <w:pPr>
        <w:numPr>
          <w:ilvl w:val="0"/>
          <w:numId w:val="17"/>
        </w:numPr>
        <w:spacing w:after="0" w:line="360" w:lineRule="auto"/>
        <w:ind w:left="0" w:firstLine="0"/>
        <w:rPr>
          <w:rFonts w:asciiTheme="majorBidi" w:hAnsiTheme="majorBidi" w:cstheme="majorBidi"/>
        </w:rPr>
      </w:pPr>
      <w:r w:rsidRPr="00FF62B1">
        <w:rPr>
          <w:rFonts w:asciiTheme="majorBidi" w:hAnsiTheme="majorBidi" w:cstheme="majorBidi"/>
        </w:rPr>
        <w:t xml:space="preserve">not severe enough for CAMHS </w:t>
      </w:r>
    </w:p>
    <w:p w:rsidR="00A2567D" w:rsidRPr="00FF62B1" w:rsidP="00FF62B1">
      <w:pPr>
        <w:numPr>
          <w:ilvl w:val="0"/>
          <w:numId w:val="17"/>
        </w:numPr>
        <w:spacing w:after="0" w:line="360" w:lineRule="auto"/>
        <w:ind w:left="0" w:firstLine="0"/>
        <w:rPr>
          <w:rFonts w:asciiTheme="majorBidi" w:hAnsiTheme="majorBidi" w:cstheme="majorBidi"/>
        </w:rPr>
      </w:pPr>
      <w:r w:rsidRPr="00FF62B1">
        <w:rPr>
          <w:rFonts w:asciiTheme="majorBidi" w:hAnsiTheme="majorBidi" w:cstheme="majorBidi"/>
        </w:rPr>
        <w:t xml:space="preserve">but too complex for universal provision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2.2 Supporting those below thresholds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These studies </w:t>
      </w:r>
      <w:r w:rsidRPr="00FF62B1">
        <w:rPr>
          <w:rFonts w:asciiTheme="majorBidi" w:hAnsiTheme="majorBidi" w:cstheme="majorBidi"/>
        </w:rPr>
        <w:t>demonstrates</w:t>
      </w:r>
      <w:r w:rsidRPr="00FF62B1">
        <w:rPr>
          <w:rFonts w:asciiTheme="majorBidi" w:hAnsiTheme="majorBidi" w:cstheme="majorBidi"/>
        </w:rPr>
        <w:t xml:space="preserve"> that:</w:t>
      </w:r>
    </w:p>
    <w:p w:rsidR="00A2567D" w:rsidRPr="00FF62B1" w:rsidP="00FF62B1">
      <w:pPr>
        <w:numPr>
          <w:ilvl w:val="0"/>
          <w:numId w:val="18"/>
        </w:numPr>
        <w:spacing w:after="0" w:line="360" w:lineRule="auto"/>
        <w:ind w:left="0" w:firstLine="0"/>
        <w:rPr>
          <w:rFonts w:asciiTheme="majorBidi" w:hAnsiTheme="majorBidi" w:cstheme="majorBidi"/>
        </w:rPr>
      </w:pPr>
      <w:r w:rsidRPr="00FF62B1">
        <w:rPr>
          <w:rFonts w:asciiTheme="majorBidi" w:hAnsiTheme="majorBidi" w:cstheme="majorBidi"/>
        </w:rPr>
        <w:t xml:space="preserve">early adversity affects </w:t>
      </w:r>
      <w:r w:rsidRPr="00FF62B1">
        <w:rPr>
          <w:rFonts w:asciiTheme="majorBidi" w:hAnsiTheme="majorBidi" w:cstheme="majorBidi"/>
          <w:b/>
          <w:bCs/>
        </w:rPr>
        <w:t>self-concept</w:t>
      </w:r>
      <w:r w:rsidRPr="00FF62B1">
        <w:rPr>
          <w:rFonts w:asciiTheme="majorBidi" w:hAnsiTheme="majorBidi" w:cstheme="majorBidi"/>
        </w:rPr>
        <w:t xml:space="preserve">, which in turn influences engagement and wellbeing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This indicates that intervention should:</w:t>
      </w:r>
    </w:p>
    <w:p w:rsidR="00A2567D" w:rsidRPr="00FF62B1" w:rsidP="00FF62B1">
      <w:pPr>
        <w:numPr>
          <w:ilvl w:val="0"/>
          <w:numId w:val="19"/>
        </w:numPr>
        <w:spacing w:after="0" w:line="360" w:lineRule="auto"/>
        <w:ind w:left="0" w:firstLine="0"/>
        <w:rPr>
          <w:rFonts w:asciiTheme="majorBidi" w:hAnsiTheme="majorBidi" w:cstheme="majorBidi"/>
        </w:rPr>
      </w:pPr>
      <w:r w:rsidRPr="00FF62B1">
        <w:rPr>
          <w:rFonts w:asciiTheme="majorBidi" w:hAnsiTheme="majorBidi" w:cstheme="majorBidi"/>
        </w:rPr>
        <w:t xml:space="preserve">focus on </w:t>
      </w:r>
      <w:r w:rsidRPr="00FF62B1">
        <w:rPr>
          <w:rFonts w:asciiTheme="majorBidi" w:hAnsiTheme="majorBidi" w:cstheme="majorBidi"/>
          <w:b/>
          <w:bCs/>
        </w:rPr>
        <w:t>psychological processes (e.g. self-beliefs, belonging)</w:t>
      </w:r>
      <w:r w:rsidRPr="00FF62B1">
        <w:rPr>
          <w:rFonts w:asciiTheme="majorBidi" w:hAnsiTheme="majorBidi" w:cstheme="majorBidi"/>
        </w:rPr>
        <w:t xml:space="preserve"> </w:t>
      </w:r>
    </w:p>
    <w:p w:rsidR="00A2567D" w:rsidRPr="00FF62B1" w:rsidP="00FF62B1">
      <w:pPr>
        <w:numPr>
          <w:ilvl w:val="0"/>
          <w:numId w:val="19"/>
        </w:numPr>
        <w:spacing w:after="0" w:line="360" w:lineRule="auto"/>
        <w:ind w:left="0" w:firstLine="0"/>
        <w:rPr>
          <w:rFonts w:asciiTheme="majorBidi" w:hAnsiTheme="majorBidi" w:cstheme="majorBidi"/>
        </w:rPr>
      </w:pPr>
      <w:r w:rsidRPr="00FF62B1">
        <w:rPr>
          <w:rFonts w:asciiTheme="majorBidi" w:hAnsiTheme="majorBidi" w:cstheme="majorBidi"/>
        </w:rPr>
        <w:t xml:space="preserve">begin </w:t>
      </w:r>
      <w:r w:rsidRPr="00FF62B1">
        <w:rPr>
          <w:rFonts w:asciiTheme="majorBidi" w:hAnsiTheme="majorBidi" w:cstheme="majorBidi"/>
          <w:b/>
          <w:bCs/>
        </w:rPr>
        <w:t>before clinical symptoms become severe</w:t>
      </w:r>
      <w:r w:rsidRPr="00FF62B1">
        <w:rPr>
          <w:rFonts w:asciiTheme="majorBidi" w:hAnsiTheme="majorBidi" w:cstheme="majorBidi"/>
        </w:rPr>
        <w:t xml:space="preserve">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Recommendation:</w:t>
      </w:r>
    </w:p>
    <w:p w:rsidR="00A2567D" w:rsidRPr="00FF62B1" w:rsidP="00FF62B1">
      <w:pPr>
        <w:numPr>
          <w:ilvl w:val="0"/>
          <w:numId w:val="20"/>
        </w:numPr>
        <w:spacing w:after="0" w:line="360" w:lineRule="auto"/>
        <w:ind w:left="0" w:firstLine="0"/>
        <w:rPr>
          <w:rFonts w:asciiTheme="majorBidi" w:hAnsiTheme="majorBidi" w:cstheme="majorBidi"/>
        </w:rPr>
      </w:pPr>
      <w:r w:rsidRPr="00FF62B1">
        <w:rPr>
          <w:rFonts w:asciiTheme="majorBidi" w:hAnsiTheme="majorBidi" w:cstheme="majorBidi"/>
        </w:rPr>
        <w:t xml:space="preserve">Expand </w:t>
      </w:r>
      <w:r w:rsidRPr="00FF62B1">
        <w:rPr>
          <w:rFonts w:asciiTheme="majorBidi" w:hAnsiTheme="majorBidi" w:cstheme="majorBidi"/>
          <w:b/>
          <w:bCs/>
        </w:rPr>
        <w:t>low-intensity, early-intervention services</w:t>
      </w:r>
      <w:r w:rsidRPr="00FF62B1">
        <w:rPr>
          <w:rFonts w:asciiTheme="majorBidi" w:hAnsiTheme="majorBidi" w:cstheme="majorBidi"/>
        </w:rPr>
        <w:t xml:space="preserve"> </w:t>
      </w:r>
    </w:p>
    <w:p w:rsidR="00A2567D" w:rsidRPr="00FF62B1" w:rsidP="00FF62B1">
      <w:pPr>
        <w:numPr>
          <w:ilvl w:val="0"/>
          <w:numId w:val="20"/>
        </w:numPr>
        <w:spacing w:after="0" w:line="360" w:lineRule="auto"/>
        <w:ind w:left="0" w:firstLine="0"/>
        <w:rPr>
          <w:rFonts w:asciiTheme="majorBidi" w:hAnsiTheme="majorBidi" w:cstheme="majorBidi"/>
        </w:rPr>
      </w:pPr>
      <w:r w:rsidRPr="00FF62B1">
        <w:rPr>
          <w:rFonts w:asciiTheme="majorBidi" w:hAnsiTheme="majorBidi" w:cstheme="majorBidi"/>
        </w:rPr>
        <w:t xml:space="preserve">Embed support within schools and community settings </w:t>
      </w:r>
    </w:p>
    <w:p w:rsidR="00A2567D" w:rsidRPr="00FF62B1" w:rsidP="00FF62B1">
      <w:pPr>
        <w:numPr>
          <w:ilvl w:val="0"/>
          <w:numId w:val="20"/>
        </w:numPr>
        <w:spacing w:after="0" w:line="360" w:lineRule="auto"/>
        <w:ind w:left="0" w:firstLine="0"/>
        <w:rPr>
          <w:rFonts w:asciiTheme="majorBidi" w:hAnsiTheme="majorBidi" w:cstheme="majorBidi"/>
        </w:rPr>
      </w:pPr>
      <w:r w:rsidRPr="00FF62B1">
        <w:rPr>
          <w:rFonts w:asciiTheme="majorBidi" w:hAnsiTheme="majorBidi" w:cstheme="majorBidi"/>
        </w:rPr>
        <w:t xml:space="preserve">Reduce reliance on diagnosis as the entry point to care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3. Integration between education, NHS, and community services</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3.1 Early intervention and prevention</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The evidence strongly supports:</w:t>
      </w:r>
    </w:p>
    <w:p w:rsidR="00A2567D" w:rsidRPr="00FF62B1" w:rsidP="00FF62B1">
      <w:pPr>
        <w:numPr>
          <w:ilvl w:val="0"/>
          <w:numId w:val="21"/>
        </w:numPr>
        <w:spacing w:after="0" w:line="360" w:lineRule="auto"/>
        <w:ind w:left="0" w:firstLine="0"/>
        <w:rPr>
          <w:rFonts w:asciiTheme="majorBidi" w:hAnsiTheme="majorBidi" w:cstheme="majorBidi"/>
        </w:rPr>
      </w:pPr>
      <w:r w:rsidRPr="00FF62B1">
        <w:rPr>
          <w:rFonts w:asciiTheme="majorBidi" w:hAnsiTheme="majorBidi" w:cstheme="majorBidi"/>
        </w:rPr>
        <w:t xml:space="preserve">early, relational, and system-wide intervention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Key mechanisms identified:</w:t>
      </w:r>
    </w:p>
    <w:p w:rsidR="00A2567D" w:rsidRPr="00FF62B1" w:rsidP="00FF62B1">
      <w:pPr>
        <w:numPr>
          <w:ilvl w:val="0"/>
          <w:numId w:val="22"/>
        </w:numPr>
        <w:spacing w:after="0" w:line="360" w:lineRule="auto"/>
        <w:ind w:left="0" w:firstLine="0"/>
        <w:rPr>
          <w:rFonts w:asciiTheme="majorBidi" w:hAnsiTheme="majorBidi" w:cstheme="majorBidi"/>
        </w:rPr>
      </w:pPr>
      <w:r w:rsidRPr="00FF62B1">
        <w:rPr>
          <w:rFonts w:asciiTheme="majorBidi" w:hAnsiTheme="majorBidi" w:cstheme="majorBidi"/>
          <w:b/>
          <w:bCs/>
        </w:rPr>
        <w:t>Self-concept</w:t>
      </w:r>
      <w:r w:rsidRPr="00FF62B1">
        <w:rPr>
          <w:rFonts w:asciiTheme="majorBidi" w:hAnsiTheme="majorBidi" w:cstheme="majorBidi"/>
        </w:rPr>
        <w:t xml:space="preserve"> (how young people see themselves) </w:t>
      </w:r>
    </w:p>
    <w:p w:rsidR="00A2567D" w:rsidRPr="00FF62B1" w:rsidP="00FF62B1">
      <w:pPr>
        <w:numPr>
          <w:ilvl w:val="0"/>
          <w:numId w:val="22"/>
        </w:numPr>
        <w:spacing w:after="0" w:line="360" w:lineRule="auto"/>
        <w:ind w:left="0" w:firstLine="0"/>
        <w:rPr>
          <w:rFonts w:asciiTheme="majorBidi" w:hAnsiTheme="majorBidi" w:cstheme="majorBidi"/>
        </w:rPr>
      </w:pPr>
      <w:r w:rsidRPr="00FF62B1">
        <w:rPr>
          <w:rFonts w:asciiTheme="majorBidi" w:hAnsiTheme="majorBidi" w:cstheme="majorBidi"/>
          <w:b/>
          <w:bCs/>
        </w:rPr>
        <w:t>Supportive adult relationships</w:t>
      </w:r>
      <w:r w:rsidRPr="00FF62B1">
        <w:rPr>
          <w:rFonts w:asciiTheme="majorBidi" w:hAnsiTheme="majorBidi" w:cstheme="majorBidi"/>
        </w:rPr>
        <w:t xml:space="preserve">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These are:</w:t>
      </w:r>
    </w:p>
    <w:p w:rsidR="00A2567D" w:rsidRPr="00FF62B1" w:rsidP="00FF62B1">
      <w:pPr>
        <w:numPr>
          <w:ilvl w:val="0"/>
          <w:numId w:val="23"/>
        </w:numPr>
        <w:spacing w:after="0" w:line="360" w:lineRule="auto"/>
        <w:ind w:left="0" w:firstLine="0"/>
        <w:rPr>
          <w:rFonts w:asciiTheme="majorBidi" w:hAnsiTheme="majorBidi" w:cstheme="majorBidi"/>
        </w:rPr>
      </w:pPr>
      <w:r w:rsidRPr="00FF62B1">
        <w:rPr>
          <w:rFonts w:asciiTheme="majorBidi" w:hAnsiTheme="majorBidi" w:cstheme="majorBidi"/>
        </w:rPr>
        <w:t xml:space="preserve">developmentally meaningful </w:t>
      </w:r>
    </w:p>
    <w:p w:rsidR="00A2567D" w:rsidRPr="00FF62B1" w:rsidP="00FF62B1">
      <w:pPr>
        <w:numPr>
          <w:ilvl w:val="0"/>
          <w:numId w:val="23"/>
        </w:numPr>
        <w:spacing w:after="0" w:line="360" w:lineRule="auto"/>
        <w:ind w:left="0" w:firstLine="0"/>
        <w:rPr>
          <w:rFonts w:asciiTheme="majorBidi" w:hAnsiTheme="majorBidi" w:cstheme="majorBidi"/>
        </w:rPr>
      </w:pPr>
      <w:r w:rsidRPr="00FF62B1">
        <w:rPr>
          <w:rFonts w:asciiTheme="majorBidi" w:hAnsiTheme="majorBidi" w:cstheme="majorBidi"/>
        </w:rPr>
        <w:t xml:space="preserve">modifiable through policy and practice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Implication:</w:t>
      </w:r>
      <w:r w:rsidRPr="00FF62B1">
        <w:rPr>
          <w:rFonts w:asciiTheme="majorBidi" w:hAnsiTheme="majorBidi" w:cstheme="majorBidi"/>
        </w:rPr>
        <w:br/>
        <w:t>Early intervention should prioritise:</w:t>
      </w:r>
    </w:p>
    <w:p w:rsidR="00A2567D" w:rsidRPr="00FF62B1" w:rsidP="00FF62B1">
      <w:pPr>
        <w:numPr>
          <w:ilvl w:val="0"/>
          <w:numId w:val="24"/>
        </w:numPr>
        <w:spacing w:after="0" w:line="360" w:lineRule="auto"/>
        <w:ind w:left="0" w:firstLine="0"/>
        <w:rPr>
          <w:rFonts w:asciiTheme="majorBidi" w:hAnsiTheme="majorBidi" w:cstheme="majorBidi"/>
        </w:rPr>
      </w:pPr>
      <w:r w:rsidRPr="00FF62B1">
        <w:rPr>
          <w:rFonts w:asciiTheme="majorBidi" w:hAnsiTheme="majorBidi" w:cstheme="majorBidi"/>
        </w:rPr>
        <w:t xml:space="preserve">strengthening relationships </w:t>
      </w:r>
    </w:p>
    <w:p w:rsidR="00A2567D" w:rsidRPr="00FF62B1" w:rsidP="00FF62B1">
      <w:pPr>
        <w:numPr>
          <w:ilvl w:val="0"/>
          <w:numId w:val="24"/>
        </w:numPr>
        <w:spacing w:after="0" w:line="360" w:lineRule="auto"/>
        <w:ind w:left="0" w:firstLine="0"/>
        <w:rPr>
          <w:rFonts w:asciiTheme="majorBidi" w:hAnsiTheme="majorBidi" w:cstheme="majorBidi"/>
        </w:rPr>
      </w:pPr>
      <w:r w:rsidRPr="00FF62B1">
        <w:rPr>
          <w:rFonts w:asciiTheme="majorBidi" w:hAnsiTheme="majorBidi" w:cstheme="majorBidi"/>
        </w:rPr>
        <w:t xml:space="preserve">building belonging and identity </w:t>
      </w:r>
    </w:p>
    <w:p w:rsidR="00A2567D" w:rsidRPr="00FF62B1" w:rsidP="00FF62B1">
      <w:pPr>
        <w:numPr>
          <w:ilvl w:val="0"/>
          <w:numId w:val="24"/>
        </w:numPr>
        <w:spacing w:after="0" w:line="360" w:lineRule="auto"/>
        <w:ind w:left="0" w:firstLine="0"/>
        <w:rPr>
          <w:rFonts w:asciiTheme="majorBidi" w:hAnsiTheme="majorBidi" w:cstheme="majorBidi"/>
        </w:rPr>
      </w:pPr>
      <w:r w:rsidRPr="00FF62B1">
        <w:rPr>
          <w:rFonts w:asciiTheme="majorBidi" w:hAnsiTheme="majorBidi" w:cstheme="majorBidi"/>
        </w:rPr>
        <w:t xml:space="preserve">supporting engagement in school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3.2 Referral pathways and fragmentation</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Current systems are often:</w:t>
      </w:r>
    </w:p>
    <w:p w:rsidR="00A2567D" w:rsidRPr="00FF62B1" w:rsidP="00FF62B1">
      <w:pPr>
        <w:numPr>
          <w:ilvl w:val="0"/>
          <w:numId w:val="25"/>
        </w:numPr>
        <w:spacing w:after="0" w:line="360" w:lineRule="auto"/>
        <w:ind w:left="0" w:firstLine="0"/>
        <w:rPr>
          <w:rFonts w:asciiTheme="majorBidi" w:hAnsiTheme="majorBidi" w:cstheme="majorBidi"/>
        </w:rPr>
      </w:pPr>
      <w:r w:rsidRPr="00FF62B1">
        <w:rPr>
          <w:rFonts w:asciiTheme="majorBidi" w:hAnsiTheme="majorBidi" w:cstheme="majorBidi"/>
        </w:rPr>
        <w:t xml:space="preserve">fragmented </w:t>
      </w:r>
    </w:p>
    <w:p w:rsidR="00A2567D" w:rsidRPr="00FF62B1" w:rsidP="00FF62B1">
      <w:pPr>
        <w:numPr>
          <w:ilvl w:val="0"/>
          <w:numId w:val="25"/>
        </w:numPr>
        <w:spacing w:after="0" w:line="360" w:lineRule="auto"/>
        <w:ind w:left="0" w:firstLine="0"/>
        <w:rPr>
          <w:rFonts w:asciiTheme="majorBidi" w:hAnsiTheme="majorBidi" w:cstheme="majorBidi"/>
        </w:rPr>
      </w:pPr>
      <w:r w:rsidRPr="00FF62B1">
        <w:rPr>
          <w:rFonts w:asciiTheme="majorBidi" w:hAnsiTheme="majorBidi" w:cstheme="majorBidi"/>
        </w:rPr>
        <w:t xml:space="preserve">difficult to navigate </w:t>
      </w:r>
    </w:p>
    <w:p w:rsidR="00A2567D" w:rsidRPr="00FF62B1" w:rsidP="00FF62B1">
      <w:pPr>
        <w:numPr>
          <w:ilvl w:val="0"/>
          <w:numId w:val="25"/>
        </w:numPr>
        <w:spacing w:after="0" w:line="360" w:lineRule="auto"/>
        <w:ind w:left="0" w:firstLine="0"/>
        <w:rPr>
          <w:rFonts w:asciiTheme="majorBidi" w:hAnsiTheme="majorBidi" w:cstheme="majorBidi"/>
        </w:rPr>
      </w:pPr>
      <w:r w:rsidRPr="00FF62B1">
        <w:rPr>
          <w:rFonts w:asciiTheme="majorBidi" w:hAnsiTheme="majorBidi" w:cstheme="majorBidi"/>
        </w:rPr>
        <w:t xml:space="preserve">inconsistent across regions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This creates:</w:t>
      </w:r>
    </w:p>
    <w:p w:rsidR="00A2567D" w:rsidRPr="00FF62B1" w:rsidP="00FF62B1">
      <w:pPr>
        <w:numPr>
          <w:ilvl w:val="0"/>
          <w:numId w:val="26"/>
        </w:numPr>
        <w:spacing w:after="0" w:line="360" w:lineRule="auto"/>
        <w:ind w:left="0" w:firstLine="0"/>
        <w:rPr>
          <w:rFonts w:asciiTheme="majorBidi" w:hAnsiTheme="majorBidi" w:cstheme="majorBidi"/>
        </w:rPr>
      </w:pPr>
      <w:r w:rsidRPr="00FF62B1">
        <w:rPr>
          <w:rFonts w:asciiTheme="majorBidi" w:hAnsiTheme="majorBidi" w:cstheme="majorBidi"/>
        </w:rPr>
        <w:t xml:space="preserve">delays in access </w:t>
      </w:r>
    </w:p>
    <w:p w:rsidR="00A2567D" w:rsidRPr="00FF62B1" w:rsidP="00FF62B1">
      <w:pPr>
        <w:numPr>
          <w:ilvl w:val="0"/>
          <w:numId w:val="26"/>
        </w:numPr>
        <w:spacing w:after="0" w:line="360" w:lineRule="auto"/>
        <w:ind w:left="0" w:firstLine="0"/>
        <w:rPr>
          <w:rFonts w:asciiTheme="majorBidi" w:hAnsiTheme="majorBidi" w:cstheme="majorBidi"/>
        </w:rPr>
      </w:pPr>
      <w:r w:rsidRPr="00FF62B1">
        <w:rPr>
          <w:rFonts w:asciiTheme="majorBidi" w:hAnsiTheme="majorBidi" w:cstheme="majorBidi"/>
        </w:rPr>
        <w:t xml:space="preserve">duplication or gaps in support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Recommendation:</w:t>
      </w:r>
    </w:p>
    <w:p w:rsidR="00A2567D" w:rsidRPr="00FF62B1" w:rsidP="00FF62B1">
      <w:pPr>
        <w:numPr>
          <w:ilvl w:val="0"/>
          <w:numId w:val="27"/>
        </w:numPr>
        <w:spacing w:after="0" w:line="360" w:lineRule="auto"/>
        <w:ind w:left="0" w:firstLine="0"/>
        <w:rPr>
          <w:rFonts w:asciiTheme="majorBidi" w:hAnsiTheme="majorBidi" w:cstheme="majorBidi"/>
        </w:rPr>
      </w:pPr>
      <w:r w:rsidRPr="00FF62B1">
        <w:rPr>
          <w:rFonts w:asciiTheme="majorBidi" w:hAnsiTheme="majorBidi" w:cstheme="majorBidi"/>
        </w:rPr>
        <w:t xml:space="preserve">Develop </w:t>
      </w:r>
      <w:r w:rsidRPr="00FF62B1">
        <w:rPr>
          <w:rFonts w:asciiTheme="majorBidi" w:hAnsiTheme="majorBidi" w:cstheme="majorBidi"/>
          <w:b/>
          <w:bCs/>
        </w:rPr>
        <w:t>integrated local pathways</w:t>
      </w:r>
      <w:r w:rsidRPr="00FF62B1">
        <w:rPr>
          <w:rFonts w:asciiTheme="majorBidi" w:hAnsiTheme="majorBidi" w:cstheme="majorBidi"/>
        </w:rPr>
        <w:t xml:space="preserve"> linking schools, community hubs, and NHS </w:t>
      </w:r>
    </w:p>
    <w:p w:rsidR="00A2567D" w:rsidRPr="00FF62B1" w:rsidP="00FF62B1">
      <w:pPr>
        <w:numPr>
          <w:ilvl w:val="0"/>
          <w:numId w:val="27"/>
        </w:numPr>
        <w:spacing w:after="0" w:line="360" w:lineRule="auto"/>
        <w:ind w:left="0" w:firstLine="0"/>
        <w:rPr>
          <w:rFonts w:asciiTheme="majorBidi" w:hAnsiTheme="majorBidi" w:cstheme="majorBidi"/>
        </w:rPr>
      </w:pPr>
      <w:r w:rsidRPr="00FF62B1">
        <w:rPr>
          <w:rFonts w:asciiTheme="majorBidi" w:hAnsiTheme="majorBidi" w:cstheme="majorBidi"/>
        </w:rPr>
        <w:t xml:space="preserve">Ensure continuity of support across transitions (e.g. primary to secondary school)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3.3 Workforce and system capacity</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The findings suggest that mental health support cannot rely solely on specialists.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Instead, a </w:t>
      </w:r>
      <w:r w:rsidRPr="00FF62B1">
        <w:rPr>
          <w:rFonts w:asciiTheme="majorBidi" w:hAnsiTheme="majorBidi" w:cstheme="majorBidi"/>
          <w:b/>
          <w:bCs/>
        </w:rPr>
        <w:t>distributed workforce model</w:t>
      </w:r>
      <w:r w:rsidRPr="00FF62B1">
        <w:rPr>
          <w:rFonts w:asciiTheme="majorBidi" w:hAnsiTheme="majorBidi" w:cstheme="majorBidi"/>
        </w:rPr>
        <w:t xml:space="preserve"> is needed:</w:t>
      </w:r>
    </w:p>
    <w:p w:rsidR="00A2567D" w:rsidRPr="00FF62B1" w:rsidP="00FF62B1">
      <w:pPr>
        <w:numPr>
          <w:ilvl w:val="0"/>
          <w:numId w:val="28"/>
        </w:numPr>
        <w:spacing w:after="0" w:line="360" w:lineRule="auto"/>
        <w:ind w:left="0" w:firstLine="0"/>
        <w:rPr>
          <w:rFonts w:asciiTheme="majorBidi" w:hAnsiTheme="majorBidi" w:cstheme="majorBidi"/>
        </w:rPr>
      </w:pPr>
      <w:r w:rsidRPr="00FF62B1">
        <w:rPr>
          <w:rFonts w:asciiTheme="majorBidi" w:hAnsiTheme="majorBidi" w:cstheme="majorBidi"/>
        </w:rPr>
        <w:t xml:space="preserve">teachers, youth workers, community practitioners, and clinicians </w:t>
      </w:r>
    </w:p>
    <w:p w:rsidR="00A2567D" w:rsidRPr="00FF62B1" w:rsidP="00FF62B1">
      <w:pPr>
        <w:numPr>
          <w:ilvl w:val="0"/>
          <w:numId w:val="28"/>
        </w:numPr>
        <w:spacing w:after="0" w:line="360" w:lineRule="auto"/>
        <w:ind w:left="0" w:firstLine="0"/>
        <w:rPr>
          <w:rFonts w:asciiTheme="majorBidi" w:hAnsiTheme="majorBidi" w:cstheme="majorBidi"/>
        </w:rPr>
      </w:pPr>
      <w:r w:rsidRPr="00FF62B1">
        <w:rPr>
          <w:rFonts w:asciiTheme="majorBidi" w:hAnsiTheme="majorBidi" w:cstheme="majorBidi"/>
        </w:rPr>
        <w:t xml:space="preserve">working in coordinated systems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b/>
          <w:bCs/>
        </w:rPr>
        <w:t>Key barrier:</w:t>
      </w:r>
    </w:p>
    <w:p w:rsidR="00A2567D" w:rsidRPr="00FF62B1" w:rsidP="00FF62B1">
      <w:pPr>
        <w:numPr>
          <w:ilvl w:val="0"/>
          <w:numId w:val="29"/>
        </w:numPr>
        <w:spacing w:after="0" w:line="360" w:lineRule="auto"/>
        <w:ind w:left="0" w:firstLine="0"/>
        <w:rPr>
          <w:rFonts w:asciiTheme="majorBidi" w:hAnsiTheme="majorBidi" w:cstheme="majorBidi"/>
        </w:rPr>
      </w:pPr>
      <w:r w:rsidRPr="00FF62B1">
        <w:rPr>
          <w:rFonts w:asciiTheme="majorBidi" w:hAnsiTheme="majorBidi" w:cstheme="majorBidi"/>
        </w:rPr>
        <w:t xml:space="preserve">lack of time, training, and funding for non-clinical staff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4. Drivers of mental health trends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The research highlights that mental health outcomes are shaped by:</w:t>
      </w:r>
    </w:p>
    <w:p w:rsidR="00A2567D" w:rsidRPr="00FF62B1" w:rsidP="00FF62B1">
      <w:pPr>
        <w:numPr>
          <w:ilvl w:val="0"/>
          <w:numId w:val="30"/>
        </w:numPr>
        <w:spacing w:after="0" w:line="360" w:lineRule="auto"/>
        <w:ind w:left="0" w:firstLine="0"/>
        <w:rPr>
          <w:rFonts w:asciiTheme="majorBidi" w:hAnsiTheme="majorBidi" w:cstheme="majorBidi"/>
        </w:rPr>
      </w:pPr>
      <w:r w:rsidRPr="00FF62B1">
        <w:rPr>
          <w:rFonts w:asciiTheme="majorBidi" w:hAnsiTheme="majorBidi" w:cstheme="majorBidi"/>
        </w:rPr>
        <w:t xml:space="preserve">cumulative adversity </w:t>
      </w:r>
    </w:p>
    <w:p w:rsidR="00A2567D" w:rsidRPr="00FF62B1" w:rsidP="00FF62B1">
      <w:pPr>
        <w:numPr>
          <w:ilvl w:val="0"/>
          <w:numId w:val="30"/>
        </w:numPr>
        <w:spacing w:after="0" w:line="360" w:lineRule="auto"/>
        <w:ind w:left="0" w:firstLine="0"/>
        <w:rPr>
          <w:rFonts w:asciiTheme="majorBidi" w:hAnsiTheme="majorBidi" w:cstheme="majorBidi"/>
        </w:rPr>
      </w:pPr>
      <w:r w:rsidRPr="00FF62B1">
        <w:rPr>
          <w:rFonts w:asciiTheme="majorBidi" w:hAnsiTheme="majorBidi" w:cstheme="majorBidi"/>
        </w:rPr>
        <w:t xml:space="preserve">social and structural factors </w:t>
      </w:r>
    </w:p>
    <w:p w:rsidR="00A2567D" w:rsidRPr="00FF62B1" w:rsidP="00FF62B1">
      <w:pPr>
        <w:numPr>
          <w:ilvl w:val="0"/>
          <w:numId w:val="30"/>
        </w:numPr>
        <w:spacing w:after="0" w:line="360" w:lineRule="auto"/>
        <w:ind w:left="0" w:firstLine="0"/>
        <w:rPr>
          <w:rFonts w:asciiTheme="majorBidi" w:hAnsiTheme="majorBidi" w:cstheme="majorBidi"/>
        </w:rPr>
      </w:pPr>
      <w:r w:rsidRPr="00FF62B1">
        <w:rPr>
          <w:rFonts w:asciiTheme="majorBidi" w:hAnsiTheme="majorBidi" w:cstheme="majorBidi"/>
        </w:rPr>
        <w:t xml:space="preserve">relational environments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Importantly:</w:t>
      </w:r>
    </w:p>
    <w:p w:rsidR="00A2567D" w:rsidRPr="00FF62B1" w:rsidP="00FF62B1">
      <w:pPr>
        <w:numPr>
          <w:ilvl w:val="0"/>
          <w:numId w:val="31"/>
        </w:numPr>
        <w:spacing w:after="0" w:line="360" w:lineRule="auto"/>
        <w:ind w:left="0" w:firstLine="0"/>
        <w:rPr>
          <w:rFonts w:asciiTheme="majorBidi" w:hAnsiTheme="majorBidi" w:cstheme="majorBidi"/>
        </w:rPr>
      </w:pPr>
      <w:r w:rsidRPr="00FF62B1">
        <w:rPr>
          <w:rFonts w:asciiTheme="majorBidi" w:hAnsiTheme="majorBidi" w:cstheme="majorBidi"/>
        </w:rPr>
        <w:t xml:space="preserve">adversity is not limited to the family </w:t>
      </w:r>
    </w:p>
    <w:p w:rsidR="00A2567D" w:rsidRPr="00FF62B1" w:rsidP="00FF62B1">
      <w:pPr>
        <w:numPr>
          <w:ilvl w:val="0"/>
          <w:numId w:val="31"/>
        </w:numPr>
        <w:spacing w:after="0" w:line="360" w:lineRule="auto"/>
        <w:ind w:left="0" w:firstLine="0"/>
        <w:rPr>
          <w:rFonts w:asciiTheme="majorBidi" w:hAnsiTheme="majorBidi" w:cstheme="majorBidi"/>
        </w:rPr>
      </w:pPr>
      <w:r w:rsidRPr="00FF62B1">
        <w:rPr>
          <w:rFonts w:asciiTheme="majorBidi" w:hAnsiTheme="majorBidi" w:cstheme="majorBidi"/>
        </w:rPr>
        <w:t xml:space="preserve">it includes experiences such as </w:t>
      </w:r>
      <w:r w:rsidRPr="00FF62B1">
        <w:rPr>
          <w:rFonts w:asciiTheme="majorBidi" w:hAnsiTheme="majorBidi" w:cstheme="majorBidi"/>
          <w:b/>
          <w:bCs/>
        </w:rPr>
        <w:t>peer bullying and</w:t>
      </w:r>
      <w:r w:rsidRPr="00FF62B1">
        <w:rPr>
          <w:rFonts w:asciiTheme="majorBidi" w:hAnsiTheme="majorBidi" w:cstheme="majorBidi"/>
          <w:b/>
          <w:bCs/>
        </w:rPr>
        <w:t xml:space="preserve"> ethnic</w:t>
      </w:r>
      <w:r w:rsidRPr="00FF62B1">
        <w:rPr>
          <w:rFonts w:asciiTheme="majorBidi" w:hAnsiTheme="majorBidi" w:cstheme="majorBidi"/>
          <w:b/>
          <w:bCs/>
        </w:rPr>
        <w:t xml:space="preserve"> discrimination</w:t>
      </w:r>
      <w:r w:rsidRPr="00FF62B1">
        <w:rPr>
          <w:rFonts w:asciiTheme="majorBidi" w:hAnsiTheme="majorBidi" w:cstheme="majorBidi"/>
        </w:rPr>
        <w:t xml:space="preserve">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This suggests that:</w:t>
      </w:r>
    </w:p>
    <w:p w:rsidR="00A2567D" w:rsidRPr="00FF62B1" w:rsidP="00FF62B1">
      <w:pPr>
        <w:numPr>
          <w:ilvl w:val="0"/>
          <w:numId w:val="32"/>
        </w:numPr>
        <w:spacing w:after="0" w:line="360" w:lineRule="auto"/>
        <w:ind w:left="0" w:firstLine="0"/>
        <w:rPr>
          <w:rFonts w:asciiTheme="majorBidi" w:hAnsiTheme="majorBidi" w:cstheme="majorBidi"/>
        </w:rPr>
      </w:pPr>
      <w:r w:rsidRPr="00FF62B1">
        <w:rPr>
          <w:rFonts w:asciiTheme="majorBidi" w:hAnsiTheme="majorBidi" w:cstheme="majorBidi"/>
        </w:rPr>
        <w:t xml:space="preserve">policy responses must move beyond individual-level interventions </w:t>
      </w:r>
    </w:p>
    <w:p w:rsidR="00A2567D" w:rsidRPr="00FF62B1" w:rsidP="00FF62B1">
      <w:pPr>
        <w:numPr>
          <w:ilvl w:val="0"/>
          <w:numId w:val="32"/>
        </w:numPr>
        <w:spacing w:after="0" w:line="360" w:lineRule="auto"/>
        <w:ind w:left="0" w:firstLine="0"/>
        <w:rPr>
          <w:rFonts w:asciiTheme="majorBidi" w:hAnsiTheme="majorBidi" w:cstheme="majorBidi"/>
        </w:rPr>
      </w:pPr>
      <w:r w:rsidRPr="00FF62B1">
        <w:rPr>
          <w:rFonts w:asciiTheme="majorBidi" w:hAnsiTheme="majorBidi" w:cstheme="majorBidi"/>
        </w:rPr>
        <w:t xml:space="preserve">and address </w:t>
      </w:r>
      <w:r w:rsidRPr="00FF62B1">
        <w:rPr>
          <w:rFonts w:asciiTheme="majorBidi" w:hAnsiTheme="majorBidi" w:cstheme="majorBidi"/>
          <w:b/>
          <w:bCs/>
        </w:rPr>
        <w:t>broader social determinants</w:t>
      </w:r>
      <w:r w:rsidRPr="00FF62B1">
        <w:rPr>
          <w:rFonts w:asciiTheme="majorBidi" w:hAnsiTheme="majorBidi" w:cstheme="majorBidi"/>
        </w:rPr>
        <w:t xml:space="preserve">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5. Conclusions and recommendations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Based on the evidence, the following priorities are recommended:</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1. Improve identification</w:t>
      </w:r>
    </w:p>
    <w:p w:rsidR="00A2567D" w:rsidRPr="00FF62B1" w:rsidP="00FF62B1">
      <w:pPr>
        <w:numPr>
          <w:ilvl w:val="0"/>
          <w:numId w:val="33"/>
        </w:numPr>
        <w:spacing w:after="0" w:line="360" w:lineRule="auto"/>
        <w:ind w:left="0" w:firstLine="0"/>
        <w:rPr>
          <w:rFonts w:asciiTheme="majorBidi" w:hAnsiTheme="majorBidi" w:cstheme="majorBidi"/>
        </w:rPr>
      </w:pPr>
      <w:r w:rsidRPr="00FF62B1">
        <w:rPr>
          <w:rFonts w:asciiTheme="majorBidi" w:hAnsiTheme="majorBidi" w:cstheme="majorBidi"/>
        </w:rPr>
        <w:t xml:space="preserve">Broaden how adversity is defined and measured </w:t>
      </w:r>
    </w:p>
    <w:p w:rsidR="00A2567D" w:rsidRPr="00FF62B1" w:rsidP="00FF62B1">
      <w:pPr>
        <w:numPr>
          <w:ilvl w:val="0"/>
          <w:numId w:val="33"/>
        </w:numPr>
        <w:spacing w:after="0" w:line="360" w:lineRule="auto"/>
        <w:ind w:left="0" w:firstLine="0"/>
        <w:rPr>
          <w:rFonts w:asciiTheme="majorBidi" w:hAnsiTheme="majorBidi" w:cstheme="majorBidi"/>
        </w:rPr>
      </w:pPr>
      <w:r w:rsidRPr="00FF62B1">
        <w:rPr>
          <w:rFonts w:asciiTheme="majorBidi" w:hAnsiTheme="majorBidi" w:cstheme="majorBidi"/>
        </w:rPr>
        <w:t xml:space="preserve">Use school engagement as an early indicator </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2. Strengthen early intervention</w:t>
      </w:r>
    </w:p>
    <w:p w:rsidR="00A2567D" w:rsidRPr="00FF62B1" w:rsidP="00FF62B1">
      <w:pPr>
        <w:numPr>
          <w:ilvl w:val="0"/>
          <w:numId w:val="34"/>
        </w:numPr>
        <w:spacing w:after="0" w:line="360" w:lineRule="auto"/>
        <w:ind w:left="0" w:firstLine="0"/>
        <w:rPr>
          <w:rFonts w:asciiTheme="majorBidi" w:hAnsiTheme="majorBidi" w:cstheme="majorBidi"/>
        </w:rPr>
      </w:pPr>
      <w:r w:rsidRPr="00FF62B1">
        <w:rPr>
          <w:rFonts w:asciiTheme="majorBidi" w:hAnsiTheme="majorBidi" w:cstheme="majorBidi"/>
        </w:rPr>
        <w:t xml:space="preserve">Invest in school- and community-based support </w:t>
      </w:r>
    </w:p>
    <w:p w:rsidR="00A2567D" w:rsidRPr="00FF62B1" w:rsidP="00FF62B1">
      <w:pPr>
        <w:numPr>
          <w:ilvl w:val="0"/>
          <w:numId w:val="34"/>
        </w:numPr>
        <w:spacing w:after="0" w:line="360" w:lineRule="auto"/>
        <w:ind w:left="0" w:firstLine="0"/>
        <w:rPr>
          <w:rFonts w:asciiTheme="majorBidi" w:hAnsiTheme="majorBidi" w:cstheme="majorBidi"/>
        </w:rPr>
      </w:pPr>
      <w:r w:rsidRPr="00FF62B1">
        <w:rPr>
          <w:rFonts w:asciiTheme="majorBidi" w:hAnsiTheme="majorBidi" w:cstheme="majorBidi"/>
        </w:rPr>
        <w:t xml:space="preserve">Reduce reliance on clinical thresholds </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3. Prioritise relationships</w:t>
      </w:r>
    </w:p>
    <w:p w:rsidR="00A2567D" w:rsidRPr="00FF62B1" w:rsidP="00FF62B1">
      <w:pPr>
        <w:numPr>
          <w:ilvl w:val="0"/>
          <w:numId w:val="35"/>
        </w:numPr>
        <w:spacing w:after="0" w:line="360" w:lineRule="auto"/>
        <w:ind w:left="0" w:firstLine="0"/>
        <w:rPr>
          <w:rFonts w:asciiTheme="majorBidi" w:hAnsiTheme="majorBidi" w:cstheme="majorBidi"/>
        </w:rPr>
      </w:pPr>
      <w:r w:rsidRPr="00FF62B1">
        <w:rPr>
          <w:rFonts w:asciiTheme="majorBidi" w:hAnsiTheme="majorBidi" w:cstheme="majorBidi"/>
        </w:rPr>
        <w:t xml:space="preserve">Embed relational approaches across systems </w:t>
      </w:r>
    </w:p>
    <w:p w:rsidR="00A2567D" w:rsidRPr="00FF62B1" w:rsidP="00FF62B1">
      <w:pPr>
        <w:numPr>
          <w:ilvl w:val="0"/>
          <w:numId w:val="35"/>
        </w:numPr>
        <w:spacing w:after="0" w:line="360" w:lineRule="auto"/>
        <w:ind w:left="0" w:firstLine="0"/>
        <w:rPr>
          <w:rFonts w:asciiTheme="majorBidi" w:hAnsiTheme="majorBidi" w:cstheme="majorBidi"/>
        </w:rPr>
      </w:pPr>
      <w:r w:rsidRPr="00FF62B1">
        <w:rPr>
          <w:rFonts w:asciiTheme="majorBidi" w:hAnsiTheme="majorBidi" w:cstheme="majorBidi"/>
        </w:rPr>
        <w:t xml:space="preserve">Ensure children have access to multiple trusted adults </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4. Reform accountability frameworks</w:t>
      </w:r>
    </w:p>
    <w:p w:rsidR="00A2567D" w:rsidRPr="00FF62B1" w:rsidP="00FF62B1">
      <w:pPr>
        <w:numPr>
          <w:ilvl w:val="0"/>
          <w:numId w:val="36"/>
        </w:numPr>
        <w:spacing w:after="0" w:line="360" w:lineRule="auto"/>
        <w:ind w:left="0" w:firstLine="0"/>
        <w:rPr>
          <w:rFonts w:asciiTheme="majorBidi" w:hAnsiTheme="majorBidi" w:cstheme="majorBidi"/>
        </w:rPr>
      </w:pPr>
      <w:r w:rsidRPr="00FF62B1">
        <w:rPr>
          <w:rFonts w:asciiTheme="majorBidi" w:hAnsiTheme="majorBidi" w:cstheme="majorBidi"/>
        </w:rPr>
        <w:t xml:space="preserve">Include wellbeing and engagement metrics </w:t>
      </w:r>
    </w:p>
    <w:p w:rsidR="00A2567D" w:rsidRPr="00FF62B1" w:rsidP="00FF62B1">
      <w:pPr>
        <w:numPr>
          <w:ilvl w:val="0"/>
          <w:numId w:val="36"/>
        </w:numPr>
        <w:spacing w:after="0" w:line="360" w:lineRule="auto"/>
        <w:ind w:left="0" w:firstLine="0"/>
        <w:rPr>
          <w:rFonts w:asciiTheme="majorBidi" w:hAnsiTheme="majorBidi" w:cstheme="majorBidi"/>
        </w:rPr>
      </w:pPr>
      <w:r w:rsidRPr="00FF62B1">
        <w:rPr>
          <w:rFonts w:asciiTheme="majorBidi" w:hAnsiTheme="majorBidi" w:cstheme="majorBidi"/>
        </w:rPr>
        <w:t xml:space="preserve">Recognise trauma-informed practice </w:t>
      </w: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5. Improve system integration</w:t>
      </w:r>
    </w:p>
    <w:p w:rsidR="00A2567D" w:rsidRPr="00FF62B1" w:rsidP="00FF62B1">
      <w:pPr>
        <w:numPr>
          <w:ilvl w:val="0"/>
          <w:numId w:val="37"/>
        </w:numPr>
        <w:spacing w:after="0" w:line="360" w:lineRule="auto"/>
        <w:ind w:left="0" w:firstLine="0"/>
        <w:rPr>
          <w:rFonts w:asciiTheme="majorBidi" w:hAnsiTheme="majorBidi" w:cstheme="majorBidi"/>
        </w:rPr>
      </w:pPr>
      <w:r w:rsidRPr="00FF62B1">
        <w:rPr>
          <w:rFonts w:asciiTheme="majorBidi" w:hAnsiTheme="majorBidi" w:cstheme="majorBidi"/>
        </w:rPr>
        <w:t xml:space="preserve">Strengthen links between education, NHS, and community services </w:t>
      </w:r>
    </w:p>
    <w:p w:rsidR="00A2567D" w:rsidRPr="00FF62B1" w:rsidP="00FF62B1">
      <w:pPr>
        <w:numPr>
          <w:ilvl w:val="0"/>
          <w:numId w:val="37"/>
        </w:numPr>
        <w:spacing w:after="0" w:line="360" w:lineRule="auto"/>
        <w:ind w:left="0" w:firstLine="0"/>
        <w:rPr>
          <w:rFonts w:asciiTheme="majorBidi" w:hAnsiTheme="majorBidi" w:cstheme="majorBidi"/>
        </w:rPr>
      </w:pPr>
      <w:r w:rsidRPr="00FF62B1">
        <w:rPr>
          <w:rFonts w:asciiTheme="majorBidi" w:hAnsiTheme="majorBidi" w:cstheme="majorBidi"/>
        </w:rPr>
        <w:t xml:space="preserve">Reduce fragmentation and regional variability </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b/>
          <w:bCs/>
        </w:rPr>
      </w:pPr>
      <w:r w:rsidRPr="00FF62B1">
        <w:rPr>
          <w:rFonts w:asciiTheme="majorBidi" w:hAnsiTheme="majorBidi" w:cstheme="majorBidi"/>
          <w:b/>
          <w:bCs/>
        </w:rPr>
        <w:t>Final note</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While this evidence draws on data from New Zealand, the findings align closely with UK research on ACEs and youth mental health. The mechanisms identified—particularly the roles of school engagement, self-concept, and supportive relationships—are developmentally universal and provide actionable insights for UK policy and practice.</w:t>
      </w:r>
    </w:p>
    <w:p w:rsidR="00A2567D" w:rsidP="00FF62B1">
      <w:pPr>
        <w:spacing w:after="0" w:line="360" w:lineRule="auto"/>
        <w:rPr>
          <w:rFonts w:asciiTheme="majorBidi" w:hAnsiTheme="majorBidi" w:cstheme="majorBidi"/>
        </w:rPr>
      </w:pPr>
    </w:p>
    <w:p w:rsidR="00A2567D" w:rsidP="00FF62B1">
      <w:pPr>
        <w:spacing w:after="0" w:line="360" w:lineRule="auto"/>
        <w:rPr>
          <w:rFonts w:asciiTheme="majorBidi" w:hAnsiTheme="majorBidi" w:cstheme="majorBidi"/>
        </w:rPr>
      </w:pPr>
    </w:p>
    <w:p w:rsidR="00A2567D" w:rsidRPr="003725B1" w:rsidP="00FF62B1">
      <w:pPr>
        <w:spacing w:after="0" w:line="360" w:lineRule="auto"/>
        <w:rPr>
          <w:rFonts w:asciiTheme="majorBidi" w:hAnsiTheme="majorBidi" w:cstheme="majorBidi"/>
          <w:b/>
          <w:bCs/>
          <w:sz w:val="32"/>
          <w:szCs w:val="32"/>
        </w:rPr>
      </w:pPr>
      <w:r w:rsidRPr="003725B1">
        <w:rPr>
          <w:rFonts w:asciiTheme="majorBidi" w:hAnsiTheme="majorBidi" w:cstheme="majorBidi"/>
          <w:b/>
          <w:bCs/>
          <w:sz w:val="32"/>
          <w:szCs w:val="32"/>
        </w:rPr>
        <w:t xml:space="preserve">Written Evidence Submission – Dr Ruth Weir </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This submission draws on recent research from three multi-agency place-based roundtables in Gloucestershire, Northumbria and Oxford with practitioners across education, policing, health and community services examining responses to Teenage Relationship Abuse (Barrow-Grint et al. forthcoming).</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1. Identification in education and community settings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Education and community providers play a critical role in early identification of mental health needs. However, our findings indicate that identification is currently inconsistent and often delayed. Early warning signs are frequently visible in schools, but staff are not consistently trained to recognise patterns of distress linked to relationships, coercion, abuse and online harms. Young people also use different language (e.g. “toxic relationships”), creating further barriers to recognition.</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2. Workforce role, support and training</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 xml:space="preserve">Staff in universal settings are central to early </w:t>
      </w:r>
      <w:r w:rsidRPr="00FF62B1">
        <w:rPr>
          <w:rFonts w:asciiTheme="majorBidi" w:hAnsiTheme="majorBidi" w:cstheme="majorBidi"/>
        </w:rPr>
        <w:t>support, but</w:t>
      </w:r>
      <w:r w:rsidRPr="00FF62B1">
        <w:rPr>
          <w:rFonts w:asciiTheme="majorBidi" w:hAnsiTheme="majorBidi" w:cstheme="majorBidi"/>
        </w:rPr>
        <w:t xml:space="preserve"> are often expected to respond to complex needs without sufficient training or specialist backing. Training on mental health, safeguarding and relationship harm is inconsistent across sectors, and there is limited evaluation of its long-term impact. Staff require clearer guidance, protected capacity, and access to specialist consultation.</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3. Thresholds and access to support</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A key challenge is the gap between early need and access to services. Many young people, particularly those under 16, fall below thresholds for specialist support, despite experiencing significant harm. Current eligibility criteria and service models often require escalation before support is available, contributing to deterioration and crisis presentations.</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4. Referral pathways and system fragmentation</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Referral processes are often unclear and inconsistent. In some areas there is no direct pathway into safeguarding, mental health or specialist services. This fragmentation leads to delays, disengagement, and a “postcode lottery” in access to support. Children and young people may be passed between services without coordinated care.</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5. Integration across systems</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Effective support requires stronger integration across education, NHS, local authorities and community provision. Current arrangements remain siloed, with weak communication and limited shared accountability. Mental health support should be organised around coherent local pathways, rather than fragmented initiatives.</w:t>
      </w:r>
    </w:p>
    <w:p w:rsidR="00A2567D" w:rsidRPr="00FF62B1" w:rsidP="00FF62B1">
      <w:pPr>
        <w:spacing w:after="0" w:line="360" w:lineRule="auto"/>
        <w:rPr>
          <w:rFonts w:asciiTheme="majorBidi" w:hAnsiTheme="majorBidi" w:cstheme="majorBidi"/>
        </w:rPr>
      </w:pP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6. Understanding mental health in context</w:t>
      </w:r>
    </w:p>
    <w:p w:rsidR="00A2567D" w:rsidRPr="00FF62B1" w:rsidP="00FF62B1">
      <w:pPr>
        <w:spacing w:after="0" w:line="360" w:lineRule="auto"/>
        <w:rPr>
          <w:rFonts w:asciiTheme="majorBidi" w:hAnsiTheme="majorBidi" w:cstheme="majorBidi"/>
        </w:rPr>
      </w:pPr>
      <w:r w:rsidRPr="00FF62B1">
        <w:rPr>
          <w:rFonts w:asciiTheme="majorBidi" w:hAnsiTheme="majorBidi" w:cstheme="majorBidi"/>
        </w:rPr>
        <w:t>Our research highlights that mental health needs in adolescence are frequently intertwined with experiences of abuse, coercion, online harm and wider adversity. Systems that treat mental health in isolation from these factors risk misidentifying need and providing ineffective responses.</w:t>
      </w:r>
    </w:p>
    <w:p w:rsidR="00A2567D" w:rsidRPr="00FF62B1" w:rsidP="00FF62B1">
      <w:pPr>
        <w:spacing w:after="0" w:line="360" w:lineRule="auto"/>
        <w:rPr>
          <w:rFonts w:asciiTheme="majorBidi" w:hAnsiTheme="majorBidi" w:cstheme="majorBidi"/>
        </w:rPr>
      </w:pPr>
    </w:p>
    <w:p w:rsidR="00A2567D" w:rsidRPr="00E31F30" w:rsidP="00FF62B1">
      <w:pPr>
        <w:spacing w:after="0" w:line="360" w:lineRule="auto"/>
        <w:rPr>
          <w:rFonts w:asciiTheme="majorBidi" w:hAnsiTheme="majorBidi" w:cstheme="majorBidi"/>
          <w:i/>
          <w:iCs/>
        </w:rPr>
      </w:pPr>
      <w:r w:rsidRPr="00E31F30">
        <w:rPr>
          <w:rFonts w:asciiTheme="majorBidi" w:hAnsiTheme="majorBidi" w:cstheme="majorBidi"/>
          <w:i/>
          <w:iCs/>
        </w:rPr>
        <w:t>March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53583"/>
    <w:multiLevelType w:val="multilevel"/>
    <w:tmpl w:val="28FA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D76F1"/>
    <w:multiLevelType w:val="multilevel"/>
    <w:tmpl w:val="9420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91EF3"/>
    <w:multiLevelType w:val="multilevel"/>
    <w:tmpl w:val="183C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3E0B7B"/>
    <w:multiLevelType w:val="multilevel"/>
    <w:tmpl w:val="44A6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C020A"/>
    <w:multiLevelType w:val="multilevel"/>
    <w:tmpl w:val="C5F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C1BFD"/>
    <w:multiLevelType w:val="multilevel"/>
    <w:tmpl w:val="BFCC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E77144"/>
    <w:multiLevelType w:val="multilevel"/>
    <w:tmpl w:val="3CF4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1D776B"/>
    <w:multiLevelType w:val="multilevel"/>
    <w:tmpl w:val="4D4A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670E41"/>
    <w:multiLevelType w:val="multilevel"/>
    <w:tmpl w:val="135E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2B7DB8"/>
    <w:multiLevelType w:val="multilevel"/>
    <w:tmpl w:val="A09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393EF1"/>
    <w:multiLevelType w:val="multilevel"/>
    <w:tmpl w:val="B222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405813"/>
    <w:multiLevelType w:val="multilevel"/>
    <w:tmpl w:val="5040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0629B5"/>
    <w:multiLevelType w:val="multilevel"/>
    <w:tmpl w:val="80D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68596D"/>
    <w:multiLevelType w:val="multilevel"/>
    <w:tmpl w:val="CF60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783AE2"/>
    <w:multiLevelType w:val="multilevel"/>
    <w:tmpl w:val="6B98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8E0343"/>
    <w:multiLevelType w:val="multilevel"/>
    <w:tmpl w:val="7E2C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133A9A"/>
    <w:multiLevelType w:val="multilevel"/>
    <w:tmpl w:val="CE40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6346F8"/>
    <w:multiLevelType w:val="multilevel"/>
    <w:tmpl w:val="D7A0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1F5E28"/>
    <w:multiLevelType w:val="multilevel"/>
    <w:tmpl w:val="B7D2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016A50"/>
    <w:multiLevelType w:val="multilevel"/>
    <w:tmpl w:val="87AC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6E04B0"/>
    <w:multiLevelType w:val="multilevel"/>
    <w:tmpl w:val="F12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D63F60"/>
    <w:multiLevelType w:val="multilevel"/>
    <w:tmpl w:val="F23A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E1161C"/>
    <w:multiLevelType w:val="multilevel"/>
    <w:tmpl w:val="B926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805D16"/>
    <w:multiLevelType w:val="multilevel"/>
    <w:tmpl w:val="E240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365F63"/>
    <w:multiLevelType w:val="multilevel"/>
    <w:tmpl w:val="3902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886A25"/>
    <w:multiLevelType w:val="multilevel"/>
    <w:tmpl w:val="A028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A506C0"/>
    <w:multiLevelType w:val="multilevel"/>
    <w:tmpl w:val="658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430AAA"/>
    <w:multiLevelType w:val="multilevel"/>
    <w:tmpl w:val="AAD8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6E66F4"/>
    <w:multiLevelType w:val="multilevel"/>
    <w:tmpl w:val="FD1A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173CFE"/>
    <w:multiLevelType w:val="multilevel"/>
    <w:tmpl w:val="52AA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E84744"/>
    <w:multiLevelType w:val="multilevel"/>
    <w:tmpl w:val="79B6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B552B0"/>
    <w:multiLevelType w:val="multilevel"/>
    <w:tmpl w:val="D98A2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E5102A"/>
    <w:multiLevelType w:val="multilevel"/>
    <w:tmpl w:val="A1E0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F70944"/>
    <w:multiLevelType w:val="multilevel"/>
    <w:tmpl w:val="3830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2B3FE3"/>
    <w:multiLevelType w:val="multilevel"/>
    <w:tmpl w:val="4A14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904A2D"/>
    <w:multiLevelType w:val="multilevel"/>
    <w:tmpl w:val="E49C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0914E4"/>
    <w:multiLevelType w:val="multilevel"/>
    <w:tmpl w:val="5B26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22"/>
  </w:num>
  <w:num w:numId="4">
    <w:abstractNumId w:val="16"/>
  </w:num>
  <w:num w:numId="5">
    <w:abstractNumId w:val="20"/>
  </w:num>
  <w:num w:numId="6">
    <w:abstractNumId w:val="13"/>
  </w:num>
  <w:num w:numId="7">
    <w:abstractNumId w:val="5"/>
  </w:num>
  <w:num w:numId="8">
    <w:abstractNumId w:val="18"/>
  </w:num>
  <w:num w:numId="9">
    <w:abstractNumId w:val="26"/>
  </w:num>
  <w:num w:numId="10">
    <w:abstractNumId w:val="27"/>
  </w:num>
  <w:num w:numId="11">
    <w:abstractNumId w:val="19"/>
  </w:num>
  <w:num w:numId="12">
    <w:abstractNumId w:val="34"/>
  </w:num>
  <w:num w:numId="13">
    <w:abstractNumId w:val="11"/>
  </w:num>
  <w:num w:numId="14">
    <w:abstractNumId w:val="3"/>
  </w:num>
  <w:num w:numId="15">
    <w:abstractNumId w:val="7"/>
  </w:num>
  <w:num w:numId="16">
    <w:abstractNumId w:val="0"/>
  </w:num>
  <w:num w:numId="17">
    <w:abstractNumId w:val="9"/>
  </w:num>
  <w:num w:numId="18">
    <w:abstractNumId w:val="8"/>
  </w:num>
  <w:num w:numId="19">
    <w:abstractNumId w:val="32"/>
  </w:num>
  <w:num w:numId="20">
    <w:abstractNumId w:val="31"/>
  </w:num>
  <w:num w:numId="21">
    <w:abstractNumId w:val="36"/>
  </w:num>
  <w:num w:numId="22">
    <w:abstractNumId w:val="35"/>
  </w:num>
  <w:num w:numId="23">
    <w:abstractNumId w:val="30"/>
  </w:num>
  <w:num w:numId="24">
    <w:abstractNumId w:val="28"/>
  </w:num>
  <w:num w:numId="25">
    <w:abstractNumId w:val="2"/>
  </w:num>
  <w:num w:numId="26">
    <w:abstractNumId w:val="29"/>
  </w:num>
  <w:num w:numId="27">
    <w:abstractNumId w:val="25"/>
  </w:num>
  <w:num w:numId="28">
    <w:abstractNumId w:val="33"/>
  </w:num>
  <w:num w:numId="29">
    <w:abstractNumId w:val="24"/>
  </w:num>
  <w:num w:numId="30">
    <w:abstractNumId w:val="12"/>
  </w:num>
  <w:num w:numId="31">
    <w:abstractNumId w:val="15"/>
  </w:num>
  <w:num w:numId="32">
    <w:abstractNumId w:val="6"/>
  </w:num>
  <w:num w:numId="33">
    <w:abstractNumId w:val="21"/>
  </w:num>
  <w:num w:numId="34">
    <w:abstractNumId w:val="1"/>
  </w:num>
  <w:num w:numId="35">
    <w:abstractNumId w:val="4"/>
  </w:num>
  <w:num w:numId="36">
    <w:abstractNumId w:val="2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F3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9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9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9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9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9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9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9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9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9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9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9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9F6"/>
    <w:rPr>
      <w:rFonts w:eastAsiaTheme="majorEastAsia" w:cstheme="majorBidi"/>
      <w:color w:val="272727" w:themeColor="text1" w:themeTint="D8"/>
    </w:rPr>
  </w:style>
  <w:style w:type="paragraph" w:styleId="Title">
    <w:name w:val="Title"/>
    <w:basedOn w:val="Normal"/>
    <w:next w:val="Normal"/>
    <w:link w:val="TitleChar"/>
    <w:uiPriority w:val="10"/>
    <w:qFormat/>
    <w:rsid w:val="005F3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9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9F6"/>
    <w:pPr>
      <w:spacing w:before="160"/>
      <w:jc w:val="center"/>
    </w:pPr>
    <w:rPr>
      <w:i/>
      <w:iCs/>
      <w:color w:val="404040" w:themeColor="text1" w:themeTint="BF"/>
    </w:rPr>
  </w:style>
  <w:style w:type="character" w:customStyle="1" w:styleId="QuoteChar">
    <w:name w:val="Quote Char"/>
    <w:basedOn w:val="DefaultParagraphFont"/>
    <w:link w:val="Quote"/>
    <w:uiPriority w:val="29"/>
    <w:rsid w:val="005F39F6"/>
    <w:rPr>
      <w:i/>
      <w:iCs/>
      <w:color w:val="404040" w:themeColor="text1" w:themeTint="BF"/>
    </w:rPr>
  </w:style>
  <w:style w:type="paragraph" w:styleId="ListParagraph">
    <w:name w:val="List Paragraph"/>
    <w:basedOn w:val="Normal"/>
    <w:uiPriority w:val="34"/>
    <w:qFormat/>
    <w:rsid w:val="005F39F6"/>
    <w:pPr>
      <w:ind w:left="720"/>
      <w:contextualSpacing/>
    </w:pPr>
  </w:style>
  <w:style w:type="character" w:styleId="IntenseEmphasis">
    <w:name w:val="Intense Emphasis"/>
    <w:basedOn w:val="DefaultParagraphFont"/>
    <w:uiPriority w:val="21"/>
    <w:qFormat/>
    <w:rsid w:val="005F39F6"/>
    <w:rPr>
      <w:i/>
      <w:iCs/>
      <w:color w:val="0F4761" w:themeColor="accent1" w:themeShade="BF"/>
    </w:rPr>
  </w:style>
  <w:style w:type="paragraph" w:styleId="IntenseQuote">
    <w:name w:val="Intense Quote"/>
    <w:basedOn w:val="Normal"/>
    <w:next w:val="Normal"/>
    <w:link w:val="IntenseQuoteChar"/>
    <w:uiPriority w:val="30"/>
    <w:qFormat/>
    <w:rsid w:val="005F3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9F6"/>
    <w:rPr>
      <w:i/>
      <w:iCs/>
      <w:color w:val="0F4761" w:themeColor="accent1" w:themeShade="BF"/>
    </w:rPr>
  </w:style>
  <w:style w:type="character" w:styleId="IntenseReference">
    <w:name w:val="Intense Reference"/>
    <w:basedOn w:val="DefaultParagraphFont"/>
    <w:uiPriority w:val="32"/>
    <w:qFormat/>
    <w:rsid w:val="005F39F6"/>
    <w:rPr>
      <w:b/>
      <w:bCs/>
      <w:smallCaps/>
      <w:color w:val="0F4761" w:themeColor="accent1" w:themeShade="BF"/>
      <w:spacing w:val="5"/>
    </w:rPr>
  </w:style>
  <w:style w:type="paragraph" w:styleId="Header">
    <w:name w:val="header"/>
    <w:basedOn w:val="Normal"/>
    <w:link w:val="HeaderChar"/>
    <w:uiPriority w:val="99"/>
    <w:unhideWhenUsed/>
    <w:rsid w:val="00E31F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F30"/>
  </w:style>
  <w:style w:type="paragraph" w:styleId="Footer">
    <w:name w:val="footer"/>
    <w:basedOn w:val="Normal"/>
    <w:link w:val="FooterChar"/>
    <w:uiPriority w:val="99"/>
    <w:unhideWhenUsed/>
    <w:rsid w:val="00E31F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CYM0233</dc:title>
  <cp:revision>0</cp:revision>
</cp:coreProperties>
</file>