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6994">
      <w:pPr>
        <w:jc w:val="center"/>
        <w:rPr>
          <w:b/>
          <w:bCs/>
        </w:rPr>
      </w:pPr>
      <w:r>
        <w:rPr>
          <w:b/>
          <w:bCs/>
        </w:rPr>
        <w:t xml:space="preserve">Written Evidence Submitted by </w:t>
      </w:r>
      <w:r>
        <w:rPr>
          <w:b/>
          <w:bCs/>
        </w:rPr>
        <w:br/>
        <w:t>Association of Colleges (CYM0232)</w:t>
      </w:r>
    </w:p>
    <w:p w:rsidR="007A6994">
      <w:pPr>
        <w:rPr>
          <w:b/>
          <w:bCs/>
        </w:rPr>
      </w:pPr>
    </w:p>
    <w:p w:rsidR="007A6994"/>
    <w:p w:rsidR="007A6994">
      <w:pPr>
        <w:pStyle w:val="Heading2"/>
        <w:spacing w:before="80" w:after="0"/>
        <w:rPr>
          <w:rFonts w:ascii="Open Sans" w:eastAsia="Open Sans Semibold" w:hAnsi="Open Sans" w:cs="Open Sans"/>
          <w:color w:val="auto"/>
          <w:sz w:val="22"/>
          <w:szCs w:val="22"/>
        </w:rPr>
      </w:pPr>
      <w:r>
        <w:rPr>
          <w:rFonts w:ascii="Open Sans" w:eastAsia="Open Sans Semibold" w:hAnsi="Open Sans" w:cs="Open Sans"/>
          <w:color w:val="auto"/>
          <w:sz w:val="22"/>
          <w:szCs w:val="22"/>
        </w:rPr>
        <w:t>The Association of Colleges (AoC) represents 95% of the 211 colleges in England incorporated under the Further and Higher Education Act 1992. English colleges educate over 1.6 million students every year and employ approximately 133,000 people. Further education colleges are an essential part of England’s education system. Whether it’s through top-class technical education, basic skills or lifelong learning, colleges help people of all ages and backgrounds to make the most of their talents and ambitions. Rooted in local communities, they are crucial in driving social mobility, improving health and healthy living, and providing the skills to boost local and regional economies.</w:t>
      </w:r>
    </w:p>
    <w:p w:rsidR="007A6994">
      <w:pPr>
        <w:pStyle w:val="Heading2"/>
        <w:spacing w:before="80" w:after="0"/>
        <w:rPr>
          <w:rFonts w:ascii="Open Sans" w:eastAsia="Open Sans Semibold" w:hAnsi="Open Sans" w:cs="Open Sans"/>
          <w:color w:val="auto"/>
          <w:sz w:val="22"/>
          <w:szCs w:val="22"/>
        </w:rPr>
      </w:pPr>
    </w:p>
    <w:p w:rsidR="007A6994">
      <w:pPr>
        <w:pStyle w:val="Heading2"/>
        <w:spacing w:before="80" w:after="0"/>
        <w:rPr>
          <w:rFonts w:ascii="Open Sans" w:eastAsia="Open Sans Semibold" w:hAnsi="Open Sans" w:cs="Open Sans"/>
          <w:color w:val="auto"/>
          <w:sz w:val="22"/>
          <w:szCs w:val="22"/>
        </w:rPr>
      </w:pPr>
      <w:r>
        <w:rPr>
          <w:rFonts w:ascii="Open Sans" w:eastAsia="Open Sans Semibold" w:hAnsi="Open Sans" w:cs="Open Sans"/>
          <w:color w:val="auto"/>
          <w:sz w:val="22"/>
          <w:szCs w:val="22"/>
        </w:rPr>
        <w:t>Colleges have long played a vital role in supporting the mental health and wellbeing of their students, and in recent years they have deepened this commitment. They have embedded compassion into policy and practice, reshaping their approaches to meet the increasingly complex needs presented by young people and ensuring that support is accessible, responsive and rooted in a whole</w:t>
      </w:r>
      <w:r>
        <w:rPr>
          <w:rFonts w:ascii="Open Sans" w:eastAsia="Open Sans Semibold" w:hAnsi="Open Sans" w:cs="Open Sans"/>
          <w:color w:val="auto"/>
          <w:sz w:val="22"/>
          <w:szCs w:val="22"/>
        </w:rPr>
        <w:noBreakHyphen/>
        <w:t>college ethos.</w:t>
      </w:r>
    </w:p>
    <w:p w:rsidR="007A6994">
      <w:pPr>
        <w:rPr>
          <w:rFonts w:ascii="Open Sans" w:hAnsi="Open Sans" w:cs="Open Sans"/>
          <w:sz w:val="22"/>
          <w:szCs w:val="22"/>
        </w:rPr>
      </w:pPr>
    </w:p>
    <w:p w:rsidR="007A6994">
      <w:pPr>
        <w:pStyle w:val="Heading2"/>
        <w:spacing w:before="80" w:after="0"/>
        <w:rPr>
          <w:rFonts w:ascii="Open Sans" w:eastAsia="Open Sans Semibold" w:hAnsi="Open Sans" w:cs="Open Sans"/>
          <w:color w:val="auto"/>
          <w:sz w:val="22"/>
          <w:szCs w:val="22"/>
        </w:rPr>
      </w:pPr>
      <w:r>
        <w:rPr>
          <w:rFonts w:ascii="Open Sans" w:eastAsia="Open Sans Semibold" w:hAnsi="Open Sans" w:cs="Open Sans"/>
          <w:color w:val="auto"/>
          <w:sz w:val="22"/>
          <w:szCs w:val="22"/>
        </w:rPr>
        <w:t>This submission focuses on the cross</w:t>
      </w:r>
      <w:r>
        <w:rPr>
          <w:rFonts w:ascii="Open Sans" w:eastAsia="Open Sans Semibold" w:hAnsi="Open Sans" w:cs="Open Sans"/>
          <w:color w:val="auto"/>
          <w:sz w:val="22"/>
          <w:szCs w:val="22"/>
        </w:rPr>
        <w:noBreakHyphen/>
        <w:t>government actions required to scale effective models of integrated mental health support within college and community settings. Strengthening national alignment and enabling consistent joint working across education, health and wider public and community services would provide the stability and clarity needed to deliver timely, high</w:t>
      </w:r>
      <w:r>
        <w:rPr>
          <w:rFonts w:ascii="Open Sans" w:eastAsia="Open Sans Semibold" w:hAnsi="Open Sans" w:cs="Open Sans"/>
          <w:color w:val="auto"/>
          <w:sz w:val="22"/>
          <w:szCs w:val="22"/>
        </w:rPr>
        <w:noBreakHyphen/>
        <w:t>quality and sustainable mental health support for children and young people.</w:t>
      </w:r>
    </w:p>
    <w:p w:rsidR="007A6994">
      <w:pPr>
        <w:pStyle w:val="Heading2"/>
        <w:spacing w:before="80" w:after="0"/>
        <w:rPr>
          <w:rFonts w:ascii="Open Sans Semibold" w:eastAsia="Open Sans Semibold" w:hAnsi="Open Sans Semibold" w:cs="Open Sans Semibold"/>
          <w:b/>
          <w:bCs/>
          <w:color w:val="auto"/>
          <w:sz w:val="36"/>
          <w:szCs w:val="36"/>
        </w:rPr>
      </w:pPr>
    </w:p>
    <w:p w:rsidR="007A6994">
      <w:pPr>
        <w:pStyle w:val="Heading2"/>
        <w:spacing w:before="80" w:after="0"/>
        <w:rPr>
          <w:rFonts w:ascii="Open Sans Semibold" w:eastAsia="Open Sans Semibold" w:hAnsi="Open Sans Semibold" w:cs="Open Sans Semibold"/>
          <w:b/>
          <w:bCs/>
          <w:color w:val="auto"/>
          <w:sz w:val="36"/>
          <w:szCs w:val="36"/>
        </w:rPr>
      </w:pPr>
      <w:r>
        <w:rPr>
          <w:rFonts w:ascii="Open Sans Semibold" w:eastAsia="Open Sans Semibold" w:hAnsi="Open Sans Semibold" w:cs="Open Sans Semibold"/>
          <w:b/>
          <w:bCs/>
          <w:color w:val="auto"/>
          <w:sz w:val="36"/>
          <w:szCs w:val="36"/>
        </w:rPr>
        <w:t>Executive Summary</w:t>
      </w:r>
    </w:p>
    <w:p w:rsidR="007A6994">
      <w:pPr>
        <w:rPr>
          <w:rFonts w:ascii="Open Sans" w:hAnsi="Open Sans" w:cs="Open Sans"/>
          <w:b/>
          <w:bCs/>
          <w:sz w:val="22"/>
          <w:szCs w:val="22"/>
        </w:rPr>
      </w:pPr>
    </w:p>
    <w:p w:rsidR="007A6994">
      <w:pPr>
        <w:rPr>
          <w:rFonts w:ascii="Open Sans" w:eastAsia="Open Sans" w:hAnsi="Open Sans" w:cs="Open Sans"/>
          <w:sz w:val="22"/>
          <w:szCs w:val="22"/>
        </w:rPr>
      </w:pPr>
      <w:r>
        <w:rPr>
          <w:rFonts w:ascii="Open Sans" w:eastAsia="Open Sans" w:hAnsi="Open Sans" w:cs="Open Sans"/>
          <w:sz w:val="22"/>
          <w:szCs w:val="22"/>
        </w:rPr>
        <w:t>Further education (FE) colleges play a central but under recognised role in supporting children and young people’s mental health. With one in five young people aged 8–25 experiencing a probable mental health condition, colleges have become key access points for pastoral care, early intervention and ongoing support. They provide trusted relationships, safe environments and rapid responses, yet do so without the clinical mandate, statutory infrastructure or equitable funding that schools and NHS services receive.</w:t>
      </w:r>
    </w:p>
    <w:p w:rsidR="007A6994">
      <w:pPr>
        <w:rPr>
          <w:rFonts w:ascii="Open Sans" w:eastAsia="Open Sans" w:hAnsi="Open Sans" w:cs="Open Sans"/>
          <w:sz w:val="22"/>
          <w:szCs w:val="22"/>
        </w:rPr>
      </w:pPr>
      <w:r>
        <w:rPr>
          <w:rFonts w:ascii="Open Sans" w:eastAsia="Open Sans" w:hAnsi="Open Sans" w:cs="Open Sans"/>
          <w:sz w:val="22"/>
          <w:szCs w:val="22"/>
        </w:rPr>
        <w:t>Colleges have strengthened whole college approaches, embedding trauma informed and restorative practice and investing significantly in specialist wellbeing teams. However, rising levels of acute and complex need—driven by long NHS waiting times, reduced community provision and widening socioeconomic pressures—mean colleges are often supporting young people with suicidal ideation, self-harm, psychosis and other high-risk presentations. In some areas, GPs and community services explicitly direct young people to college counselling because clinical pathways are unavailable. This is unsustainable.</w:t>
      </w:r>
    </w:p>
    <w:p w:rsidR="007A6994">
      <w:pPr>
        <w:rPr>
          <w:rFonts w:ascii="Open Sans" w:eastAsia="Open Sans" w:hAnsi="Open Sans" w:cs="Open Sans"/>
          <w:sz w:val="22"/>
          <w:szCs w:val="22"/>
        </w:rPr>
      </w:pPr>
      <w:r>
        <w:rPr>
          <w:rFonts w:ascii="Open Sans" w:eastAsia="Open Sans" w:hAnsi="Open Sans" w:cs="Open Sans"/>
          <w:sz w:val="22"/>
          <w:szCs w:val="22"/>
        </w:rPr>
        <w:t xml:space="preserve">A coherent national framework is required to deliver the Government’s commitments on mental health support in education and the community. This includes clear expectations for partnership between colleges, Integrated Care Boards (ICBs), CAMHS and wider services; equitable funding for post16 learners; consistent access to Mental Health Support Teams (MHSTs); stronger information sharing arrangements; and the inclusion of FE in commissioning, planning and accountability structures. </w:t>
      </w:r>
    </w:p>
    <w:p w:rsidR="007A6994">
      <w:pPr>
        <w:rPr>
          <w:rFonts w:ascii="Open Sans" w:eastAsia="Open Sans" w:hAnsi="Open Sans" w:cs="Open Sans"/>
          <w:sz w:val="22"/>
          <w:szCs w:val="22"/>
        </w:rPr>
      </w:pPr>
      <w:r>
        <w:rPr>
          <w:rFonts w:ascii="Open Sans" w:eastAsia="Open Sans" w:hAnsi="Open Sans" w:cs="Open Sans"/>
          <w:sz w:val="22"/>
          <w:szCs w:val="22"/>
        </w:rPr>
        <w:t>Community based approaches such as social prescribing, Early Support Hubs and Young Futures Hubs offer significant potential to reduce escalation, strengthen prevention and complement NHS care. Colleges should be embedded within these models, given their reach and daily contact with young people. These community-based partnerships require national guidance, quality assurance and stable funding to ensure consistency and safe referral.</w:t>
      </w:r>
    </w:p>
    <w:p w:rsidR="007A6994">
      <w:pPr>
        <w:rPr>
          <w:rFonts w:ascii="Open Sans" w:eastAsia="Open Sans" w:hAnsi="Open Sans" w:cs="Open Sans"/>
          <w:sz w:val="22"/>
          <w:szCs w:val="22"/>
        </w:rPr>
      </w:pPr>
      <w:r>
        <w:rPr>
          <w:rFonts w:ascii="Open Sans" w:eastAsia="Open Sans" w:hAnsi="Open Sans" w:cs="Open Sans"/>
          <w:sz w:val="22"/>
          <w:szCs w:val="22"/>
        </w:rPr>
        <w:t>Reform of CAMHS is essential. Key priorities include consistent national thresholds and waiting time standards, expanded early intervention capacity, embedding practitioners in education settings, and a shift to a 16–25 model to ensure continuity through transition into adulthood. Evidence from the CAMHS trailblazer programme shows that integrated college-based models reduce A&amp;E presentations, enable earlier intervention and transform organisational culture.</w:t>
      </w:r>
    </w:p>
    <w:p w:rsidR="007A6994">
      <w:pPr>
        <w:rPr>
          <w:rFonts w:ascii="Open Sans" w:eastAsia="Open Sans" w:hAnsi="Open Sans" w:cs="Open Sans"/>
          <w:sz w:val="22"/>
          <w:szCs w:val="22"/>
        </w:rPr>
      </w:pPr>
      <w:r>
        <w:rPr>
          <w:rFonts w:ascii="Open Sans" w:eastAsia="Open Sans" w:hAnsi="Open Sans" w:cs="Open Sans"/>
          <w:sz w:val="22"/>
          <w:szCs w:val="22"/>
        </w:rPr>
        <w:t>Joint working across education, health and community sectors is currently too variable and often reliant on individual relationships rather than system structures. Regional inequity remains a major barrier, with support varying significantly depending on geography. NHS restructuring, capacity pressures and misaligned processes frequently stall progress, thus stronger commissioning mechanisms, formal collaboration requirements and shared data systems are needed to ensure consistency and resilience.</w:t>
      </w:r>
    </w:p>
    <w:p w:rsidR="007A6994">
      <w:pPr>
        <w:rPr>
          <w:rFonts w:ascii="Open Sans" w:eastAsia="Open Sans" w:hAnsi="Open Sans" w:cs="Open Sans"/>
          <w:sz w:val="22"/>
          <w:szCs w:val="22"/>
        </w:rPr>
      </w:pPr>
      <w:r>
        <w:rPr>
          <w:rFonts w:ascii="Open Sans" w:eastAsia="Open Sans" w:hAnsi="Open Sans" w:cs="Open Sans"/>
          <w:sz w:val="22"/>
          <w:szCs w:val="22"/>
        </w:rPr>
        <w:t xml:space="preserve">Alignment between the Department for Education and the Department of Health and Social Care remains insufficient. National strategies do not translate into coordinated delivery for FE settings, and guidance such as Keeping Children Safe in Education does not fully reflect FE’s distinct context. A whole system approach involving DWP, Local </w:t>
      </w:r>
      <w:r>
        <w:rPr>
          <w:rFonts w:ascii="Open Sans" w:eastAsia="Open Sans" w:hAnsi="Open Sans" w:cs="Open Sans"/>
          <w:sz w:val="22"/>
          <w:szCs w:val="22"/>
        </w:rPr>
        <w:t>Authorities and the voluntary and community sector, is essential to address the full spectrum of need across the 11–25 age range.</w:t>
      </w:r>
    </w:p>
    <w:p w:rsidR="007A6994">
      <w:pPr>
        <w:rPr>
          <w:rFonts w:ascii="Open Sans" w:eastAsia="Open Sans" w:hAnsi="Open Sans" w:cs="Open Sans"/>
          <w:sz w:val="22"/>
          <w:szCs w:val="22"/>
        </w:rPr>
      </w:pPr>
      <w:r>
        <w:rPr>
          <w:rFonts w:ascii="Open Sans" w:eastAsia="Open Sans" w:hAnsi="Open Sans" w:cs="Open Sans"/>
          <w:sz w:val="22"/>
          <w:szCs w:val="22"/>
        </w:rPr>
        <w:t>Overall, colleges are crucial to the national mental health system and offer significant untapped potential. With appropriate policy alignment, investment and structural support, they can deliver scalable, preventative, community-anchored mental health provision that reduces NHS demand and improves outcomes for young people.</w:t>
      </w:r>
    </w:p>
    <w:p w:rsidR="007A6994">
      <w:pPr>
        <w:rPr>
          <w:rFonts w:ascii="Open Sans" w:eastAsia="Open Sans" w:hAnsi="Open Sans" w:cs="Open Sans"/>
          <w:sz w:val="22"/>
          <w:szCs w:val="22"/>
        </w:rPr>
      </w:pPr>
    </w:p>
    <w:p w:rsidR="007A6994">
      <w:pPr>
        <w:rPr>
          <w:rFonts w:ascii="Open Sans" w:eastAsia="Open Sans" w:hAnsi="Open Sans" w:cs="Open Sans"/>
          <w:sz w:val="22"/>
          <w:szCs w:val="22"/>
        </w:rPr>
      </w:pPr>
      <w:r>
        <w:rPr>
          <w:rFonts w:ascii="Open Sans" w:eastAsia="Open Sans" w:hAnsi="Open Sans" w:cs="Open Sans"/>
          <w:sz w:val="22"/>
          <w:szCs w:val="22"/>
        </w:rPr>
        <w:t>To strengthen alignment and improve local delivery, Government should:</w:t>
      </w:r>
    </w:p>
    <w:p w:rsidR="007A6994">
      <w:pPr>
        <w:pStyle w:val="ListParagraph"/>
        <w:numPr>
          <w:ilvl w:val="0"/>
          <w:numId w:val="1"/>
        </w:numPr>
        <w:rPr>
          <w:rFonts w:ascii="Open Sans" w:eastAsia="Open Sans" w:hAnsi="Open Sans" w:cs="Open Sans"/>
          <w:sz w:val="22"/>
          <w:szCs w:val="22"/>
        </w:rPr>
      </w:pPr>
      <w:r>
        <w:rPr>
          <w:rFonts w:ascii="Open Sans" w:eastAsia="Open Sans" w:hAnsi="Open Sans" w:cs="Open Sans"/>
          <w:sz w:val="22"/>
          <w:szCs w:val="22"/>
        </w:rPr>
        <w:t>Move from high level strategies to practical implementation, with clear and consistent responsibilities across health and education.</w:t>
      </w:r>
    </w:p>
    <w:p w:rsidR="007A6994">
      <w:pPr>
        <w:pStyle w:val="ListParagraph"/>
        <w:numPr>
          <w:ilvl w:val="0"/>
          <w:numId w:val="1"/>
        </w:numPr>
        <w:rPr>
          <w:rFonts w:ascii="Open Sans" w:eastAsia="Open Sans" w:hAnsi="Open Sans" w:cs="Open Sans"/>
          <w:sz w:val="22"/>
          <w:szCs w:val="22"/>
        </w:rPr>
      </w:pPr>
      <w:r>
        <w:rPr>
          <w:rFonts w:ascii="Open Sans" w:eastAsia="Open Sans" w:hAnsi="Open Sans" w:cs="Open Sans"/>
          <w:sz w:val="22"/>
          <w:szCs w:val="22"/>
        </w:rPr>
        <w:t>Establish a national framework for multiagency collaboration, ensuring consistent engagement from ICBs, CAMHS, LAs, voluntary sector partners and education providers.</w:t>
      </w:r>
    </w:p>
    <w:p w:rsidR="007A6994">
      <w:pPr>
        <w:pStyle w:val="ListParagraph"/>
        <w:numPr>
          <w:ilvl w:val="0"/>
          <w:numId w:val="1"/>
        </w:numPr>
        <w:rPr>
          <w:rFonts w:ascii="Open Sans" w:eastAsia="Open Sans" w:hAnsi="Open Sans" w:cs="Open Sans"/>
          <w:sz w:val="22"/>
          <w:szCs w:val="22"/>
        </w:rPr>
      </w:pPr>
      <w:r>
        <w:rPr>
          <w:rFonts w:ascii="Open Sans" w:eastAsia="Open Sans" w:hAnsi="Open Sans" w:cs="Open Sans"/>
          <w:sz w:val="22"/>
          <w:szCs w:val="22"/>
        </w:rPr>
        <w:t>Require ICBs and NHS Trusts to formally include colleges in commissioning and delivery plans for children and young people’s mental health.</w:t>
      </w:r>
    </w:p>
    <w:p w:rsidR="007A6994">
      <w:pPr>
        <w:pStyle w:val="ListParagraph"/>
        <w:numPr>
          <w:ilvl w:val="0"/>
          <w:numId w:val="1"/>
        </w:numPr>
        <w:rPr>
          <w:rFonts w:ascii="Open Sans" w:eastAsia="Open Sans" w:hAnsi="Open Sans" w:cs="Open Sans"/>
          <w:sz w:val="22"/>
          <w:szCs w:val="22"/>
        </w:rPr>
      </w:pPr>
      <w:r>
        <w:rPr>
          <w:rFonts w:ascii="Open Sans" w:eastAsia="Open Sans" w:hAnsi="Open Sans" w:cs="Open Sans"/>
          <w:sz w:val="22"/>
          <w:szCs w:val="22"/>
        </w:rPr>
        <w:t>Improve cross government coherence, linking DHSC, DfE and DWP strategies where young people’s outcomes overlap and ensure sustainable and equitable allocation of funding and future investment across all children and young people enables this policy delivery.</w:t>
      </w:r>
    </w:p>
    <w:p w:rsidR="007A6994">
      <w:pPr>
        <w:pStyle w:val="ListParagraph"/>
        <w:numPr>
          <w:ilvl w:val="0"/>
          <w:numId w:val="1"/>
        </w:numPr>
        <w:rPr>
          <w:rFonts w:ascii="Open Sans" w:eastAsia="Open Sans" w:hAnsi="Open Sans" w:cs="Open Sans"/>
          <w:sz w:val="22"/>
          <w:szCs w:val="22"/>
        </w:rPr>
      </w:pPr>
      <w:r>
        <w:rPr>
          <w:rFonts w:ascii="Open Sans" w:eastAsia="Open Sans" w:hAnsi="Open Sans" w:cs="Open Sans"/>
          <w:sz w:val="22"/>
          <w:szCs w:val="22"/>
        </w:rPr>
        <w:t>Support consistent mechanisms for data sharing, communication and coproduction across services and education settings.</w:t>
      </w:r>
    </w:p>
    <w:p w:rsidR="007A6994">
      <w:pPr>
        <w:pStyle w:val="ListParagraph"/>
        <w:numPr>
          <w:ilvl w:val="0"/>
          <w:numId w:val="1"/>
        </w:numPr>
        <w:rPr>
          <w:rFonts w:ascii="Open Sans" w:eastAsia="Open Sans" w:hAnsi="Open Sans" w:cs="Open Sans"/>
          <w:sz w:val="22"/>
          <w:szCs w:val="22"/>
        </w:rPr>
      </w:pPr>
      <w:r>
        <w:rPr>
          <w:rFonts w:ascii="Open Sans" w:eastAsia="Open Sans" w:hAnsi="Open Sans" w:cs="Open Sans"/>
          <w:sz w:val="22"/>
          <w:szCs w:val="22"/>
        </w:rPr>
        <w:t>Review teaching training and ongoing learning and development opportunities for Senior Mental Health Leads and wider education workforce to ensure currency and preparedness of education staff to support the mental health of children and young people.</w:t>
      </w:r>
    </w:p>
    <w:p w:rsidR="007A6994">
      <w:pPr>
        <w:rPr>
          <w:rFonts w:ascii="Open Sans" w:hAnsi="Open Sans" w:cs="Open Sans"/>
          <w:sz w:val="22"/>
          <w:szCs w:val="22"/>
        </w:rPr>
      </w:pPr>
      <w:r>
        <w:rPr>
          <w:rFonts w:ascii="Open Sans" w:hAnsi="Open Sans" w:cs="Open Sans"/>
          <w:sz w:val="22"/>
          <w:szCs w:val="22"/>
        </w:rPr>
        <w:t xml:space="preserve"> </w:t>
      </w:r>
    </w:p>
    <w:p w:rsidR="007A6994">
      <w:r>
        <w:rPr>
          <w:rFonts w:ascii="Open Sans" w:eastAsia="Open Sans" w:hAnsi="Open Sans" w:cs="Open Sans"/>
          <w:sz w:val="22"/>
          <w:szCs w:val="22"/>
        </w:rPr>
        <w:t>These steps would provide the stability, clarity and joint working required to deliver an integrated, effective mental health system for children and young people.</w:t>
      </w:r>
    </w:p>
    <w:p w:rsidR="007A6994"/>
    <w:p w:rsidR="007A6994">
      <w:pPr>
        <w:pageBreakBefore/>
        <w:suppressAutoHyphens w:val="0"/>
        <w:rPr>
          <w:rFonts w:ascii="Open Sans Semibold" w:eastAsia="Open Sans Semibold" w:hAnsi="Open Sans Semibold" w:cs="Open Sans Semibold"/>
          <w:b/>
          <w:bCs/>
          <w:sz w:val="36"/>
          <w:szCs w:val="36"/>
        </w:rPr>
      </w:pPr>
    </w:p>
    <w:p w:rsidR="007A6994">
      <w:pPr>
        <w:rPr>
          <w:rFonts w:ascii="Open Sans Semibold" w:eastAsia="Open Sans Semibold" w:hAnsi="Open Sans Semibold" w:cs="Open Sans Semibold"/>
          <w:b/>
          <w:bCs/>
          <w:sz w:val="36"/>
          <w:szCs w:val="36"/>
        </w:rPr>
      </w:pPr>
      <w:r>
        <w:rPr>
          <w:rFonts w:ascii="Open Sans Semibold" w:eastAsia="Open Sans Semibold" w:hAnsi="Open Sans Semibold" w:cs="Open Sans Semibold"/>
          <w:b/>
          <w:bCs/>
          <w:sz w:val="36"/>
          <w:szCs w:val="36"/>
        </w:rPr>
        <w:t>The role of education and community settings in support and delivery</w:t>
      </w:r>
    </w:p>
    <w:p w:rsidR="007A6994">
      <w:pPr>
        <w:rPr>
          <w:rFonts w:ascii="Open Sans" w:eastAsia="Open Sans" w:hAnsi="Open Sans" w:cs="Open Sans"/>
          <w:sz w:val="28"/>
          <w:szCs w:val="28"/>
        </w:rPr>
      </w:pPr>
      <w:r>
        <w:rPr>
          <w:rFonts w:ascii="Open Sans" w:eastAsia="Open Sans" w:hAnsi="Open Sans" w:cs="Open Sans"/>
          <w:sz w:val="28"/>
          <w:szCs w:val="28"/>
        </w:rPr>
        <w:t>How effectively are education and community providers identifying and responding to mental health needs?</w:t>
      </w:r>
    </w:p>
    <w:p w:rsidR="007A6994">
      <w:r>
        <w:rPr>
          <w:rFonts w:ascii="Open Sans" w:eastAsia="Open Sans" w:hAnsi="Open Sans" w:cs="Open Sans"/>
          <w:sz w:val="22"/>
          <w:szCs w:val="22"/>
        </w:rPr>
        <w:t>Further education colleges play a critical and often under recognised role in supporting the mental health and wellbeing of young people. With one in five young people aged 8–25 now experiencing a probable mental health condition</w:t>
      </w:r>
      <w:r>
        <w:rPr>
          <w:rStyle w:val="FootnoteReference"/>
          <w:rFonts w:ascii="Open Sans" w:eastAsia="Open Sans" w:hAnsi="Open Sans" w:cs="Open Sans"/>
          <w:sz w:val="22"/>
          <w:szCs w:val="22"/>
        </w:rPr>
        <w:footnoteReference w:id="2"/>
      </w:r>
      <w:r>
        <w:rPr>
          <w:rFonts w:ascii="Open Sans" w:eastAsia="Open Sans" w:hAnsi="Open Sans" w:cs="Open Sans"/>
          <w:sz w:val="22"/>
          <w:szCs w:val="22"/>
        </w:rPr>
        <w:t>, the pressures facing students have intensified significantly. Colleges have stepped into this space with commitment and innovation, but too often without the formal system support, resourcing or policy clarity required to fulfil these responsibilities safely or sustainably.</w:t>
      </w:r>
    </w:p>
    <w:p w:rsidR="007A6994">
      <w:r>
        <w:rPr>
          <w:rFonts w:ascii="Open Sans" w:eastAsia="Open Sans" w:hAnsi="Open Sans" w:cs="Open Sans"/>
          <w:sz w:val="22"/>
          <w:szCs w:val="22"/>
        </w:rPr>
        <w:t>Colleges have embedded whole college approaches to mental health and wellbeing, shaped by the AoC Mental Health Charter</w:t>
      </w:r>
      <w:r>
        <w:rPr>
          <w:rStyle w:val="FootnoteReference"/>
          <w:rFonts w:ascii="Open Sans" w:eastAsia="Open Sans" w:hAnsi="Open Sans" w:cs="Open Sans"/>
          <w:sz w:val="22"/>
          <w:szCs w:val="22"/>
        </w:rPr>
        <w:footnoteReference w:id="3"/>
      </w:r>
      <w:r>
        <w:rPr>
          <w:rFonts w:ascii="Open Sans" w:eastAsia="Open Sans" w:hAnsi="Open Sans" w:cs="Open Sans"/>
          <w:sz w:val="22"/>
          <w:szCs w:val="22"/>
        </w:rPr>
        <w:t xml:space="preserve"> and the widespread adoption of trauma informed and restorative practice. These approaches reflect colleges’ understanding that they are often the place where young people feel safe to disclose concerns, seek help and build meaningful relationships with trusted adults. Pastoral care, specialist wellbeing teams, counselling services and proactive prevention programmes form a core part of the college offer, drawing on a person-centred ethos that has become firmly embedded in policy and culture.</w:t>
      </w:r>
    </w:p>
    <w:p w:rsidR="007A6994">
      <w:pPr>
        <w:rPr>
          <w:rFonts w:ascii="Open Sans" w:eastAsia="Open Sans" w:hAnsi="Open Sans" w:cs="Open Sans"/>
          <w:sz w:val="22"/>
          <w:szCs w:val="22"/>
        </w:rPr>
      </w:pPr>
      <w:r>
        <w:rPr>
          <w:rFonts w:ascii="Open Sans" w:eastAsia="Open Sans" w:hAnsi="Open Sans" w:cs="Open Sans"/>
          <w:sz w:val="22"/>
          <w:szCs w:val="22"/>
        </w:rPr>
        <w:t>The scale of need remains significant. Rising prevalence of mental health difficulties among 17–19-year-olds, long NHS waiting times and reduced access to community services mean colleges are increasingly supporting students with high level, acute needs such as suicidal ideation, self harm and psychosis. Young people are regularly referred to colleges by GPs for counselling, and in some cases, colleges appear in NHS Health Recovery Plans without consultation. In one locality in England, the closure of a bereavement service resulted in young people being redirected to the college for support, highlighting the system’s reliance on FE to fill critical gaps.</w:t>
      </w:r>
    </w:p>
    <w:p w:rsidR="007A6994">
      <w:r>
        <w:rPr>
          <w:rFonts w:ascii="Open Sans" w:eastAsia="Open Sans" w:hAnsi="Open Sans" w:cs="Open Sans"/>
          <w:sz w:val="22"/>
          <w:szCs w:val="22"/>
        </w:rPr>
        <w:t>Colleges are not clinical services yet are often required to operate as a frontline service – the 4</w:t>
      </w:r>
      <w:r>
        <w:rPr>
          <w:rFonts w:ascii="Open Sans" w:eastAsia="Open Sans" w:hAnsi="Open Sans" w:cs="Open Sans"/>
          <w:sz w:val="22"/>
          <w:szCs w:val="22"/>
          <w:vertAlign w:val="superscript"/>
        </w:rPr>
        <w:t>th</w:t>
      </w:r>
      <w:r>
        <w:rPr>
          <w:rFonts w:ascii="Open Sans" w:eastAsia="Open Sans" w:hAnsi="Open Sans" w:cs="Open Sans"/>
          <w:sz w:val="22"/>
          <w:szCs w:val="22"/>
        </w:rPr>
        <w:t xml:space="preserve"> emergency service – providing crisis intervention or containment support, while the young person remains on a waiting list. National policy must clarify expectations, </w:t>
      </w:r>
      <w:r>
        <w:rPr>
          <w:rFonts w:ascii="Open Sans" w:eastAsia="Open Sans" w:hAnsi="Open Sans" w:cs="Open Sans"/>
          <w:sz w:val="22"/>
          <w:szCs w:val="22"/>
        </w:rPr>
        <w:t>define appropriate thresholds and ensure that responsibilities placed on colleges remain both safe and sustainable. Colleges must be routinely included in formal partnerships with NHS and emergency services to ensure coordinated and timely intervention and support.</w:t>
      </w:r>
    </w:p>
    <w:p w:rsidR="007A6994">
      <w:pPr>
        <w:rPr>
          <w:rFonts w:ascii="Open Sans" w:eastAsia="Open Sans" w:hAnsi="Open Sans" w:cs="Open Sans"/>
          <w:sz w:val="22"/>
          <w:szCs w:val="22"/>
        </w:rPr>
      </w:pPr>
      <w:r>
        <w:rPr>
          <w:rFonts w:ascii="Open Sans" w:eastAsia="Open Sans" w:hAnsi="Open Sans" w:cs="Open Sans"/>
          <w:sz w:val="22"/>
          <w:szCs w:val="22"/>
        </w:rPr>
        <w:t>Staff wellbeing and capability are crucial. Colleges need access to high quality, FE-specific training, free or low-cost resources, and opportunities to collaborate with peers. Continued investment in Senior Mental Health Lead development is welcome, but must be matched with wider, ongoing sector support.</w:t>
      </w:r>
    </w:p>
    <w:p w:rsidR="007A6994">
      <w:r>
        <w:rPr>
          <w:rFonts w:ascii="Open Sans" w:eastAsia="Open Sans" w:hAnsi="Open Sans" w:cs="Open Sans"/>
          <w:sz w:val="22"/>
          <w:szCs w:val="22"/>
        </w:rPr>
        <w:t xml:space="preserve">Colleges are well positioned to act as hubs in integrated community mental health models. Bringing together education, health and community services on campus reduces waiting times, supports early triage and prevents students falling between services. The NHS England trailblazer programme embedding CAMHS practitioners in colleges has shown consistently positive outcomes, including </w:t>
      </w:r>
      <w:r>
        <w:rPr>
          <w:rFonts w:ascii="Open Sans" w:hAnsi="Open Sans" w:cs="Open Sans"/>
          <w:sz w:val="22"/>
          <w:szCs w:val="22"/>
        </w:rPr>
        <w:t>reductions in safeguarding incidents involving suicide ideation and self</w:t>
      </w:r>
      <w:r>
        <w:rPr>
          <w:rFonts w:ascii="Open Sans" w:hAnsi="Open Sans" w:cs="Open Sans"/>
          <w:sz w:val="22"/>
          <w:szCs w:val="22"/>
        </w:rPr>
        <w:noBreakHyphen/>
        <w:t>harm, increased attendance and retention, and thousands of additional student workshop engagements. An</w:t>
      </w:r>
      <w:r>
        <w:rPr>
          <w:rFonts w:ascii="Open Sans" w:eastAsia="Open Sans" w:hAnsi="Open Sans" w:cs="Open Sans"/>
          <w:sz w:val="22"/>
          <w:szCs w:val="22"/>
        </w:rPr>
        <w:t xml:space="preserve"> increasing number of colleges are building local partnerships with NHS Trusts and national policy should support consistent adoption of this model across all Integrated Care Boards (ICBs).</w:t>
      </w:r>
    </w:p>
    <w:p w:rsidR="007A6994">
      <w:r>
        <w:rPr>
          <w:rFonts w:ascii="Open Sans" w:eastAsia="Open Sans" w:hAnsi="Open Sans" w:cs="Open Sans"/>
          <w:sz w:val="22"/>
          <w:szCs w:val="22"/>
        </w:rPr>
        <w:t>Inspection and accountability frameworks play an important role but must recognise the distinct context of post16 education. Colleges respond to students not because policy compels them, but because their mission is to remove barriers to learning. Too often, guidance and funding streams are designed with schools in mind, with colleges added later or not at all. This limits access to funding and delays support for young people aged 16–25, many of whom come from disadvantaged backgrounds. The inquiry should therefore consider post16 learners on an equal basis, reflecting their needs and the operational realities of FE.</w:t>
      </w:r>
    </w:p>
    <w:p w:rsidR="007A6994">
      <w:pPr>
        <w:jc w:val="center"/>
      </w:pPr>
    </w:p>
    <w:p w:rsidR="007A6994">
      <w:pPr>
        <w:jc w:val="center"/>
      </w:pPr>
    </w:p>
    <w:p w:rsidR="007A6994">
      <w:pPr>
        <w:rPr>
          <w:rFonts w:ascii="Open Sans" w:eastAsia="Open Sans" w:hAnsi="Open Sans" w:cs="Open Sans"/>
          <w:sz w:val="28"/>
          <w:szCs w:val="28"/>
        </w:rPr>
      </w:pPr>
      <w:r>
        <w:rPr>
          <w:rFonts w:ascii="Open Sans" w:eastAsia="Open Sans" w:hAnsi="Open Sans" w:cs="Open Sans"/>
          <w:sz w:val="28"/>
          <w:szCs w:val="28"/>
        </w:rPr>
        <w:t>What is required to achieve the Government’s manifesto commitments on mental health support in schools and colleges?</w:t>
      </w:r>
    </w:p>
    <w:p w:rsidR="007A6994">
      <w:pPr>
        <w:rPr>
          <w:rFonts w:ascii="Open Sans" w:eastAsia="Open Sans" w:hAnsi="Open Sans" w:cs="Open Sans"/>
          <w:sz w:val="22"/>
          <w:szCs w:val="22"/>
        </w:rPr>
      </w:pPr>
      <w:r>
        <w:rPr>
          <w:rFonts w:ascii="Open Sans" w:eastAsia="Open Sans" w:hAnsi="Open Sans" w:cs="Open Sans"/>
          <w:sz w:val="22"/>
          <w:szCs w:val="22"/>
        </w:rPr>
        <w:t>Delivering the Government’s commitments requires a coherent national framework that coordinates education, health and wider support services, backed by sustained investment and strong cross government leadership. Collaboration between colleges, ICBs and specialist NHS services must be made explicit in national policy, with assurance that post16 needs are fully considered in design and delivery.</w:t>
      </w:r>
    </w:p>
    <w:p w:rsidR="007A6994">
      <w:r>
        <w:rPr>
          <w:rFonts w:ascii="Open Sans" w:eastAsia="Open Sans" w:hAnsi="Open Sans" w:cs="Open Sans"/>
          <w:sz w:val="22"/>
          <w:szCs w:val="22"/>
        </w:rPr>
        <w:t xml:space="preserve">Significant regional variation in service availability creates inequity for students. National expectations for equitable access, delivered through local strategic </w:t>
      </w:r>
      <w:r>
        <w:rPr>
          <w:rFonts w:ascii="Open Sans" w:eastAsia="Open Sans" w:hAnsi="Open Sans" w:cs="Open Sans"/>
          <w:sz w:val="22"/>
          <w:szCs w:val="22"/>
        </w:rPr>
        <w:t>commissioning, must ensure provision reflects the needs of all young people, including commuter students who cross Trust boundaries. Policy and funding should ensure parity across educational settings; for example, the disparity in Free College Meal</w:t>
      </w:r>
      <w:r>
        <w:rPr>
          <w:rStyle w:val="FootnoteReference"/>
          <w:rFonts w:ascii="Open Sans" w:eastAsia="Open Sans" w:hAnsi="Open Sans" w:cs="Open Sans"/>
          <w:sz w:val="22"/>
          <w:szCs w:val="22"/>
        </w:rPr>
        <w:footnoteReference w:id="4"/>
      </w:r>
      <w:r>
        <w:rPr>
          <w:rFonts w:ascii="Open Sans" w:eastAsia="Open Sans" w:hAnsi="Open Sans" w:cs="Open Sans"/>
          <w:sz w:val="22"/>
          <w:szCs w:val="22"/>
        </w:rPr>
        <w:t xml:space="preserve"> rates between colleges and school sixth forms illustrates wider inequities that have direct consequences for health and wellbeing.</w:t>
      </w:r>
    </w:p>
    <w:p w:rsidR="007A6994">
      <w:pPr>
        <w:rPr>
          <w:rFonts w:ascii="Open Sans" w:eastAsia="Open Sans" w:hAnsi="Open Sans" w:cs="Open Sans"/>
          <w:sz w:val="22"/>
          <w:szCs w:val="22"/>
        </w:rPr>
      </w:pPr>
      <w:r>
        <w:rPr>
          <w:rFonts w:ascii="Open Sans" w:eastAsia="Open Sans" w:hAnsi="Open Sans" w:cs="Open Sans"/>
          <w:sz w:val="22"/>
          <w:szCs w:val="22"/>
        </w:rPr>
        <w:t>Information sharing remains a major weakness. Colleges frequently receive safeguarding files late, incomplete or not at all. Universal data sharing agreements and clear national protocols to sharing information between education and health teams in a time-appropriate manner, are essential to safeguard vulnerable young people. Tragic cases, including a recent student death by suicide in which missing information may have been a factor, highlight the urgency of reform.</w:t>
      </w:r>
    </w:p>
    <w:p w:rsidR="007A6994">
      <w:r>
        <w:rPr>
          <w:rFonts w:ascii="Open Sans" w:eastAsia="Open Sans" w:hAnsi="Open Sans" w:cs="Open Sans"/>
          <w:sz w:val="22"/>
          <w:szCs w:val="22"/>
        </w:rPr>
        <w:t xml:space="preserve">Integrated support models connecting colleges, NHS services and community provision have proven highly effective in prevention and early intervention. </w:t>
      </w:r>
      <w:r>
        <w:rPr>
          <w:rFonts w:ascii="Open Sans" w:hAnsi="Open Sans" w:cs="Open Sans"/>
          <w:sz w:val="22"/>
          <w:szCs w:val="22"/>
        </w:rPr>
        <w:t>From Treatment to Prevention: How Colleges Can Build a Healthier Society</w:t>
      </w:r>
      <w:r>
        <w:rPr>
          <w:rStyle w:val="FootnoteReference"/>
          <w:rFonts w:ascii="Open Sans" w:hAnsi="Open Sans" w:cs="Open Sans"/>
          <w:sz w:val="22"/>
          <w:szCs w:val="22"/>
        </w:rPr>
        <w:footnoteReference w:id="5"/>
      </w:r>
      <w:r>
        <w:rPr>
          <w:rFonts w:ascii="Open Sans" w:hAnsi="Open Sans" w:cs="Open Sans"/>
          <w:sz w:val="22"/>
          <w:szCs w:val="22"/>
        </w:rPr>
        <w:t xml:space="preserve"> documents how collaboration across sectors enhances wellbeing support within colleges and strengthens local prevention strategies, including suicide prevention efforts and initiatives that promote healthy behaviours through physical activity and community engagement. </w:t>
      </w:r>
      <w:r>
        <w:rPr>
          <w:rFonts w:ascii="Open Sans" w:eastAsia="Open Sans" w:hAnsi="Open Sans" w:cs="Open Sans"/>
          <w:sz w:val="22"/>
          <w:szCs w:val="22"/>
        </w:rPr>
        <w:t xml:space="preserve"> Embedding mental health education and wellbeing initiatives within curriculum and tutorial programmes also enables colleges to challenge stigma, develop emotional literacy and encourage a culture of openness and trust to reach out for support and recognise when it is needed.</w:t>
      </w:r>
    </w:p>
    <w:p w:rsidR="007A6994">
      <w:pPr>
        <w:rPr>
          <w:rFonts w:ascii="Open Sans" w:eastAsia="Open Sans" w:hAnsi="Open Sans" w:cs="Open Sans"/>
          <w:sz w:val="22"/>
          <w:szCs w:val="22"/>
        </w:rPr>
      </w:pPr>
      <w:r>
        <w:rPr>
          <w:rFonts w:ascii="Open Sans" w:eastAsia="Open Sans" w:hAnsi="Open Sans" w:cs="Open Sans"/>
          <w:sz w:val="22"/>
          <w:szCs w:val="22"/>
        </w:rPr>
        <w:t>Mental Health Support Teams (MHSTs) are a positive development, but availability and relevance for FE remains limited. Colleges are reporting reductions and withdrawal of MHST support as the system prioritises schools. Thresholds and delivery models also remain school-oriented, reducing suitability for post16 students. The Mental Health Investment Standard must be upheld in full and must explicitly include FE settings. Colleges should be engaged meaningfully in local mental health strategies as essential partners.</w:t>
      </w:r>
    </w:p>
    <w:p w:rsidR="007A6994">
      <w:pPr>
        <w:jc w:val="center"/>
      </w:pPr>
    </w:p>
    <w:p w:rsidR="007A6994">
      <w:pPr>
        <w:rPr>
          <w:rFonts w:ascii="Open Sans" w:eastAsia="Open Sans" w:hAnsi="Open Sans" w:cs="Open Sans"/>
          <w:sz w:val="28"/>
          <w:szCs w:val="28"/>
        </w:rPr>
      </w:pPr>
      <w:r>
        <w:rPr>
          <w:rFonts w:ascii="Open Sans" w:eastAsia="Open Sans" w:hAnsi="Open Sans" w:cs="Open Sans"/>
          <w:sz w:val="28"/>
          <w:szCs w:val="28"/>
        </w:rPr>
        <w:t>What opportunities exist for community based mental health support, and what resources are required?</w:t>
      </w:r>
    </w:p>
    <w:p w:rsidR="007A6994">
      <w:pPr>
        <w:rPr>
          <w:rFonts w:ascii="Open Sans" w:eastAsia="Open Sans" w:hAnsi="Open Sans" w:cs="Open Sans"/>
          <w:sz w:val="22"/>
          <w:szCs w:val="22"/>
        </w:rPr>
      </w:pPr>
      <w:r>
        <w:rPr>
          <w:rFonts w:ascii="Open Sans" w:eastAsia="Open Sans" w:hAnsi="Open Sans" w:cs="Open Sans"/>
          <w:sz w:val="22"/>
          <w:szCs w:val="22"/>
        </w:rPr>
        <w:t>Wide geographical disparities shape young people’s experience of mental health care. A strengthened national framework should ensure every area understands its local support offer and meets clear expectations for community-based provision. Integration into ICB planning would embed prevention and early intervention within broader health systems.</w:t>
      </w:r>
    </w:p>
    <w:p w:rsidR="007A6994">
      <w:pPr>
        <w:rPr>
          <w:rFonts w:ascii="Open Sans" w:eastAsia="Open Sans" w:hAnsi="Open Sans" w:cs="Open Sans"/>
          <w:sz w:val="22"/>
          <w:szCs w:val="22"/>
        </w:rPr>
      </w:pPr>
      <w:r>
        <w:rPr>
          <w:rFonts w:ascii="Open Sans" w:eastAsia="Open Sans" w:hAnsi="Open Sans" w:cs="Open Sans"/>
          <w:sz w:val="22"/>
          <w:szCs w:val="22"/>
        </w:rPr>
        <w:t>Social prescribing presents substantial opportunities to connect young people with impactful non-clinical support such as group activity, physical exercise, volunteering, creative programmes and peer support. These approaches reduce escalation and demand on NHS services. To deliver consistently, national guidance, quality assurance frameworks and baseline funding are essential. Colleges, with strong community reach, are well positioned to support and deliver social prescribing at scale.</w:t>
      </w:r>
    </w:p>
    <w:p w:rsidR="007A6994">
      <w:r>
        <w:rPr>
          <w:rFonts w:ascii="Open Sans" w:eastAsia="Open Sans" w:hAnsi="Open Sans" w:cs="Open Sans"/>
          <w:sz w:val="22"/>
          <w:szCs w:val="22"/>
        </w:rPr>
        <w:t>Colleges are working creatively and responsively with health and community partners to address emerging need, but these initiatives and partnerships rely heavily on individual commitment due to gaps in funding, integrated systems and cross government alignment. The potential is far reaching though, as demonstrated by the examples below:</w:t>
      </w:r>
    </w:p>
    <w:p w:rsidR="007A6994">
      <w:pPr>
        <w:pStyle w:val="ListParagraph"/>
        <w:numPr>
          <w:ilvl w:val="0"/>
          <w:numId w:val="2"/>
        </w:numPr>
        <w:rPr>
          <w:rFonts w:ascii="Open Sans" w:eastAsia="Open Sans" w:hAnsi="Open Sans" w:cs="Open Sans"/>
          <w:sz w:val="22"/>
          <w:szCs w:val="22"/>
        </w:rPr>
      </w:pPr>
      <w:r>
        <w:rPr>
          <w:rFonts w:ascii="Open Sans" w:eastAsia="Open Sans" w:hAnsi="Open Sans" w:cs="Open Sans"/>
          <w:sz w:val="22"/>
          <w:szCs w:val="22"/>
        </w:rPr>
        <w:t>Co-creation of a Health Hub (focused on cessation of smoking/vaping) between a college and Public Health team, delivering harm reduction support through emotional literacy education.</w:t>
      </w:r>
    </w:p>
    <w:p w:rsidR="007A6994">
      <w:pPr>
        <w:pStyle w:val="ListParagraph"/>
        <w:numPr>
          <w:ilvl w:val="0"/>
          <w:numId w:val="3"/>
        </w:numPr>
        <w:rPr>
          <w:rFonts w:ascii="Open Sans" w:eastAsia="Open Sans" w:hAnsi="Open Sans" w:cs="Open Sans"/>
          <w:sz w:val="22"/>
          <w:szCs w:val="22"/>
        </w:rPr>
      </w:pPr>
      <w:r>
        <w:rPr>
          <w:rFonts w:ascii="Open Sans" w:eastAsia="Open Sans" w:hAnsi="Open Sans" w:cs="Open Sans"/>
          <w:sz w:val="22"/>
          <w:szCs w:val="22"/>
        </w:rPr>
        <w:t>Creativity for Wellbeing courses developed by a college with community partners, supporting adults facing barriers to mainstream education by delivering programmes in trusted community venues.</w:t>
      </w:r>
    </w:p>
    <w:p w:rsidR="007A6994">
      <w:pPr>
        <w:pStyle w:val="ListParagraph"/>
        <w:numPr>
          <w:ilvl w:val="0"/>
          <w:numId w:val="3"/>
        </w:numPr>
        <w:rPr>
          <w:rFonts w:ascii="Open Sans" w:eastAsia="Open Sans" w:hAnsi="Open Sans" w:cs="Open Sans"/>
          <w:sz w:val="22"/>
          <w:szCs w:val="22"/>
        </w:rPr>
      </w:pPr>
      <w:r>
        <w:rPr>
          <w:rFonts w:ascii="Open Sans" w:eastAsia="Open Sans" w:hAnsi="Open Sans" w:cs="Open Sans"/>
          <w:sz w:val="22"/>
          <w:szCs w:val="22"/>
        </w:rPr>
        <w:t>Formalised Education Partnership between NHS and education providers led to development of new transition guidance and a RAG system to identify young people at risk, supported by shared data systems.</w:t>
      </w:r>
    </w:p>
    <w:p w:rsidR="007A6994">
      <w:pPr>
        <w:pStyle w:val="ListParagraph"/>
        <w:numPr>
          <w:ilvl w:val="0"/>
          <w:numId w:val="3"/>
        </w:numPr>
        <w:rPr>
          <w:rFonts w:ascii="Open Sans" w:eastAsia="Open Sans" w:hAnsi="Open Sans" w:cs="Open Sans"/>
          <w:sz w:val="22"/>
          <w:szCs w:val="22"/>
        </w:rPr>
      </w:pPr>
      <w:r>
        <w:rPr>
          <w:rFonts w:ascii="Open Sans" w:eastAsia="Open Sans" w:hAnsi="Open Sans" w:cs="Open Sans"/>
          <w:sz w:val="22"/>
          <w:szCs w:val="22"/>
        </w:rPr>
        <w:t>Integrated college representation with ICB Mental Health Strategic Transformation Planning.</w:t>
      </w:r>
    </w:p>
    <w:p w:rsidR="007A6994">
      <w:r>
        <w:rPr>
          <w:rFonts w:ascii="Open Sans" w:eastAsia="Open Sans" w:hAnsi="Open Sans" w:cs="Open Sans"/>
          <w:sz w:val="22"/>
          <w:szCs w:val="22"/>
        </w:rPr>
        <w:t xml:space="preserve">Government programmes such as Young Futures and Early Support Hubs can strengthen early help for 11–25-year-olds. Colleges should be formally integrated into design, delivery and evaluation of these hubs given their daily contact with young people and expertise in supporting transitions. </w:t>
      </w:r>
      <w:r>
        <w:rPr>
          <w:rFonts w:ascii="Open Sans" w:hAnsi="Open Sans" w:cs="Open Sans"/>
          <w:sz w:val="22"/>
          <w:szCs w:val="22"/>
        </w:rPr>
        <w:t xml:space="preserve">Evidence set out in the National Academy for Social Prescribing’s </w:t>
      </w:r>
      <w:r>
        <w:rPr>
          <w:rFonts w:ascii="Open Sans" w:hAnsi="Open Sans" w:cs="Open Sans"/>
          <w:i/>
          <w:iCs/>
          <w:sz w:val="22"/>
          <w:szCs w:val="22"/>
        </w:rPr>
        <w:t>Connected to Thrive</w:t>
      </w:r>
      <w:r>
        <w:rPr>
          <w:rFonts w:ascii="Open Sans" w:hAnsi="Open Sans" w:cs="Open Sans"/>
          <w:sz w:val="22"/>
          <w:szCs w:val="22"/>
        </w:rPr>
        <w:t xml:space="preserve"> report</w:t>
      </w:r>
      <w:r>
        <w:rPr>
          <w:rStyle w:val="FootnoteReference"/>
          <w:rFonts w:ascii="Open Sans" w:hAnsi="Open Sans" w:cs="Open Sans"/>
          <w:sz w:val="22"/>
          <w:szCs w:val="22"/>
        </w:rPr>
        <w:footnoteReference w:id="6"/>
      </w:r>
      <w:r>
        <w:rPr>
          <w:rFonts w:ascii="Open Sans" w:hAnsi="Open Sans" w:cs="Open Sans"/>
          <w:sz w:val="22"/>
          <w:szCs w:val="22"/>
        </w:rPr>
        <w:t xml:space="preserve"> demonstrates how </w:t>
      </w:r>
      <w:r>
        <w:rPr>
          <w:rFonts w:ascii="Open Sans" w:hAnsi="Open Sans" w:cs="Open Sans"/>
          <w:sz w:val="22"/>
          <w:szCs w:val="22"/>
        </w:rPr>
        <w:t>embedding social prescribing within national strategies — including the NHS Long Term Plan, Early Support Hubs, Young Futures Hubs, and National Youth Strategy — can significantly enhance mental health support for children and young people.</w:t>
      </w:r>
    </w:p>
    <w:p w:rsidR="007A6994">
      <w:r>
        <w:rPr>
          <w:rFonts w:ascii="Open Sans" w:eastAsia="Open Sans" w:hAnsi="Open Sans" w:cs="Open Sans"/>
          <w:sz w:val="22"/>
          <w:szCs w:val="22"/>
        </w:rPr>
        <w:t>Colleges’ community role is extensive, but too often inconsistent engagement means young people experience fragmented support. Involvement in initiatives such as Operation Encompass</w:t>
      </w:r>
      <w:r>
        <w:rPr>
          <w:rStyle w:val="FootnoteReference"/>
          <w:rFonts w:ascii="Open Sans" w:eastAsia="Open Sans" w:hAnsi="Open Sans" w:cs="Open Sans"/>
          <w:sz w:val="22"/>
          <w:szCs w:val="22"/>
        </w:rPr>
        <w:footnoteReference w:id="7"/>
      </w:r>
      <w:r>
        <w:rPr>
          <w:rFonts w:ascii="Open Sans" w:eastAsia="Open Sans" w:hAnsi="Open Sans" w:cs="Open Sans"/>
          <w:sz w:val="22"/>
          <w:szCs w:val="22"/>
        </w:rPr>
        <w:t xml:space="preserve"> shows the potential impact when colleges are fully integrated into local safeguarding ecosystems. Colleges also play a crucial role in supporting progression to employment, making them essential partners in Youth Futures Hubs and DWP Youth Hubs.</w:t>
      </w:r>
    </w:p>
    <w:p w:rsidR="007A6994">
      <w:pPr>
        <w:rPr>
          <w:rFonts w:ascii="Open Sans" w:eastAsia="Open Sans" w:hAnsi="Open Sans" w:cs="Open Sans"/>
          <w:sz w:val="22"/>
          <w:szCs w:val="22"/>
        </w:rPr>
      </w:pPr>
      <w:r>
        <w:rPr>
          <w:rFonts w:ascii="Open Sans" w:eastAsia="Open Sans" w:hAnsi="Open Sans" w:cs="Open Sans"/>
          <w:sz w:val="22"/>
          <w:szCs w:val="22"/>
        </w:rPr>
        <w:t>A shift towards a 16–25 model of mental health support would align with evidence on brain development and address the abrupt discontinuity young people face at 18. This would also support improved transition into adult mental health services.</w:t>
      </w:r>
    </w:p>
    <w:p w:rsidR="007A6994">
      <w:r>
        <w:rPr>
          <w:rFonts w:ascii="Open Sans" w:hAnsi="Open Sans" w:cs="Open Sans"/>
          <w:sz w:val="22"/>
          <w:szCs w:val="22"/>
        </w:rPr>
        <w:t>Strengthening multi</w:t>
      </w:r>
      <w:r>
        <w:rPr>
          <w:rFonts w:ascii="Open Sans" w:hAnsi="Open Sans" w:cs="Open Sans"/>
          <w:sz w:val="22"/>
          <w:szCs w:val="22"/>
        </w:rPr>
        <w:noBreakHyphen/>
        <w:t>agency teams and improving MHST scope and capacity will enhance the effectiveness of community</w:t>
      </w:r>
      <w:r>
        <w:rPr>
          <w:rFonts w:ascii="Open Sans" w:hAnsi="Open Sans" w:cs="Open Sans"/>
          <w:sz w:val="22"/>
          <w:szCs w:val="22"/>
        </w:rPr>
        <w:noBreakHyphen/>
        <w:t xml:space="preserve">based support. Consistent provision and regular access to MHSTs and clinical practitioners, such as mental health nurses or psychological wellbeing practitioners, alongside facilitated joint work between college staff (who know the student well) and community services, supported by appropriate resource for case coordination, would be welcome – and is demonstrably effective in the few areas of England where this approach is already embedded. </w:t>
      </w:r>
      <w:r>
        <w:rPr>
          <w:rFonts w:ascii="Open Sans" w:eastAsia="Open Sans" w:hAnsi="Open Sans" w:cs="Open Sans"/>
          <w:sz w:val="22"/>
          <w:szCs w:val="22"/>
        </w:rPr>
        <w:t>Colleges have invested significantly in their own mental health and wellbeing teams, delivering responsive early intervention support and effective prevention education. Any national reforms should protect and build upon this existing effective practice.</w:t>
      </w:r>
    </w:p>
    <w:p w:rsidR="007A6994">
      <w:pPr>
        <w:jc w:val="center"/>
      </w:pPr>
    </w:p>
    <w:p w:rsidR="007A6994">
      <w:r>
        <w:rPr>
          <w:rFonts w:ascii="Open Sans Semibold" w:eastAsia="Open Sans Semibold" w:hAnsi="Open Sans Semibold" w:cs="Open Sans Semibold"/>
          <w:b/>
          <w:bCs/>
          <w:sz w:val="36"/>
          <w:szCs w:val="36"/>
        </w:rPr>
        <w:t>The role of</w:t>
      </w:r>
      <w:r>
        <w:rPr>
          <w:rFonts w:cs="Aptos"/>
          <w:b/>
          <w:bCs/>
          <w:sz w:val="32"/>
          <w:szCs w:val="32"/>
        </w:rPr>
        <w:t xml:space="preserve"> </w:t>
      </w:r>
      <w:r>
        <w:rPr>
          <w:rFonts w:ascii="Open Sans Semibold" w:eastAsia="Open Sans Semibold" w:hAnsi="Open Sans Semibold" w:cs="Open Sans Semibold"/>
          <w:b/>
          <w:bCs/>
          <w:sz w:val="36"/>
          <w:szCs w:val="36"/>
        </w:rPr>
        <w:t>NHS and specialist mental health services in support and delivery</w:t>
      </w:r>
    </w:p>
    <w:p w:rsidR="007A6994">
      <w:pPr>
        <w:rPr>
          <w:rFonts w:ascii="Open Sans" w:eastAsia="Open Sans" w:hAnsi="Open Sans" w:cs="Open Sans"/>
          <w:sz w:val="28"/>
          <w:szCs w:val="28"/>
        </w:rPr>
      </w:pPr>
      <w:r>
        <w:rPr>
          <w:rFonts w:ascii="Open Sans" w:eastAsia="Open Sans" w:hAnsi="Open Sans" w:cs="Open Sans"/>
          <w:sz w:val="28"/>
          <w:szCs w:val="28"/>
        </w:rPr>
        <w:t>What reforms to CAMHS would best support timely, equitable and continued access?</w:t>
      </w:r>
    </w:p>
    <w:p w:rsidR="007A6994">
      <w:pPr>
        <w:rPr>
          <w:rFonts w:ascii="Open Sans" w:eastAsia="Open Sans" w:hAnsi="Open Sans" w:cs="Open Sans"/>
          <w:sz w:val="22"/>
          <w:szCs w:val="22"/>
        </w:rPr>
      </w:pPr>
      <w:r>
        <w:rPr>
          <w:rFonts w:ascii="Open Sans" w:eastAsia="Open Sans" w:hAnsi="Open Sans" w:cs="Open Sans"/>
          <w:sz w:val="22"/>
          <w:szCs w:val="22"/>
        </w:rPr>
        <w:t xml:space="preserve">The current CAMHS system is marked by long waits, inconsistent thresholds and significant regional variation. Reform must establish a consistent national framework with clear waiting time standards, equitable thresholds and transparent reporting. Early </w:t>
      </w:r>
      <w:r>
        <w:rPr>
          <w:rFonts w:ascii="Open Sans" w:eastAsia="Open Sans" w:hAnsi="Open Sans" w:cs="Open Sans"/>
          <w:sz w:val="22"/>
          <w:szCs w:val="22"/>
        </w:rPr>
        <w:t>help should be prioritised, preventing services from becoming accessible only at crisis point.</w:t>
      </w:r>
    </w:p>
    <w:p w:rsidR="007A6994">
      <w:pPr>
        <w:rPr>
          <w:rFonts w:ascii="Open Sans" w:eastAsia="Open Sans" w:hAnsi="Open Sans" w:cs="Open Sans"/>
          <w:sz w:val="22"/>
          <w:szCs w:val="22"/>
        </w:rPr>
      </w:pPr>
      <w:r>
        <w:rPr>
          <w:rFonts w:ascii="Open Sans" w:eastAsia="Open Sans" w:hAnsi="Open Sans" w:cs="Open Sans"/>
          <w:sz w:val="22"/>
          <w:szCs w:val="22"/>
        </w:rPr>
        <w:t>Embedding CAMHS practitioners directly within colleges would improve access, continuity and engagement. Colleges provide safe, stable environments where young people are more likely to attend appointments, engage in follow-up and benefit from ongoing therapeutic support. Onsite delivery reduces missed appointments and strengthens coordination between education and health services.</w:t>
      </w:r>
    </w:p>
    <w:p w:rsidR="007A6994">
      <w:r>
        <w:rPr>
          <w:rFonts w:ascii="Open Sans" w:hAnsi="Open Sans" w:cs="Open Sans"/>
          <w:sz w:val="22"/>
          <w:szCs w:val="22"/>
        </w:rPr>
        <w:t>The CAMHS trailblazer programme began as part of the 2019 Green Paper review for 16–18 year</w:t>
      </w:r>
      <w:r>
        <w:rPr>
          <w:rFonts w:ascii="Open Sans" w:hAnsi="Open Sans" w:cs="Open Sans"/>
          <w:sz w:val="22"/>
          <w:szCs w:val="22"/>
        </w:rPr>
        <w:noBreakHyphen/>
        <w:t>olds, following strong advocacy that colleges must be included alongside schools in the early Mental Health Support Team pilot. Embedded Educational Wellbeing Practitioners and Mental Health Practitioners, overseen by clinical psychologists, work onsite across all campuses, operating a joint referral and triage system with college wellbeing teams to offer a mix of one</w:t>
      </w:r>
      <w:r>
        <w:rPr>
          <w:rFonts w:ascii="Open Sans" w:hAnsi="Open Sans" w:cs="Open Sans"/>
          <w:sz w:val="22"/>
          <w:szCs w:val="22"/>
        </w:rPr>
        <w:noBreakHyphen/>
        <w:t>to</w:t>
      </w:r>
      <w:r>
        <w:rPr>
          <w:rFonts w:ascii="Open Sans" w:hAnsi="Open Sans" w:cs="Open Sans"/>
          <w:sz w:val="22"/>
          <w:szCs w:val="22"/>
        </w:rPr>
        <w:noBreakHyphen/>
        <w:t>one and group interventions. The partnership has now evolved into a fully integrated service that complements, rather than replaces, internal college provision, with self</w:t>
      </w:r>
      <w:r>
        <w:rPr>
          <w:rFonts w:ascii="Open Sans" w:hAnsi="Open Sans" w:cs="Open Sans"/>
          <w:sz w:val="22"/>
          <w:szCs w:val="22"/>
        </w:rPr>
        <w:noBreakHyphen/>
        <w:t>referral routes available from pre</w:t>
      </w:r>
      <w:r>
        <w:rPr>
          <w:rFonts w:ascii="Open Sans" w:hAnsi="Open Sans" w:cs="Open Sans"/>
          <w:sz w:val="22"/>
          <w:szCs w:val="22"/>
        </w:rPr>
        <w:noBreakHyphen/>
        <w:t xml:space="preserve">enrolment onwards. </w:t>
      </w:r>
      <w:r>
        <w:rPr>
          <w:rFonts w:ascii="Open Sans" w:eastAsia="Open Sans" w:hAnsi="Open Sans" w:cs="Open Sans"/>
          <w:sz w:val="22"/>
          <w:szCs w:val="22"/>
        </w:rPr>
        <w:t xml:space="preserve">It has led to earlier intervention, fewer A&amp;E presentations, and improved attendance and retention, alongside cultural transformation in colleges’ response to vulnerability. </w:t>
      </w:r>
    </w:p>
    <w:p w:rsidR="007A6994">
      <w:pPr>
        <w:rPr>
          <w:rFonts w:ascii="Open Sans" w:eastAsia="Open Sans" w:hAnsi="Open Sans" w:cs="Open Sans"/>
          <w:sz w:val="22"/>
          <w:szCs w:val="22"/>
        </w:rPr>
      </w:pPr>
      <w:r>
        <w:rPr>
          <w:rFonts w:ascii="Open Sans" w:eastAsia="Open Sans" w:hAnsi="Open Sans" w:cs="Open Sans"/>
          <w:sz w:val="22"/>
          <w:szCs w:val="22"/>
        </w:rPr>
        <w:t>CAMHS must evolve into a service focused on early intervention, supported by community-based hubs located in trusted settings such as colleges. These hubs should deliver rapid assessment, group programmes and coordinated multi-agency responses. Trauma informed practice across education and community partners will further reduce escalation.</w:t>
      </w:r>
    </w:p>
    <w:p w:rsidR="007A6994">
      <w:pPr>
        <w:rPr>
          <w:rFonts w:ascii="Open Sans" w:eastAsia="Open Sans" w:hAnsi="Open Sans" w:cs="Open Sans"/>
          <w:sz w:val="22"/>
          <w:szCs w:val="22"/>
        </w:rPr>
      </w:pPr>
      <w:r>
        <w:rPr>
          <w:rFonts w:ascii="Open Sans" w:eastAsia="Open Sans" w:hAnsi="Open Sans" w:cs="Open Sans"/>
          <w:sz w:val="22"/>
          <w:szCs w:val="22"/>
        </w:rPr>
        <w:t>Addressing inequity is essential. Broader social determinants—including financial instability, isolation and insecure housing—must be recognised within commissioning decisions, as they drive deterioration in wellbeing.</w:t>
      </w:r>
    </w:p>
    <w:p w:rsidR="007A6994">
      <w:pPr>
        <w:rPr>
          <w:rFonts w:ascii="Open Sans" w:eastAsia="Open Sans" w:hAnsi="Open Sans" w:cs="Open Sans"/>
          <w:sz w:val="22"/>
          <w:szCs w:val="22"/>
        </w:rPr>
      </w:pPr>
      <w:r>
        <w:rPr>
          <w:rFonts w:ascii="Open Sans" w:eastAsia="Open Sans" w:hAnsi="Open Sans" w:cs="Open Sans"/>
          <w:sz w:val="22"/>
          <w:szCs w:val="22"/>
        </w:rPr>
        <w:t>Transition to adulthood remains a critical gap. A 16–25 model would provide continuity across adolescence and early adulthood, ensuring seamless transition between CAMHS and Adult Mental Health Services.</w:t>
      </w:r>
    </w:p>
    <w:p w:rsidR="007A6994">
      <w:pPr>
        <w:rPr>
          <w:rFonts w:ascii="Open Sans" w:eastAsia="Open Sans" w:hAnsi="Open Sans" w:cs="Open Sans"/>
          <w:sz w:val="22"/>
          <w:szCs w:val="22"/>
        </w:rPr>
      </w:pPr>
      <w:r>
        <w:rPr>
          <w:rFonts w:ascii="Open Sans" w:eastAsia="Open Sans" w:hAnsi="Open Sans" w:cs="Open Sans"/>
          <w:sz w:val="22"/>
          <w:szCs w:val="22"/>
        </w:rPr>
        <w:t>Systematic oversight of CAMHS is needed. A comprehensive national review should consider workforce capacity, service models and regional variation. National standards must define expected support, data collection and impact measurement.</w:t>
      </w:r>
    </w:p>
    <w:p w:rsidR="007A6994">
      <w:pPr>
        <w:jc w:val="center"/>
      </w:pPr>
    </w:p>
    <w:p w:rsidR="007A6994">
      <w:pPr>
        <w:rPr>
          <w:rFonts w:ascii="Open Sans Semibold" w:eastAsia="Open Sans Semibold" w:hAnsi="Open Sans Semibold" w:cs="Open Sans Semibold"/>
          <w:b/>
          <w:bCs/>
          <w:sz w:val="36"/>
          <w:szCs w:val="36"/>
        </w:rPr>
      </w:pPr>
      <w:r>
        <w:rPr>
          <w:rFonts w:ascii="Open Sans Semibold" w:eastAsia="Open Sans Semibold" w:hAnsi="Open Sans Semibold" w:cs="Open Sans Semibold"/>
          <w:b/>
          <w:bCs/>
          <w:sz w:val="36"/>
          <w:szCs w:val="36"/>
        </w:rPr>
        <w:t>Integration between education, NHS and community provision</w:t>
      </w:r>
    </w:p>
    <w:p w:rsidR="007A6994">
      <w:pPr>
        <w:rPr>
          <w:rFonts w:ascii="Open Sans" w:eastAsia="Open Sans" w:hAnsi="Open Sans" w:cs="Open Sans"/>
          <w:sz w:val="28"/>
          <w:szCs w:val="28"/>
        </w:rPr>
      </w:pPr>
      <w:r>
        <w:rPr>
          <w:rFonts w:ascii="Open Sans" w:eastAsia="Open Sans" w:hAnsi="Open Sans" w:cs="Open Sans"/>
          <w:sz w:val="28"/>
          <w:szCs w:val="28"/>
        </w:rPr>
        <w:t>What factors are driving recent trends in young people’s mental health, and how have service thresholds affected access?</w:t>
      </w:r>
    </w:p>
    <w:p w:rsidR="007A6994">
      <w:r>
        <w:rPr>
          <w:rFonts w:ascii="Open Sans" w:eastAsia="Open Sans" w:hAnsi="Open Sans" w:cs="Open Sans"/>
          <w:sz w:val="22"/>
          <w:szCs w:val="22"/>
        </w:rPr>
        <w:t>Rising demand for mental health support in FE reflects complex personal, societal and economic pressures. Data from the AoC Mental Health Report</w:t>
      </w:r>
      <w:r>
        <w:rPr>
          <w:rStyle w:val="FootnoteReference"/>
          <w:rFonts w:ascii="Open Sans" w:eastAsia="Open Sans" w:hAnsi="Open Sans" w:cs="Open Sans"/>
          <w:sz w:val="22"/>
          <w:szCs w:val="22"/>
        </w:rPr>
        <w:footnoteReference w:id="8"/>
      </w:r>
      <w:r>
        <w:rPr>
          <w:rFonts w:ascii="Open Sans" w:eastAsia="Open Sans" w:hAnsi="Open Sans" w:cs="Open Sans"/>
          <w:sz w:val="22"/>
          <w:szCs w:val="22"/>
        </w:rPr>
        <w:t xml:space="preserve"> shows that four in five colleges reported increases in disclosures, with marked rises in suicidal ideation among 16–18-year-olds. A&amp;E services are increasingly relied upon for crisis intervention, underscoring gaps in early access to mental health care.</w:t>
      </w:r>
    </w:p>
    <w:p w:rsidR="007A6994">
      <w:pPr>
        <w:rPr>
          <w:rFonts w:ascii="Open Sans" w:eastAsia="Open Sans" w:hAnsi="Open Sans" w:cs="Open Sans"/>
          <w:sz w:val="22"/>
          <w:szCs w:val="22"/>
        </w:rPr>
      </w:pPr>
      <w:r>
        <w:rPr>
          <w:rFonts w:ascii="Open Sans" w:eastAsia="Open Sans" w:hAnsi="Open Sans" w:cs="Open Sans"/>
          <w:sz w:val="22"/>
          <w:szCs w:val="22"/>
        </w:rPr>
        <w:t>Although some indicators show the beginning of a promising reduction in undisclosed need across FE, more than two thirds of colleges still report increased concerns about undiagnosed mental health issues. This reflects the scale of the starting point but spotlights the effectiveness of proactive interventions implemented by colleges working in partnership with NHS and community teams.</w:t>
      </w:r>
    </w:p>
    <w:p w:rsidR="007A6994">
      <w:r>
        <w:rPr>
          <w:rFonts w:ascii="Open Sans" w:eastAsia="Open Sans" w:hAnsi="Open Sans" w:cs="Open Sans"/>
          <w:sz w:val="22"/>
          <w:szCs w:val="22"/>
        </w:rPr>
        <w:t>The evidence strongly supports investment in prevention. Early interventions are highly cost-effective, reducing NHS demand and improving long-term outcomes. Colleges are ideally placed to deliver preventative approaches, but unfunded responsibilities, fragmented systems and limited cross government coordination constrain their ability to do so sustainably. The economic case</w:t>
      </w:r>
      <w:r>
        <w:rPr>
          <w:rStyle w:val="FootnoteReference"/>
          <w:rFonts w:ascii="Open Sans" w:eastAsia="Open Sans" w:hAnsi="Open Sans" w:cs="Open Sans"/>
          <w:sz w:val="22"/>
          <w:szCs w:val="22"/>
        </w:rPr>
        <w:footnoteReference w:id="9"/>
      </w:r>
      <w:r>
        <w:rPr>
          <w:rFonts w:ascii="Open Sans" w:eastAsia="Open Sans" w:hAnsi="Open Sans" w:cs="Open Sans"/>
          <w:sz w:val="22"/>
          <w:szCs w:val="22"/>
        </w:rPr>
        <w:t xml:space="preserve"> is compelling: community-based support is vastly cheaper than inpatient care, and investment in child and adolescent mental health yields substantial returns for both individuals and the state. </w:t>
      </w:r>
      <w:r>
        <w:rPr>
          <w:rFonts w:ascii="Open Sans" w:hAnsi="Open Sans" w:cs="Open Sans"/>
          <w:sz w:val="22"/>
          <w:szCs w:val="22"/>
        </w:rPr>
        <w:t>Youth mental health is one of the most cost-effective areas of intervention in all healthcare</w:t>
      </w:r>
      <w:r>
        <w:rPr>
          <w:rStyle w:val="FootnoteReference"/>
          <w:rFonts w:ascii="Open Sans" w:hAnsi="Open Sans" w:cs="Open Sans"/>
          <w:sz w:val="22"/>
          <w:szCs w:val="22"/>
        </w:rPr>
        <w:footnoteReference w:id="10"/>
      </w:r>
      <w:r>
        <w:rPr>
          <w:rFonts w:ascii="Open Sans" w:hAnsi="Open Sans" w:cs="Open Sans"/>
          <w:sz w:val="22"/>
          <w:szCs w:val="22"/>
        </w:rPr>
        <w:t xml:space="preserve"> which brings a range of lasting economic and health benefits in later life</w:t>
      </w:r>
      <w:r>
        <w:rPr>
          <w:rStyle w:val="FootnoteReference"/>
          <w:rFonts w:ascii="Open Sans" w:hAnsi="Open Sans" w:cs="Open Sans"/>
          <w:sz w:val="22"/>
          <w:szCs w:val="22"/>
        </w:rPr>
        <w:footnoteReference w:id="11"/>
      </w:r>
      <w:r>
        <w:rPr>
          <w:rFonts w:ascii="Open Sans" w:hAnsi="Open Sans" w:cs="Open Sans"/>
          <w:sz w:val="22"/>
          <w:szCs w:val="22"/>
        </w:rPr>
        <w:t>. The role for investment in prevention and early intervention support in colleges and community settings, is irrefutable. </w:t>
      </w:r>
    </w:p>
    <w:p w:rsidR="007A6994">
      <w:pPr>
        <w:jc w:val="center"/>
      </w:pPr>
    </w:p>
    <w:p w:rsidR="007A6994">
      <w:pPr>
        <w:rPr>
          <w:rFonts w:ascii="Open Sans" w:eastAsia="Open Sans" w:hAnsi="Open Sans" w:cs="Open Sans"/>
          <w:sz w:val="28"/>
          <w:szCs w:val="28"/>
        </w:rPr>
      </w:pPr>
      <w:r>
        <w:rPr>
          <w:rFonts w:ascii="Open Sans" w:eastAsia="Open Sans" w:hAnsi="Open Sans" w:cs="Open Sans"/>
          <w:sz w:val="28"/>
          <w:szCs w:val="28"/>
        </w:rPr>
        <w:t>What evidence shows that delivery in education and open access settings reduces demand on NHS services?</w:t>
      </w:r>
    </w:p>
    <w:p w:rsidR="007A6994">
      <w:pPr>
        <w:rPr>
          <w:rFonts w:ascii="Open Sans" w:eastAsia="Open Sans" w:hAnsi="Open Sans" w:cs="Open Sans"/>
          <w:sz w:val="22"/>
          <w:szCs w:val="22"/>
        </w:rPr>
      </w:pPr>
      <w:r>
        <w:rPr>
          <w:rFonts w:ascii="Open Sans" w:eastAsia="Open Sans" w:hAnsi="Open Sans" w:cs="Open Sans"/>
          <w:sz w:val="22"/>
          <w:szCs w:val="22"/>
        </w:rPr>
        <w:t>Integrated, place-based collaboration is the most effective way to strengthen mental health support for young people. When education, NHS and voluntary sector partners coordinate their expertise, capacity is increased, duplication reduced and early intervention strengthened.</w:t>
      </w:r>
    </w:p>
    <w:p w:rsidR="007A6994">
      <w:pPr>
        <w:rPr>
          <w:rFonts w:ascii="Open Sans" w:eastAsia="Open Sans" w:hAnsi="Open Sans" w:cs="Open Sans"/>
          <w:sz w:val="22"/>
          <w:szCs w:val="22"/>
        </w:rPr>
      </w:pPr>
      <w:r>
        <w:rPr>
          <w:rFonts w:ascii="Open Sans" w:eastAsia="Open Sans" w:hAnsi="Open Sans" w:cs="Open Sans"/>
          <w:sz w:val="22"/>
          <w:szCs w:val="22"/>
        </w:rPr>
        <w:t>Local partnerships enable more effective triage, ensuring NHS services focus on complex clinical need while colleges deliver preventative and early intervention support. This creates a more seamless experience for young people and reduces referrals to NHS waiting lists. Where college-led Wellbeing Teams work alongside NHS commissioned Support Teams, with joint triage, shared referral systems, collaborative wellbeing plans and targeted staff training, students are enabled to engage more readily with trusted adults on site, leading to faster, more effective intervention.</w:t>
      </w:r>
    </w:p>
    <w:p w:rsidR="007A6994">
      <w:pPr>
        <w:rPr>
          <w:rFonts w:ascii="Open Sans" w:eastAsia="Open Sans" w:hAnsi="Open Sans" w:cs="Open Sans"/>
          <w:sz w:val="22"/>
          <w:szCs w:val="22"/>
        </w:rPr>
      </w:pPr>
      <w:r>
        <w:rPr>
          <w:rFonts w:ascii="Open Sans" w:eastAsia="Open Sans" w:hAnsi="Open Sans" w:cs="Open Sans"/>
          <w:sz w:val="22"/>
          <w:szCs w:val="22"/>
        </w:rPr>
        <w:t>To scale such approaches, ICBs must formally recognise colleges as key partners in commissioning. Additionally, directly funding colleges to implement prevention initiatives, such as social prescribing, would further relieve pressure on clinical pathways and intervention support services, by reducing overall demand.</w:t>
      </w:r>
    </w:p>
    <w:p w:rsidR="007A6994"/>
    <w:p w:rsidR="007A6994">
      <w:pPr>
        <w:rPr>
          <w:rFonts w:ascii="Open Sans" w:eastAsia="Open Sans" w:hAnsi="Open Sans" w:cs="Open Sans"/>
          <w:sz w:val="28"/>
          <w:szCs w:val="28"/>
        </w:rPr>
      </w:pPr>
      <w:r>
        <w:rPr>
          <w:rFonts w:ascii="Open Sans" w:eastAsia="Open Sans" w:hAnsi="Open Sans" w:cs="Open Sans"/>
          <w:sz w:val="28"/>
          <w:szCs w:val="28"/>
        </w:rPr>
        <w:t>What practical barriers affect joint working, and how could these be addressed?</w:t>
      </w:r>
    </w:p>
    <w:p w:rsidR="007A6994">
      <w:pPr>
        <w:rPr>
          <w:rFonts w:ascii="Open Sans" w:eastAsia="Open Sans" w:hAnsi="Open Sans" w:cs="Open Sans"/>
          <w:sz w:val="22"/>
          <w:szCs w:val="22"/>
        </w:rPr>
      </w:pPr>
      <w:r>
        <w:rPr>
          <w:rFonts w:ascii="Open Sans" w:eastAsia="Open Sans" w:hAnsi="Open Sans" w:cs="Open Sans"/>
          <w:sz w:val="22"/>
          <w:szCs w:val="22"/>
        </w:rPr>
        <w:t>Referral pathways between education, community services and NHS mental health provision remain inconsistent. While strong local examples of collaboration exist, they are exceptions. Systemic issues—capacity pressures, misaligned processes and communication barriers—mean many young people face delays or fall through gaps. Many effective pathways rely on individual relationships rather than institutional structures, limiting resilience. Without formalised mechanisms, successful initiatives lack longevity and consistency.</w:t>
      </w:r>
    </w:p>
    <w:p w:rsidR="007A6994">
      <w:pPr>
        <w:rPr>
          <w:rFonts w:ascii="Open Sans" w:eastAsia="Open Sans" w:hAnsi="Open Sans" w:cs="Open Sans"/>
          <w:sz w:val="22"/>
          <w:szCs w:val="22"/>
        </w:rPr>
      </w:pPr>
      <w:r>
        <w:rPr>
          <w:rFonts w:ascii="Open Sans" w:eastAsia="Open Sans" w:hAnsi="Open Sans" w:cs="Open Sans"/>
          <w:sz w:val="22"/>
          <w:szCs w:val="22"/>
        </w:rPr>
        <w:t>Colleges are increasingly adopting digital mental health services to extend support for young people, with early evidence indicating positive impacts on wellbeing through access to online tools and resources. However, implementation and maintenance costs are significant, and without dedicated funding colleges cannot sustain or scale these interventions. Effective integration of digital platforms into wider student support also requires ongoing communication, staff capacity and technical resource. Direct national investment to enable colleges to adopt recognised, evidence</w:t>
      </w:r>
      <w:r>
        <w:rPr>
          <w:rFonts w:ascii="Open Sans" w:eastAsia="Open Sans" w:hAnsi="Open Sans" w:cs="Open Sans"/>
          <w:sz w:val="22"/>
          <w:szCs w:val="22"/>
        </w:rPr>
        <w:noBreakHyphen/>
        <w:t>based digital services would ensure equity, consistency and long</w:t>
      </w:r>
      <w:r>
        <w:rPr>
          <w:rFonts w:ascii="Open Sans" w:eastAsia="Open Sans" w:hAnsi="Open Sans" w:cs="Open Sans"/>
          <w:sz w:val="22"/>
          <w:szCs w:val="22"/>
        </w:rPr>
        <w:noBreakHyphen/>
        <w:t xml:space="preserve">term sustainability. With young people </w:t>
      </w:r>
      <w:r>
        <w:rPr>
          <w:rFonts w:ascii="Open Sans" w:eastAsia="Open Sans" w:hAnsi="Open Sans" w:cs="Open Sans"/>
          <w:sz w:val="22"/>
          <w:szCs w:val="22"/>
        </w:rPr>
        <w:t>requiring access to support around the clock, high</w:t>
      </w:r>
      <w:r>
        <w:rPr>
          <w:rFonts w:ascii="Open Sans" w:eastAsia="Open Sans" w:hAnsi="Open Sans" w:cs="Open Sans"/>
          <w:sz w:val="22"/>
          <w:szCs w:val="22"/>
        </w:rPr>
        <w:noBreakHyphen/>
        <w:t>quality digital provision is now an essential component of a modern mental health system.</w:t>
      </w:r>
    </w:p>
    <w:p w:rsidR="007A6994">
      <w:pPr>
        <w:jc w:val="center"/>
      </w:pPr>
    </w:p>
    <w:p w:rsidR="007A6994">
      <w:pPr>
        <w:rPr>
          <w:rFonts w:ascii="Open Sans" w:eastAsia="Open Sans" w:hAnsi="Open Sans" w:cs="Open Sans"/>
          <w:sz w:val="28"/>
          <w:szCs w:val="28"/>
        </w:rPr>
      </w:pPr>
      <w:r>
        <w:rPr>
          <w:rFonts w:ascii="Open Sans" w:eastAsia="Open Sans" w:hAnsi="Open Sans" w:cs="Open Sans"/>
          <w:sz w:val="28"/>
          <w:szCs w:val="28"/>
        </w:rPr>
        <w:t>Is there sufficient alignment between DHSC and DfE strategies and reviews?</w:t>
      </w:r>
    </w:p>
    <w:p w:rsidR="007A6994">
      <w:pPr>
        <w:rPr>
          <w:rFonts w:ascii="Open Sans" w:eastAsia="Open Sans" w:hAnsi="Open Sans" w:cs="Open Sans"/>
          <w:sz w:val="22"/>
          <w:szCs w:val="22"/>
        </w:rPr>
      </w:pPr>
      <w:r>
        <w:rPr>
          <w:rFonts w:ascii="Open Sans" w:eastAsia="Open Sans" w:hAnsi="Open Sans" w:cs="Open Sans"/>
          <w:sz w:val="22"/>
          <w:szCs w:val="22"/>
        </w:rPr>
        <w:t>Current evidence indicates insufficient alignment between DHSC and DfE, particularly in relation to FE. While both departments have published strategic commitments, these do not translate into consistent or coordinated delivery on the ground. Colleges are rarely integrated into DHSC priorities and often experience one-sided relationships with health services. Local engagement from CAMHS, social care and other partners is inconsistent, driven more by individual relationships than by system level expectations.</w:t>
      </w:r>
    </w:p>
    <w:p w:rsidR="007A6994">
      <w:pPr>
        <w:rPr>
          <w:rFonts w:ascii="Open Sans" w:eastAsia="Open Sans" w:hAnsi="Open Sans" w:cs="Open Sans"/>
          <w:sz w:val="22"/>
          <w:szCs w:val="22"/>
        </w:rPr>
      </w:pPr>
      <w:r>
        <w:rPr>
          <w:rFonts w:ascii="Open Sans" w:eastAsia="Open Sans" w:hAnsi="Open Sans" w:cs="Open Sans"/>
          <w:sz w:val="22"/>
          <w:szCs w:val="22"/>
        </w:rPr>
        <w:t>National strategies continue to lack operational clarity at local level, creating uncertainty for colleges tasked with preparing for multiple overlapping reforms. Ambiguity surrounding the implementation of proposed measures—including automatic enrolment, guaranteed college places, expanded wraparound support, and major SEND reforms—places significant pressure on colleges to plan for systems that are not yet defined. Without clear accountability, adequate resourcing and coherent sequencing of policy, colleges’ ability to respond sustainably to anticipated ongoing increase in complexity of student need, will be constrained.</w:t>
      </w:r>
    </w:p>
    <w:p w:rsidR="007A6994">
      <w:pPr>
        <w:rPr>
          <w:rFonts w:ascii="Open Sans" w:eastAsia="Open Sans" w:hAnsi="Open Sans" w:cs="Open Sans"/>
          <w:sz w:val="22"/>
          <w:szCs w:val="22"/>
        </w:rPr>
      </w:pPr>
      <w:r>
        <w:rPr>
          <w:rFonts w:ascii="Open Sans" w:eastAsia="Open Sans" w:hAnsi="Open Sans" w:cs="Open Sans"/>
          <w:sz w:val="22"/>
          <w:szCs w:val="22"/>
        </w:rPr>
        <w:t>Structural separation between education and health continues to limit joint working. EHCP processes often lack meaningful participation from health partners, and engagement from NHS teams in areas such as SEND and Alternative Provision is inconsistent. Regional variation in ICB practice further highlights the absence of a coherent national model.</w:t>
      </w:r>
    </w:p>
    <w:p w:rsidR="007A6994">
      <w:pPr>
        <w:rPr>
          <w:rFonts w:ascii="Open Sans" w:eastAsia="Open Sans" w:hAnsi="Open Sans" w:cs="Open Sans"/>
          <w:sz w:val="22"/>
          <w:szCs w:val="22"/>
        </w:rPr>
      </w:pPr>
      <w:r>
        <w:rPr>
          <w:rFonts w:ascii="Open Sans" w:eastAsia="Open Sans" w:hAnsi="Open Sans" w:cs="Open Sans"/>
          <w:sz w:val="22"/>
          <w:szCs w:val="22"/>
        </w:rPr>
        <w:t>Revised Keeping Children Safe in Education (KCSIE) guidance acknowledges the role of schools and colleges in identifying mental health need but does not reflect the distinct operational context of FE, where attendance patterns, study programmes and safeguarding systems differ significantly. National policy must recognise the diversity of educational environments across the 11–25 age range.</w:t>
      </w:r>
    </w:p>
    <w:p w:rsidR="007A6994">
      <w:pPr>
        <w:rPr>
          <w:rFonts w:ascii="Open Sans" w:eastAsia="Open Sans" w:hAnsi="Open Sans" w:cs="Open Sans"/>
          <w:sz w:val="22"/>
          <w:szCs w:val="22"/>
        </w:rPr>
      </w:pPr>
      <w:r>
        <w:rPr>
          <w:rFonts w:ascii="Open Sans" w:eastAsia="Open Sans" w:hAnsi="Open Sans" w:cs="Open Sans"/>
          <w:sz w:val="22"/>
          <w:szCs w:val="22"/>
        </w:rPr>
        <w:t>A coordinated approach must also involve DWP, Local Authorities and the voluntary sector to ensure alignment across NEET prevention, early help, social care, SEND, social prescribing and preventative support.</w:t>
      </w:r>
    </w:p>
    <w:p w:rsidR="007A6994">
      <w:pPr>
        <w:rPr>
          <w:rFonts w:ascii="Open Sans" w:eastAsia="Open Sans" w:hAnsi="Open Sans" w:cs="Open Sans"/>
          <w:sz w:val="22"/>
          <w:szCs w:val="22"/>
        </w:rPr>
      </w:pPr>
    </w:p>
    <w:p w:rsidR="007A6994">
      <w:pPr>
        <w:rPr>
          <w:rFonts w:ascii="Open Sans Semibold" w:eastAsia="Open Sans Semibold" w:hAnsi="Open Sans Semibold" w:cs="Open Sans Semibold"/>
          <w:b/>
          <w:bCs/>
          <w:sz w:val="36"/>
          <w:szCs w:val="36"/>
        </w:rPr>
      </w:pPr>
      <w:r>
        <w:rPr>
          <w:rFonts w:ascii="Open Sans Semibold" w:eastAsia="Open Sans Semibold" w:hAnsi="Open Sans Semibold" w:cs="Open Sans Semibold"/>
          <w:b/>
          <w:bCs/>
          <w:sz w:val="36"/>
          <w:szCs w:val="36"/>
        </w:rPr>
        <w:t>Conclusion</w:t>
      </w:r>
    </w:p>
    <w:p w:rsidR="007A6994">
      <w:pPr>
        <w:rPr>
          <w:rFonts w:ascii="Open Sans" w:eastAsia="Open Sans" w:hAnsi="Open Sans" w:cs="Open Sans"/>
          <w:sz w:val="22"/>
          <w:szCs w:val="22"/>
        </w:rPr>
      </w:pPr>
      <w:r>
        <w:rPr>
          <w:rFonts w:ascii="Open Sans" w:eastAsia="Open Sans" w:hAnsi="Open Sans" w:cs="Open Sans"/>
          <w:sz w:val="22"/>
          <w:szCs w:val="22"/>
        </w:rPr>
        <w:t>Colleges have demonstrated exceptional commitment to supporting young people’s mental health, often filling gaps left by under resourced clinical and community systems. They are uniquely positioned to deliver preventative approaches at scale, act as community anchors and integrate effectively with health and voluntary services.</w:t>
      </w:r>
    </w:p>
    <w:p w:rsidR="007A6994">
      <w:pPr>
        <w:rPr>
          <w:rFonts w:ascii="Open Sans" w:eastAsia="Open Sans" w:hAnsi="Open Sans" w:cs="Open Sans"/>
          <w:sz w:val="22"/>
          <w:szCs w:val="22"/>
        </w:rPr>
      </w:pPr>
      <w:r>
        <w:rPr>
          <w:rFonts w:ascii="Open Sans" w:eastAsia="Open Sans" w:hAnsi="Open Sans" w:cs="Open Sans"/>
          <w:sz w:val="22"/>
          <w:szCs w:val="22"/>
        </w:rPr>
        <w:t>However, without clear national frameworks, equitable funding, appropriate training and staff development, integrated commissioning and cross government alignment, the demands placed on colleges will remain unsustainable and inequities for young people will persist.</w:t>
      </w:r>
    </w:p>
    <w:p w:rsidR="007A6994">
      <w:pPr>
        <w:rPr>
          <w:rFonts w:ascii="Open Sans" w:eastAsia="Open Sans" w:hAnsi="Open Sans" w:cs="Open Sans"/>
          <w:sz w:val="22"/>
          <w:szCs w:val="22"/>
        </w:rPr>
      </w:pPr>
      <w:r>
        <w:rPr>
          <w:rFonts w:ascii="Open Sans" w:eastAsia="Open Sans" w:hAnsi="Open Sans" w:cs="Open Sans"/>
          <w:sz w:val="22"/>
          <w:szCs w:val="22"/>
        </w:rPr>
        <w:t>A national shift toward prevention, integration and a 16–25 age model—supported by consistent partnership structures, equitable funding, scalable collaborative delivery models such as social prescribing, strong data sharing systems and recognition of FE’s central role—is essential if Government ambitions for children and young people’s mental health are to be realised.</w:t>
      </w:r>
    </w:p>
    <w:p w:rsidR="007A6994">
      <w:pPr>
        <w:rPr>
          <w:rFonts w:ascii="Open Sans" w:eastAsia="Open Sans" w:hAnsi="Open Sans" w:cs="Open Sans"/>
          <w:sz w:val="22"/>
          <w:szCs w:val="22"/>
        </w:rPr>
      </w:pPr>
    </w:p>
    <w:p w:rsidR="007A6994">
      <w:r>
        <w:rPr>
          <w:rFonts w:ascii="Open Sans" w:eastAsia="Open Sans" w:hAnsi="Open Sans" w:cs="Open Sans"/>
          <w:i/>
          <w:iCs/>
          <w:sz w:val="22"/>
          <w:szCs w:val="22"/>
        </w:rPr>
        <w:t>March 2026</w:t>
      </w:r>
    </w:p>
    <w:sectPr>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35EFF">
      <w:pPr>
        <w:spacing w:after="0" w:line="240" w:lineRule="auto"/>
      </w:pPr>
      <w:r>
        <w:rPr>
          <w:color w:val="000000"/>
        </w:rPr>
        <w:separator/>
      </w:r>
    </w:p>
  </w:footnote>
  <w:footnote w:type="continuationSeparator" w:id="1">
    <w:p w:rsidR="00035EFF">
      <w:pPr>
        <w:spacing w:after="0" w:line="240" w:lineRule="auto"/>
      </w:pPr>
      <w:r>
        <w:continuationSeparator/>
      </w:r>
    </w:p>
  </w:footnote>
  <w:footnote w:id="2">
    <w:p w:rsidR="007A6994">
      <w:pPr>
        <w:pStyle w:val="FootnoteText"/>
      </w:pPr>
      <w:r>
        <w:rPr>
          <w:rStyle w:val="FootnoteReference"/>
        </w:rPr>
        <w:footnoteRef/>
      </w:r>
      <w:r>
        <w:t xml:space="preserve"> </w:t>
      </w:r>
      <w:r>
        <w:fldChar w:fldCharType="begin"/>
      </w:r>
      <w:r>
        <w:instrText xml:space="preserve"> HYPERLINK "https://www.mind.org.uk/about-us/our-policy-work/the-big-mental-health-report/" \l "findings" </w:instrText>
      </w:r>
      <w:r>
        <w:fldChar w:fldCharType="separate"/>
      </w:r>
      <w:r>
        <w:rPr>
          <w:rStyle w:val="Hyperlink"/>
        </w:rPr>
        <w:t>https://www.mind.org.uk/about-us/our-policy-work/the-big-mental-health-report/#findings</w:t>
      </w:r>
      <w:r>
        <w:fldChar w:fldCharType="end"/>
      </w:r>
      <w:r>
        <w:t xml:space="preserve"> </w:t>
      </w:r>
    </w:p>
    <w:p w:rsidR="007A6994"/>
  </w:footnote>
  <w:footnote w:id="3">
    <w:p w:rsidR="007A6994">
      <w:pPr>
        <w:pStyle w:val="FootnoteText"/>
      </w:pPr>
      <w:r>
        <w:rPr>
          <w:rStyle w:val="FootnoteReference"/>
        </w:rPr>
        <w:footnoteRef/>
      </w:r>
      <w:r>
        <w:t xml:space="preserve"> </w:t>
      </w:r>
      <w:r>
        <w:fldChar w:fldCharType="begin"/>
      </w:r>
      <w:r>
        <w:instrText xml:space="preserve"> HYPERLINK "https://www.aoc.co.uk/corporate-services/mental-health-wellbeing-2/aoc-mental-health-charter" </w:instrText>
      </w:r>
      <w:r>
        <w:fldChar w:fldCharType="separate"/>
      </w:r>
      <w:r>
        <w:rPr>
          <w:rStyle w:val="Hyperlink"/>
        </w:rPr>
        <w:t>https://www.aoc.co.uk/corporate-services/mental-health-wellbeing-2/aoc-mental-health-charter</w:t>
      </w:r>
      <w:r>
        <w:fldChar w:fldCharType="end"/>
      </w:r>
      <w:r>
        <w:t xml:space="preserve"> </w:t>
      </w:r>
    </w:p>
    <w:p w:rsidR="007A6994"/>
  </w:footnote>
  <w:footnote w:id="4">
    <w:p w:rsidR="007A6994">
      <w:pPr>
        <w:pStyle w:val="FootnoteText"/>
      </w:pPr>
      <w:r>
        <w:rPr>
          <w:rStyle w:val="FootnoteReference"/>
        </w:rPr>
        <w:footnoteRef/>
      </w:r>
      <w:r>
        <w:t xml:space="preserve"> </w:t>
      </w:r>
      <w:r>
        <w:fldChar w:fldCharType="begin"/>
      </w:r>
      <w:r>
        <w:instrText xml:space="preserve"> HYPERLINK "https://www.gov.uk/government/publications/dfe-update-11-march-2026/dfe-update-further-education-11-march-2026" </w:instrText>
      </w:r>
      <w:r>
        <w:fldChar w:fldCharType="separate"/>
      </w:r>
      <w:r>
        <w:rPr>
          <w:rStyle w:val="Hyperlink"/>
        </w:rPr>
        <w:t>DfE Update further education: 11 March 2026 - GOV.UK</w:t>
      </w:r>
      <w:r>
        <w:fldChar w:fldCharType="end"/>
      </w:r>
      <w:r>
        <w:t xml:space="preserve"> </w:t>
      </w:r>
    </w:p>
    <w:p w:rsidR="007A6994"/>
  </w:footnote>
  <w:footnote w:id="5">
    <w:p w:rsidR="007A6994">
      <w:pPr>
        <w:pStyle w:val="FootnoteText"/>
      </w:pPr>
      <w:r>
        <w:rPr>
          <w:rStyle w:val="FootnoteReference"/>
        </w:rPr>
        <w:footnoteRef/>
      </w:r>
      <w:r>
        <w:t xml:space="preserve"> </w:t>
      </w:r>
      <w:r>
        <w:fldChar w:fldCharType="begin"/>
      </w:r>
      <w:r>
        <w:instrText xml:space="preserve"> HYPERLINK "https://www.aoc.co.uk/news-campaigns-parliament/aoc-campaigns/mission-accepted/from-treatment-to-prevention-how-colleges-can-build-a-healthier-society" \l ":~:text=a%20healthier%20society-,From%20treatment%20to%20prevention%3A%20how%20colleges%20can%20build%20a%20healthier,longstanding%20challenges%20for%20our%20country" </w:instrText>
      </w:r>
      <w:r>
        <w:fldChar w:fldCharType="separate"/>
      </w:r>
      <w:r>
        <w:rPr>
          <w:rStyle w:val="Hyperlink"/>
        </w:rPr>
        <w:t>https://www.aoc.co.uk/news-campaigns-parliament/aoc-campaigns/mission-accepted/from-treatment-to-prevention-how-colleges-can-build-a-healthier-society#:~:text=a%20healthier%20society-,From%20treatment%20to%20prevention%3A%20how%20colleges%20can%20build%20a%20healthier,longstanding%20challenges%20for%20our%20country</w:t>
      </w:r>
      <w:r>
        <w:fldChar w:fldCharType="end"/>
      </w:r>
      <w:r>
        <w:t xml:space="preserve">. </w:t>
      </w:r>
    </w:p>
    <w:p w:rsidR="007A6994"/>
  </w:footnote>
  <w:footnote w:id="6">
    <w:p w:rsidR="007A6994">
      <w:pPr>
        <w:pStyle w:val="FootnoteText"/>
      </w:pPr>
      <w:r>
        <w:rPr>
          <w:rStyle w:val="FootnoteReference"/>
        </w:rPr>
        <w:footnoteRef/>
      </w:r>
      <w:r>
        <w:t xml:space="preserve"> </w:t>
      </w:r>
      <w:r>
        <w:fldChar w:fldCharType="begin"/>
      </w:r>
      <w:r>
        <w:instrText xml:space="preserve"> HYPERLINK "https://socialprescribingacademy.org.uk/media/qlglbxzl/connected-to-thrive.pdf" </w:instrText>
      </w:r>
      <w:r>
        <w:fldChar w:fldCharType="separate"/>
      </w:r>
      <w:r>
        <w:rPr>
          <w:rStyle w:val="Hyperlink"/>
        </w:rPr>
        <w:t>https://socialprescribingacademy.org.uk/media/qlglbxzl/connected-to-thrive.pdf</w:t>
      </w:r>
      <w:r>
        <w:fldChar w:fldCharType="end"/>
      </w:r>
      <w:r>
        <w:t xml:space="preserve"> </w:t>
      </w:r>
    </w:p>
    <w:p w:rsidR="007A6994"/>
  </w:footnote>
  <w:footnote w:id="7">
    <w:p w:rsidR="007A6994">
      <w:pPr>
        <w:pStyle w:val="FootnoteText"/>
      </w:pPr>
      <w:r>
        <w:rPr>
          <w:rStyle w:val="FootnoteReference"/>
        </w:rPr>
        <w:footnoteRef/>
      </w:r>
      <w:r>
        <w:t xml:space="preserve"> </w:t>
      </w:r>
      <w:r>
        <w:fldChar w:fldCharType="begin"/>
      </w:r>
      <w:r>
        <w:instrText xml:space="preserve"> HYPERLINK "https://www.operationencompass.org/" </w:instrText>
      </w:r>
      <w:r>
        <w:fldChar w:fldCharType="separate"/>
      </w:r>
      <w:r>
        <w:rPr>
          <w:rStyle w:val="Hyperlink"/>
        </w:rPr>
        <w:t>https://www.operationencompass.org/</w:t>
      </w:r>
      <w:r>
        <w:fldChar w:fldCharType="end"/>
      </w:r>
      <w:r>
        <w:t xml:space="preserve"> </w:t>
      </w:r>
    </w:p>
    <w:p w:rsidR="007A6994"/>
  </w:footnote>
  <w:footnote w:id="8">
    <w:p w:rsidR="007A6994">
      <w:pPr>
        <w:pStyle w:val="FootnoteText"/>
      </w:pPr>
      <w:r>
        <w:rPr>
          <w:rStyle w:val="FootnoteReference"/>
        </w:rPr>
        <w:footnoteRef/>
      </w:r>
      <w:r>
        <w:t xml:space="preserve"> </w:t>
      </w:r>
      <w:r>
        <w:fldChar w:fldCharType="begin"/>
      </w:r>
      <w:r>
        <w:instrText xml:space="preserve"> HYPERLINK "https://d4hfzltwt4wv7.cloudfront.net/uploads/files/AoC-Mental-Health-and-Wellbeing-Survey-Report-2025.pdf" </w:instrText>
      </w:r>
      <w:r>
        <w:fldChar w:fldCharType="separate"/>
      </w:r>
      <w:r>
        <w:rPr>
          <w:rStyle w:val="Hyperlink"/>
        </w:rPr>
        <w:t>https://d4hfzltwt4wv7.cloudfront.net/uploads/files/AoC-Mental-Health-and-Wellbeing-Survey-Report-2025.pdf</w:t>
      </w:r>
      <w:r>
        <w:fldChar w:fldCharType="end"/>
      </w:r>
      <w:r>
        <w:t xml:space="preserve"> </w:t>
      </w:r>
    </w:p>
    <w:p w:rsidR="007A6994"/>
  </w:footnote>
  <w:footnote w:id="9">
    <w:p w:rsidR="007A6994">
      <w:pPr>
        <w:pStyle w:val="FootnoteText"/>
      </w:pPr>
      <w:r>
        <w:rPr>
          <w:rStyle w:val="FootnoteReference"/>
        </w:rPr>
        <w:footnoteRef/>
      </w:r>
      <w:r>
        <w:t xml:space="preserve"> </w:t>
      </w:r>
      <w:r>
        <w:fldChar w:fldCharType="begin"/>
      </w:r>
      <w:r>
        <w:instrText xml:space="preserve"> HYPERLINK "https://cypmhc.org.uk/wp-content/uploads/2025/02/Future-Minds-Report-2025-WEB.pdf" </w:instrText>
      </w:r>
      <w:r>
        <w:fldChar w:fldCharType="separate"/>
      </w:r>
      <w:r>
        <w:rPr>
          <w:rStyle w:val="Hyperlink"/>
        </w:rPr>
        <w:t>https://cypmhc.org.uk/wp-content/uploads/2025/02/Future-Minds-Report-2025-WEB.pdf</w:t>
      </w:r>
      <w:r>
        <w:fldChar w:fldCharType="end"/>
      </w:r>
      <w:r>
        <w:t xml:space="preserve"> </w:t>
      </w:r>
    </w:p>
    <w:p w:rsidR="007A6994"/>
  </w:footnote>
  <w:footnote w:id="10">
    <w:p w:rsidR="007A6994">
      <w:pPr>
        <w:pStyle w:val="FootnoteText"/>
      </w:pPr>
      <w:r>
        <w:rPr>
          <w:rStyle w:val="FootnoteReference"/>
        </w:rPr>
        <w:footnoteRef/>
      </w:r>
      <w:r>
        <w:t xml:space="preserve"> </w:t>
      </w:r>
      <w:r>
        <w:fldChar w:fldCharType="begin"/>
      </w:r>
      <w:r>
        <w:instrText xml:space="preserve"> HYPERLINK "https://www.mentalhealthaustralia.org.au/sites/default/files/docs/investing_to_save_may_2018_-_kpmg_mental_health_australia.pdf" </w:instrText>
      </w:r>
      <w:r>
        <w:fldChar w:fldCharType="separate"/>
      </w:r>
      <w:r>
        <w:rPr>
          <w:rStyle w:val="Hyperlink"/>
        </w:rPr>
        <w:t>https://www.mentalhealthaustralia.org.au/sites/default/files/docs/investing_to_save_may_2018_-_kpmg_mental_health_australia.pdf</w:t>
      </w:r>
      <w:r>
        <w:fldChar w:fldCharType="end"/>
      </w:r>
      <w:r>
        <w:t xml:space="preserve"> </w:t>
      </w:r>
    </w:p>
    <w:p w:rsidR="007A6994"/>
  </w:footnote>
  <w:footnote w:id="11">
    <w:p w:rsidR="007A6994">
      <w:pPr>
        <w:pStyle w:val="FootnoteText"/>
      </w:pPr>
      <w:r>
        <w:rPr>
          <w:rStyle w:val="FootnoteReference"/>
        </w:rPr>
        <w:footnoteRef/>
      </w:r>
      <w:r>
        <w:t xml:space="preserve"> </w:t>
      </w:r>
      <w:r>
        <w:fldChar w:fldCharType="begin"/>
      </w:r>
      <w:r>
        <w:instrText xml:space="preserve"> HYPERLINK "https://www.centreformentalhealth.org.uk/publications/the-economic-and-social-costs-of-mental-ill-health/" </w:instrText>
      </w:r>
      <w:r>
        <w:fldChar w:fldCharType="separate"/>
      </w:r>
      <w:r>
        <w:rPr>
          <w:rStyle w:val="Hyperlink"/>
        </w:rPr>
        <w:t>https://www.centreformentalhealth.org.uk/publications/the-economic-and-social-costs-of-mental-ill-health/</w:t>
      </w:r>
      <w:r>
        <w:fldChar w:fldCharType="end"/>
      </w:r>
      <w:r>
        <w:t xml:space="preserve"> </w:t>
      </w:r>
    </w:p>
    <w:p w:rsidR="007A69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A102DE"/>
    <w:multiLevelType w:val="multilevel"/>
    <w:tmpl w:val="6E9494A6"/>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
    <w:nsid w:val="3030642A"/>
    <w:multiLevelType w:val="multilevel"/>
    <w:tmpl w:val="FA507BC0"/>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rPr>
    </w:lvl>
    <w:lvl w:ilvl="8">
      <w:start w:val="0"/>
      <w:numFmt w:val="bullet"/>
      <w:lvlText w:val=""/>
      <w:lvlJc w:val="left"/>
      <w:pPr>
        <w:ind w:left="6480" w:hanging="360"/>
      </w:pPr>
      <w:rPr>
        <w:rFonts w:ascii="Wingdings" w:hAnsi="Wingdings"/>
      </w:rPr>
    </w:lvl>
  </w:abstractNum>
  <w:abstractNum w:abstractNumId="2">
    <w:nsid w:val="4D824315"/>
    <w:multiLevelType w:val="multilevel"/>
    <w:tmpl w:val="7E48348A"/>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rPr>
    </w:lvl>
    <w:lvl w:ilvl="8">
      <w:start w:val="0"/>
      <w:numFmt w:val="bullet"/>
      <w:lvlText w:val=""/>
      <w:lvlJc w:val="left"/>
      <w:pPr>
        <w:ind w:left="6480" w:hanging="360"/>
      </w:pPr>
      <w:rPr>
        <w:rFonts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autoHyphenation/>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Times New Roman"/>
        <w:kern w:val="3"/>
        <w:sz w:val="24"/>
        <w:szCs w:val="24"/>
        <w:lang w:val="en-GB"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Header">
    <w:name w:val="header"/>
    <w:basedOn w:val="Normal"/>
    <w:pPr>
      <w:tabs>
        <w:tab w:val="center" w:pos="4680"/>
        <w:tab w:val="right" w:pos="9360"/>
      </w:tabs>
      <w:spacing w:after="0" w:line="240" w:lineRule="auto"/>
    </w:p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rPr>
      <w:sz w:val="20"/>
      <w:szCs w:val="20"/>
    </w:rPr>
  </w:style>
  <w:style w:type="character" w:styleId="EndnoteReference">
    <w:name w:val="endnote reference"/>
    <w:basedOn w:val="DefaultParagraphFont"/>
    <w:rPr>
      <w:position w:val="0"/>
      <w:vertAlign w:val="superscript"/>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character" w:styleId="Hyperlink">
    <w:name w:val="Hyperlink"/>
    <w:basedOn w:val="DefaultParagraphFont"/>
    <w:rPr>
      <w:color w:val="467886"/>
      <w:u w:val="single"/>
    </w:rPr>
  </w:style>
  <w:style w:type="character" w:customStyle="1"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CYM0232</dc:title>
  <cp:revision>0</cp:revision>
</cp:coreProperties>
</file>