
<file path=[Content_Types].xml><?xml version="1.0" encoding="utf-8"?>
<Types xmlns="http://schemas.openxmlformats.org/package/2006/content-types">
  <Default Extension="rels" ContentType="application/vnd.openxmlformats-package.relationships+xml"/>
  <Default Extension="xml" ContentType="application/xml"/>
  <Override PartName="/docMetadata/LabelInfo.xml" ContentType="application/vnd.ms-office.classificationlabel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microsoft.com/office/2020/02/relationships/classificationlabels" Target="docMetadata/LabelInfo.xml" /></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13.4.0.0 -->
  <w:body>
    <w:p w:rsidR="00AA4B1E" w:rsidRPr="00AA4B1E" w:rsidP="00AA4B1E">
      <w:pPr>
        <w:jc w:val="center"/>
        <w:rPr>
          <w:sz w:val="32"/>
          <w:szCs w:val="32"/>
        </w:rPr>
      </w:pPr>
      <w:r w:rsidRPr="00AA4B1E">
        <w:rPr>
          <w:sz w:val="32"/>
          <w:szCs w:val="32"/>
        </w:rPr>
        <w:t xml:space="preserve">Written Evidence Submitted by </w:t>
      </w:r>
    </w:p>
    <w:p w:rsidR="008510A0" w:rsidRPr="00AA4B1E" w:rsidP="00AA4B1E">
      <w:pPr>
        <w:jc w:val="center"/>
        <w:rPr>
          <w:sz w:val="32"/>
          <w:szCs w:val="32"/>
        </w:rPr>
      </w:pPr>
      <w:r w:rsidRPr="00AA4B1E">
        <w:rPr>
          <w:sz w:val="32"/>
          <w:szCs w:val="32"/>
        </w:rPr>
        <w:t>Association for Dance Movement Psychotherapy UK (ADMP UK)</w:t>
      </w:r>
      <w:r w:rsidRPr="00AA4B1E">
        <w:rPr>
          <w:sz w:val="32"/>
          <w:szCs w:val="32"/>
        </w:rPr>
        <w:t xml:space="preserve"> </w:t>
      </w:r>
      <w:r w:rsidRPr="00AA4B1E">
        <w:rPr>
          <w:sz w:val="32"/>
          <w:szCs w:val="32"/>
        </w:rPr>
        <w:t>(CYM022</w:t>
      </w:r>
      <w:r>
        <w:rPr>
          <w:sz w:val="32"/>
          <w:szCs w:val="32"/>
        </w:rPr>
        <w:t>8</w:t>
      </w:r>
      <w:r w:rsidRPr="00AA4B1E">
        <w:rPr>
          <w:sz w:val="32"/>
          <w:szCs w:val="32"/>
        </w:rPr>
        <w:t>)</w:t>
      </w:r>
    </w:p>
    <w:p w:rsidR="00AA4B1E" w:rsidP="00AA4B1E"/>
    <w:p w:rsidR="008510A0" w:rsidRPr="00AA4B1E" w:rsidP="00AA4B1E">
      <w:r w:rsidRPr="00AA4B1E">
        <w:t xml:space="preserve">The Association for Dance Movement Psychotherapy UK (ADMP UK) is glad for </w:t>
      </w:r>
      <w:r w:rsidRPr="00AA4B1E">
        <w:t>the</w:t>
      </w:r>
      <w:r w:rsidRPr="00AA4B1E">
        <w:t xml:space="preserve"> opportunity to contribute to </w:t>
      </w:r>
      <w:r w:rsidRPr="00AA4B1E">
        <w:t xml:space="preserve">this UK government call for evidence. </w:t>
      </w:r>
      <w:r w:rsidRPr="00AA4B1E">
        <w:t xml:space="preserve">As a professional association, we are concerned that our members (over 500), practitioners </w:t>
      </w:r>
      <w:r w:rsidRPr="00AA4B1E">
        <w:t>qualified at</w:t>
      </w:r>
      <w:r w:rsidRPr="00AA4B1E">
        <w:t xml:space="preserve"> Masters level with </w:t>
      </w:r>
      <w:r w:rsidRPr="00AA4B1E">
        <w:t xml:space="preserve">extensive experience of working with children and young people (CYP) struggling with their mental health (MH), are not sufficiently utilised in services, remain under resourced, and under recognised. This comes despite the fact that this is a regulated profession, registered with UK Council for Psychotherapy (UKCP) and growing evidence that this intervention is a useful, acceptable and valuable support for CYP MH.  </w:t>
      </w:r>
    </w:p>
    <w:p w:rsidR="008510A0" w:rsidRPr="00AA4B1E" w:rsidP="00AA4B1E"/>
    <w:p w:rsidR="008510A0" w:rsidRPr="00AA4B1E" w:rsidP="00AA4B1E">
      <w:r w:rsidRPr="00AA4B1E">
        <w:t xml:space="preserve">We hope that </w:t>
      </w:r>
      <w:r w:rsidRPr="00AA4B1E">
        <w:t>our</w:t>
      </w:r>
      <w:r w:rsidRPr="00AA4B1E">
        <w:t xml:space="preserve"> submission will highlight the value of this intervention as support not only for prevention and early intervention but also as important</w:t>
      </w:r>
      <w:r w:rsidRPr="00AA4B1E">
        <w:t xml:space="preserve"> for</w:t>
      </w:r>
      <w:r w:rsidRPr="00AA4B1E">
        <w:t xml:space="preserve"> treatment and management of CYP MH concerns.</w:t>
      </w:r>
    </w:p>
    <w:p w:rsidR="008510A0" w:rsidRPr="00AA4B1E" w:rsidP="00AA4B1E"/>
    <w:p w:rsidR="008510A0" w:rsidRPr="00AA4B1E" w:rsidP="00AA4B1E">
      <w:r w:rsidRPr="00AA4B1E">
        <w:t>For this submission we draw on:</w:t>
      </w:r>
    </w:p>
    <w:p w:rsidR="008510A0" w:rsidRPr="00AA4B1E" w:rsidP="00AA4B1E">
      <w:pPr>
        <w:pStyle w:val="ListParagraph"/>
        <w:numPr>
          <w:ilvl w:val="0"/>
          <w:numId w:val="4"/>
        </w:numPr>
      </w:pPr>
      <w:r w:rsidRPr="00AA4B1E">
        <w:t xml:space="preserve">the workforce data from ADMP UK (2023), </w:t>
      </w:r>
    </w:p>
    <w:p w:rsidR="008510A0" w:rsidRPr="00AA4B1E" w:rsidP="00AA4B1E">
      <w:pPr>
        <w:pStyle w:val="ListParagraph"/>
        <w:numPr>
          <w:ilvl w:val="0"/>
          <w:numId w:val="4"/>
        </w:numPr>
      </w:pPr>
      <w:r w:rsidRPr="00AA4B1E">
        <w:t xml:space="preserve">relevant evidence from </w:t>
      </w:r>
      <w:r w:rsidRPr="00AA4B1E">
        <w:t xml:space="preserve">several recent systematic reviews </w:t>
      </w:r>
      <w:r w:rsidRPr="00AA4B1E">
        <w:t>of dance movement psychotherapy</w:t>
      </w:r>
      <w:r w:rsidRPr="00AA4B1E">
        <w:t xml:space="preserve"> in this area (</w:t>
      </w:r>
      <w:r w:rsidRPr="00AA4B1E">
        <w:t>Moula et al., 2020</w:t>
      </w:r>
      <w:r w:rsidRPr="00AA4B1E">
        <w:t>; Aithal et al 202</w:t>
      </w:r>
      <w:r w:rsidRPr="00AA4B1E">
        <w:t>1a</w:t>
      </w:r>
      <w:r w:rsidRPr="00AA4B1E">
        <w:t>)</w:t>
      </w:r>
    </w:p>
    <w:p w:rsidR="008510A0" w:rsidRPr="00AA4B1E" w:rsidP="00AA4B1E">
      <w:pPr>
        <w:pStyle w:val="ListParagraph"/>
        <w:numPr>
          <w:ilvl w:val="0"/>
          <w:numId w:val="4"/>
        </w:numPr>
      </w:pPr>
      <w:r w:rsidRPr="00AA4B1E">
        <w:t xml:space="preserve">trials with children </w:t>
      </w:r>
      <w:r w:rsidRPr="00AA4B1E">
        <w:t>in</w:t>
      </w:r>
      <w:r w:rsidRPr="00AA4B1E">
        <w:t xml:space="preserve"> mainstream (Moula et al</w:t>
      </w:r>
      <w:r w:rsidRPr="00AA4B1E">
        <w:t>.,</w:t>
      </w:r>
      <w:r w:rsidRPr="00AA4B1E">
        <w:t xml:space="preserve"> 2020, 2022</w:t>
      </w:r>
      <w:r w:rsidRPr="00AA4B1E">
        <w:t>a</w:t>
      </w:r>
      <w:r w:rsidRPr="00AA4B1E">
        <w:t>, 2022</w:t>
      </w:r>
      <w:r w:rsidRPr="00AA4B1E">
        <w:t>b</w:t>
      </w:r>
      <w:r w:rsidRPr="00AA4B1E">
        <w:t>) and special schools</w:t>
      </w:r>
      <w:r w:rsidRPr="00AA4B1E">
        <w:t xml:space="preserve"> (Aithal et al</w:t>
      </w:r>
      <w:r w:rsidRPr="00AA4B1E">
        <w:t>.,</w:t>
      </w:r>
      <w:r w:rsidRPr="00AA4B1E">
        <w:t xml:space="preserve"> 202</w:t>
      </w:r>
      <w:r w:rsidRPr="00AA4B1E">
        <w:t>1b</w:t>
      </w:r>
      <w:r w:rsidRPr="00AA4B1E">
        <w:t>)</w:t>
      </w:r>
      <w:r w:rsidRPr="00AA4B1E">
        <w:t>.</w:t>
      </w:r>
      <w:r w:rsidRPr="00AA4B1E">
        <w:t xml:space="preserve"> </w:t>
      </w:r>
    </w:p>
    <w:p w:rsidR="008510A0" w:rsidRPr="00AA4B1E" w:rsidP="00AA4B1E">
      <w:pPr>
        <w:pStyle w:val="ListParagraph"/>
        <w:numPr>
          <w:ilvl w:val="0"/>
          <w:numId w:val="4"/>
        </w:numPr>
      </w:pPr>
      <w:r w:rsidRPr="00AA4B1E">
        <w:t>expert knowledge and reports we have received from our members.</w:t>
      </w:r>
    </w:p>
    <w:p w:rsidR="008510A0" w:rsidRPr="00AA4B1E" w:rsidP="00AA4B1E"/>
    <w:p w:rsidR="008510A0" w:rsidRPr="00AA4B1E" w:rsidP="00AA4B1E">
      <w:r w:rsidRPr="00AA4B1E">
        <w:t xml:space="preserve">This evidence should also be considered alongside evidence submitted for all forms </w:t>
      </w:r>
      <w:r w:rsidRPr="00AA4B1E">
        <w:t>of arts</w:t>
      </w:r>
      <w:r w:rsidRPr="00AA4B1E">
        <w:t xml:space="preserve"> therapies and the wider field of arts-based interventions that </w:t>
      </w:r>
      <w:r w:rsidRPr="00AA4B1E">
        <w:t>relate to</w:t>
      </w:r>
      <w:r w:rsidRPr="00AA4B1E">
        <w:t>:</w:t>
      </w:r>
    </w:p>
    <w:p w:rsidR="008510A0" w:rsidRPr="00AA4B1E" w:rsidP="00AA4B1E">
      <w:pPr>
        <w:pStyle w:val="ListParagraph"/>
        <w:numPr>
          <w:ilvl w:val="0"/>
          <w:numId w:val="6"/>
        </w:numPr>
      </w:pPr>
      <w:r w:rsidRPr="00AA4B1E">
        <w:t>the effects of arts-based interventions for non-communicable diseases (de Witte et al</w:t>
      </w:r>
      <w:r w:rsidRPr="00AA4B1E">
        <w:t>.,</w:t>
      </w:r>
      <w:r w:rsidRPr="00AA4B1E">
        <w:t xml:space="preserve"> 2026)</w:t>
      </w:r>
    </w:p>
    <w:p w:rsidR="008510A0" w:rsidRPr="00AA4B1E" w:rsidP="00AA4B1E">
      <w:pPr>
        <w:pStyle w:val="ListParagraph"/>
        <w:numPr>
          <w:ilvl w:val="0"/>
          <w:numId w:val="6"/>
        </w:numPr>
      </w:pPr>
      <w:r w:rsidRPr="00AA4B1E">
        <w:t>the effects of arts and arts therapies for CYP (Cheung et al</w:t>
      </w:r>
      <w:r w:rsidRPr="00AA4B1E">
        <w:t>.,</w:t>
      </w:r>
      <w:r w:rsidRPr="00AA4B1E">
        <w:t xml:space="preserve"> 2026</w:t>
      </w:r>
      <w:r w:rsidRPr="00AA4B1E">
        <w:t>)</w:t>
      </w:r>
    </w:p>
    <w:p w:rsidR="008510A0" w:rsidRPr="00AA4B1E" w:rsidP="00AA4B1E">
      <w:pPr>
        <w:pStyle w:val="ListParagraph"/>
        <w:numPr>
          <w:ilvl w:val="0"/>
          <w:numId w:val="6"/>
        </w:numPr>
      </w:pPr>
      <w:r w:rsidRPr="00AA4B1E">
        <w:t>an economic evaluation of the arts for productivity and saving on healthcare costs (Davies et al</w:t>
      </w:r>
      <w:r w:rsidRPr="00AA4B1E">
        <w:t>.,</w:t>
      </w:r>
      <w:r w:rsidRPr="00AA4B1E">
        <w:t xml:space="preserve"> 2026) and</w:t>
      </w:r>
    </w:p>
    <w:p w:rsidR="008510A0" w:rsidRPr="00AA4B1E" w:rsidP="00AA4B1E">
      <w:pPr>
        <w:pStyle w:val="ListParagraph"/>
        <w:numPr>
          <w:ilvl w:val="0"/>
          <w:numId w:val="6"/>
        </w:numPr>
      </w:pPr>
      <w:r w:rsidRPr="00AA4B1E">
        <w:t>a summary of economic evaluations of the role of arts in supporting CYP (Flynn et al</w:t>
      </w:r>
      <w:r w:rsidRPr="00AA4B1E">
        <w:t>.,</w:t>
      </w:r>
      <w:r w:rsidRPr="00AA4B1E">
        <w:t xml:space="preserve"> 2026).</w:t>
      </w:r>
    </w:p>
    <w:p w:rsidR="008510A0" w:rsidRPr="00AA4B1E" w:rsidP="00AA4B1E">
      <w:pPr>
        <w:rPr>
          <w:sz w:val="32"/>
          <w:szCs w:val="32"/>
        </w:rPr>
      </w:pPr>
    </w:p>
    <w:p w:rsidR="008510A0" w:rsidRPr="00AA4B1E" w:rsidP="00AA4B1E">
      <w:pPr>
        <w:rPr>
          <w:b/>
          <w:bCs/>
          <w:sz w:val="32"/>
          <w:szCs w:val="32"/>
        </w:rPr>
      </w:pPr>
      <w:r w:rsidRPr="00AA4B1E">
        <w:rPr>
          <w:b/>
          <w:bCs/>
          <w:sz w:val="32"/>
          <w:szCs w:val="32"/>
        </w:rPr>
        <w:t>Preamble</w:t>
      </w:r>
    </w:p>
    <w:p w:rsidR="008510A0" w:rsidRPr="00AA4B1E" w:rsidP="00AA4B1E"/>
    <w:p w:rsidR="008510A0" w:rsidRPr="00AA4B1E" w:rsidP="00AA4B1E">
      <w:pPr>
        <w:rPr>
          <w:lang w:val="en-US"/>
        </w:rPr>
      </w:pPr>
      <w:r w:rsidRPr="00AA4B1E">
        <w:t xml:space="preserve">Dance movement psychotherapy is a form of psychotherapy and one of the four arts </w:t>
      </w:r>
      <w:r w:rsidRPr="00AA4B1E">
        <w:t>psycho</w:t>
      </w:r>
      <w:r w:rsidRPr="00AA4B1E">
        <w:t xml:space="preserve">therapies next to music, drama and art </w:t>
      </w:r>
      <w:r w:rsidRPr="00AA4B1E">
        <w:t>psycho</w:t>
      </w:r>
      <w:r w:rsidRPr="00AA4B1E">
        <w:t xml:space="preserve">therapy. </w:t>
      </w:r>
      <w:r w:rsidRPr="00AA4B1E">
        <w:rPr>
          <w:rFonts w:ascii="Arial" w:hAnsi="Arial" w:cs="Arial"/>
          <w:lang w:val="en-US"/>
        </w:rPr>
        <w:t>​</w:t>
      </w:r>
      <w:r w:rsidRPr="00AA4B1E">
        <w:rPr>
          <w:lang w:val="en-US"/>
        </w:rPr>
        <w:t xml:space="preserve">ADMP UK (2024) defines dance movement psychotherapy as </w:t>
      </w:r>
    </w:p>
    <w:p w:rsidR="008510A0" w:rsidRPr="00AA4B1E" w:rsidP="00AA4B1E">
      <w:pPr>
        <w:ind w:left="720"/>
        <w:rPr>
          <w:lang w:val="en-US"/>
        </w:rPr>
      </w:pPr>
      <w:r w:rsidRPr="00AA4B1E">
        <w:t>“… a relational process in which client(s) and therapist engage creatively using body movement and dance, as well as verbal and non-verbal reflection” (ADMP UK</w:t>
      </w:r>
      <w:r w:rsidRPr="00AA4B1E">
        <w:t>,</w:t>
      </w:r>
      <w:r w:rsidRPr="00AA4B1E">
        <w:t xml:space="preserve"> 2023).</w:t>
      </w:r>
      <w:r w:rsidRPr="00AA4B1E">
        <w:rPr>
          <w:rFonts w:ascii="Arial" w:hAnsi="Arial" w:cs="Arial"/>
        </w:rPr>
        <w:t>​</w:t>
      </w:r>
    </w:p>
    <w:p w:rsidR="008510A0" w:rsidRPr="00AA4B1E" w:rsidP="00AA4B1E">
      <w:pPr>
        <w:rPr>
          <w:lang w:val="en-US"/>
        </w:rPr>
      </w:pPr>
    </w:p>
    <w:p w:rsidR="008510A0" w:rsidRPr="00AA4B1E" w:rsidP="00AA4B1E">
      <w:r w:rsidRPr="00AA4B1E">
        <w:rPr>
          <w:lang w:val="en-US"/>
        </w:rPr>
        <w:t xml:space="preserve">Practitioners receive training at </w:t>
      </w:r>
      <w:r w:rsidRPr="00AA4B1E">
        <w:rPr>
          <w:lang w:val="en-US"/>
        </w:rPr>
        <w:t>Master</w:t>
      </w:r>
      <w:r w:rsidRPr="00AA4B1E">
        <w:rPr>
          <w:lang w:val="en-US"/>
        </w:rPr>
        <w:t>s</w:t>
      </w:r>
      <w:r w:rsidRPr="00AA4B1E">
        <w:rPr>
          <w:lang w:val="en-US"/>
        </w:rPr>
        <w:t xml:space="preserve"> level (MSc or MA) for two years minimum, full time, </w:t>
      </w:r>
      <w:r w:rsidRPr="00AA4B1E">
        <w:rPr>
          <w:lang w:val="en-US"/>
        </w:rPr>
        <w:t>in</w:t>
      </w:r>
      <w:r w:rsidRPr="00AA4B1E">
        <w:rPr>
          <w:lang w:val="en-US"/>
        </w:rPr>
        <w:t xml:space="preserve"> Higher Education. On successful completion of their studies, they receive licence to practise and can register further with UK Council for Psychotherapy (UKCP). </w:t>
      </w:r>
      <w:r w:rsidRPr="00AA4B1E">
        <w:t xml:space="preserve">Dance movement psychotherapy </w:t>
      </w:r>
      <w:r w:rsidRPr="00AA4B1E">
        <w:t>(and other arts psychotherapies</w:t>
      </w:r>
      <w:r w:rsidRPr="00AA4B1E">
        <w:t>)</w:t>
      </w:r>
      <w:r w:rsidRPr="00AA4B1E">
        <w:t xml:space="preserve"> </w:t>
      </w:r>
      <w:r w:rsidRPr="00AA4B1E">
        <w:t>are</w:t>
      </w:r>
      <w:r w:rsidRPr="00AA4B1E">
        <w:t xml:space="preserve"> distinct from other treatments </w:t>
      </w:r>
      <w:r w:rsidRPr="00AA4B1E">
        <w:t xml:space="preserve">(such as counselling or cognitive </w:t>
      </w:r>
      <w:r w:rsidRPr="00AA4B1E">
        <w:t>behavioural</w:t>
      </w:r>
      <w:r w:rsidRPr="00AA4B1E">
        <w:t xml:space="preserve"> therapy) which are </w:t>
      </w:r>
      <w:r w:rsidRPr="00AA4B1E">
        <w:t xml:space="preserve">offered to </w:t>
      </w:r>
      <w:r w:rsidRPr="00AA4B1E">
        <w:t xml:space="preserve">CYP </w:t>
      </w:r>
      <w:r w:rsidRPr="00AA4B1E">
        <w:t xml:space="preserve">for their </w:t>
      </w:r>
      <w:r w:rsidRPr="00AA4B1E">
        <w:t>MH</w:t>
      </w:r>
      <w:r w:rsidRPr="00AA4B1E">
        <w:t>. In the creative therapies,</w:t>
      </w:r>
      <w:r w:rsidRPr="00AA4B1E">
        <w:t xml:space="preserve"> rather than </w:t>
      </w:r>
      <w:r w:rsidRPr="00AA4B1E">
        <w:t xml:space="preserve">a </w:t>
      </w:r>
      <w:r w:rsidRPr="00AA4B1E">
        <w:t>direct explo</w:t>
      </w:r>
      <w:r w:rsidRPr="00AA4B1E">
        <w:t>ration</w:t>
      </w:r>
      <w:r w:rsidRPr="00AA4B1E">
        <w:t xml:space="preserve"> of challenges, </w:t>
      </w:r>
      <w:r w:rsidRPr="00AA4B1E">
        <w:t>CYP</w:t>
      </w:r>
      <w:r w:rsidRPr="00AA4B1E">
        <w:t xml:space="preserve"> process </w:t>
      </w:r>
      <w:r w:rsidRPr="00AA4B1E">
        <w:t>MH</w:t>
      </w:r>
      <w:r w:rsidRPr="00AA4B1E">
        <w:t xml:space="preserve"> difficulties, associated feelings, and trauma using appropriate creative tools (</w:t>
      </w:r>
      <w:r w:rsidRPr="00AA4B1E">
        <w:t>d</w:t>
      </w:r>
      <w:r w:rsidRPr="00AA4B1E">
        <w:t xml:space="preserve">e Witte et al., 2021). </w:t>
      </w:r>
      <w:r w:rsidRPr="00AA4B1E">
        <w:t>As such, these therapies</w:t>
      </w:r>
      <w:r w:rsidRPr="00AA4B1E">
        <w:t xml:space="preserve"> </w:t>
      </w:r>
      <w:r w:rsidRPr="00AA4B1E">
        <w:t>are</w:t>
      </w:r>
      <w:r w:rsidRPr="00AA4B1E">
        <w:t xml:space="preserve"> particularly helpful for </w:t>
      </w:r>
      <w:r w:rsidRPr="00AA4B1E">
        <w:t>CYP</w:t>
      </w:r>
      <w:r w:rsidRPr="00AA4B1E">
        <w:t xml:space="preserve"> who may find it difficult to put their thoughts and feelings into words</w:t>
      </w:r>
      <w:r w:rsidRPr="00AA4B1E">
        <w:t xml:space="preserve">. </w:t>
      </w:r>
      <w:r w:rsidRPr="00AA4B1E">
        <w:t>By working through metaphor, play, and embodied experience, d</w:t>
      </w:r>
      <w:r w:rsidRPr="00AA4B1E">
        <w:t xml:space="preserve">ance movement psychotherapy </w:t>
      </w:r>
      <w:r w:rsidRPr="00AA4B1E">
        <w:t>creates a safe space where individuals can explore their inner world, build resilience, and develop new ways of coping with their difficulties.</w:t>
      </w:r>
    </w:p>
    <w:p w:rsidR="008510A0" w:rsidRPr="00AA4B1E" w:rsidP="00AA4B1E"/>
    <w:p w:rsidR="008510A0" w:rsidRPr="00AA4B1E" w:rsidP="00AA4B1E">
      <w:r w:rsidRPr="00AA4B1E">
        <w:t xml:space="preserve">ADMP UK </w:t>
      </w:r>
      <w:r w:rsidRPr="00AA4B1E">
        <w:t>is the professional body representing d</w:t>
      </w:r>
      <w:r w:rsidRPr="00AA4B1E">
        <w:t>ance movement psychotherap</w:t>
      </w:r>
      <w:r w:rsidRPr="00AA4B1E">
        <w:t>ists</w:t>
      </w:r>
      <w:r w:rsidRPr="00AA4B1E">
        <w:t xml:space="preserve"> </w:t>
      </w:r>
      <w:r w:rsidRPr="00AA4B1E">
        <w:t>in the UK</w:t>
      </w:r>
      <w:r w:rsidRPr="00AA4B1E">
        <w:t>. It sets standards for training, represents the professional members, advocates</w:t>
      </w:r>
      <w:r w:rsidRPr="00AA4B1E">
        <w:t>,</w:t>
      </w:r>
      <w:r w:rsidRPr="00AA4B1E">
        <w:t xml:space="preserve"> but also holds responsibility for </w:t>
      </w:r>
      <w:r w:rsidRPr="00AA4B1E">
        <w:t>maintain</w:t>
      </w:r>
      <w:r w:rsidRPr="00AA4B1E">
        <w:t>ing</w:t>
      </w:r>
      <w:r w:rsidRPr="00AA4B1E">
        <w:t xml:space="preserve"> a code of ethics</w:t>
      </w:r>
      <w:r w:rsidRPr="00AA4B1E">
        <w:t xml:space="preserve"> and receiving complaints</w:t>
      </w:r>
      <w:r w:rsidRPr="00AA4B1E">
        <w:t xml:space="preserve">. </w:t>
      </w:r>
      <w:r w:rsidRPr="00AA4B1E">
        <w:t>Members of the association also register with UKCP, an umbrella organisation that registers most psychotherapists in the UK such as gestalt therapists, psychodramatists, body psychotherapists, psychoanalysts and so on.</w:t>
      </w:r>
    </w:p>
    <w:p w:rsidR="008510A0" w:rsidRPr="00AA4B1E" w:rsidP="00AA4B1E"/>
    <w:p w:rsidR="008510A0" w:rsidRPr="00AA4B1E" w:rsidP="00AA4B1E">
      <w:r w:rsidRPr="00AA4B1E">
        <w:t>D</w:t>
      </w:r>
      <w:r w:rsidRPr="00AA4B1E">
        <w:t>ance movement psychotherapists work with CYP with emotional/behavioural difficulties both with MH diagnosis or without, with CYP with learning difficulties, those with physical/sensory or medical conditions (Karkou and Sanderson</w:t>
      </w:r>
      <w:r w:rsidRPr="00AA4B1E">
        <w:t>,</w:t>
      </w:r>
      <w:r w:rsidRPr="00AA4B1E">
        <w:t xml:space="preserve"> 2006; Zubala and Karkou</w:t>
      </w:r>
      <w:r w:rsidRPr="00AA4B1E">
        <w:t>,</w:t>
      </w:r>
      <w:r w:rsidRPr="00AA4B1E">
        <w:t xml:space="preserve"> </w:t>
      </w:r>
      <w:r w:rsidRPr="00AA4B1E">
        <w:t>2014</w:t>
      </w:r>
      <w:r w:rsidRPr="00AA4B1E">
        <w:t>; ADMP UK</w:t>
      </w:r>
      <w:r w:rsidRPr="00AA4B1E">
        <w:t>,</w:t>
      </w:r>
      <w:r w:rsidRPr="00AA4B1E">
        <w:t xml:space="preserve"> 2023). </w:t>
      </w:r>
      <w:r w:rsidRPr="00AA4B1E">
        <w:t xml:space="preserve">Most </w:t>
      </w:r>
      <w:r w:rsidRPr="00AA4B1E">
        <w:t>registered practitioners work in education</w:t>
      </w:r>
      <w:r w:rsidRPr="00AA4B1E">
        <w:t xml:space="preserve"> (40%)</w:t>
      </w:r>
      <w:r w:rsidRPr="00AA4B1E">
        <w:t>, health</w:t>
      </w:r>
      <w:r w:rsidRPr="00AA4B1E">
        <w:t xml:space="preserve"> services (27%)</w:t>
      </w:r>
      <w:r w:rsidRPr="00AA4B1E">
        <w:t>,</w:t>
      </w:r>
      <w:r w:rsidRPr="00AA4B1E">
        <w:t xml:space="preserve"> voluntary and private organisations (12%) and social services (10%). A smaller number work in private practice or other work environments. </w:t>
      </w:r>
    </w:p>
    <w:p w:rsidR="008510A0" w:rsidRPr="00AA4B1E" w:rsidP="00AA4B1E">
      <w:r w:rsidRPr="00AA4B1E">
        <w:t>Whilst the delivery of the work is of high quality (Karkou</w:t>
      </w:r>
      <w:r w:rsidRPr="00AA4B1E">
        <w:t>,</w:t>
      </w:r>
      <w:r w:rsidRPr="00AA4B1E">
        <w:t xml:space="preserve"> 2010; Aithal and Karkou</w:t>
      </w:r>
      <w:r w:rsidRPr="00AA4B1E">
        <w:t>,</w:t>
      </w:r>
      <w:r w:rsidRPr="00AA4B1E">
        <w:t xml:space="preserve"> 2024), </w:t>
      </w:r>
      <w:r w:rsidRPr="00AA4B1E">
        <w:t xml:space="preserve">the </w:t>
      </w:r>
      <w:r w:rsidRPr="00AA4B1E">
        <w:t xml:space="preserve">workforce is often fragmented, funding is limited and availability of provision varies, often closely linked with a postcode lottery that perpetuates health inequalities.  </w:t>
      </w:r>
    </w:p>
    <w:p w:rsidR="008510A0" w:rsidRPr="00AA4B1E" w:rsidP="00AA4B1E"/>
    <w:p w:rsidR="008510A0" w:rsidRPr="00AA4B1E" w:rsidP="00AA4B1E">
      <w:r w:rsidRPr="00AA4B1E">
        <w:t xml:space="preserve">Similarly, whilst research evidence </w:t>
      </w:r>
      <w:r w:rsidRPr="00AA4B1E">
        <w:t>of the effects of dance movement psychotherapy</w:t>
      </w:r>
      <w:r w:rsidRPr="00AA4B1E">
        <w:t xml:space="preserve"> </w:t>
      </w:r>
      <w:r w:rsidRPr="00AA4B1E">
        <w:t xml:space="preserve">and the wider arts-based interventions </w:t>
      </w:r>
      <w:r w:rsidRPr="00AA4B1E">
        <w:t xml:space="preserve">is growing fast </w:t>
      </w:r>
      <w:r w:rsidRPr="00AA4B1E">
        <w:t>(</w:t>
      </w:r>
      <w:r w:rsidRPr="00AA4B1E">
        <w:t>Moula et al., 2020, 2022a</w:t>
      </w:r>
      <w:r w:rsidRPr="00AA4B1E">
        <w:t>, 2022</w:t>
      </w:r>
      <w:r w:rsidRPr="00AA4B1E">
        <w:t>b; Aithal et al</w:t>
      </w:r>
      <w:r w:rsidRPr="00AA4B1E">
        <w:t>.,</w:t>
      </w:r>
      <w:r w:rsidRPr="00AA4B1E">
        <w:t xml:space="preserve"> 2021a</w:t>
      </w:r>
      <w:r w:rsidRPr="00AA4B1E">
        <w:t>, 2021</w:t>
      </w:r>
      <w:r w:rsidRPr="00AA4B1E">
        <w:t>b; de Witte et al</w:t>
      </w:r>
      <w:r w:rsidRPr="00AA4B1E">
        <w:t>.,</w:t>
      </w:r>
      <w:r w:rsidRPr="00AA4B1E">
        <w:t xml:space="preserve"> 2026; Cheung et al</w:t>
      </w:r>
      <w:r w:rsidRPr="00AA4B1E">
        <w:t>.,</w:t>
      </w:r>
      <w:r w:rsidRPr="00AA4B1E">
        <w:t xml:space="preserve"> 2026) and the economic value of these interventions is monetised indicating clear evidence of economic value (Davies et al</w:t>
      </w:r>
      <w:r w:rsidRPr="00AA4B1E">
        <w:t>.,</w:t>
      </w:r>
      <w:r w:rsidRPr="00AA4B1E">
        <w:t xml:space="preserve"> 2026; Flynn et al</w:t>
      </w:r>
      <w:r w:rsidRPr="00AA4B1E">
        <w:t>.,</w:t>
      </w:r>
      <w:r w:rsidRPr="00AA4B1E">
        <w:t xml:space="preserve"> 2026), the profession remains largely under</w:t>
      </w:r>
      <w:r w:rsidRPr="00AA4B1E">
        <w:t>-</w:t>
      </w:r>
      <w:r w:rsidRPr="00AA4B1E">
        <w:t>used and unrecognised.</w:t>
      </w:r>
    </w:p>
    <w:p w:rsidR="008510A0" w:rsidRPr="00AA4B1E" w:rsidP="00AA4B1E"/>
    <w:p w:rsidR="008510A0" w:rsidRPr="00AA4B1E" w:rsidP="00AA4B1E">
      <w:r w:rsidRPr="00AA4B1E">
        <w:t>Given the intense need to expand and scale up existing MH provision, under-use of highly qualified and experienced MH practitioners such as dance movement psychotherapists is problematic and requires immediate action, integrating dance movement psychotherapists in services</w:t>
      </w:r>
      <w:r w:rsidRPr="00AA4B1E">
        <w:t>.</w:t>
      </w:r>
    </w:p>
    <w:p w:rsidR="008510A0" w:rsidRPr="00AA4B1E" w:rsidP="00AA4B1E">
      <w:r w:rsidRPr="00AA4B1E">
        <w:t xml:space="preserve"> </w:t>
      </w:r>
    </w:p>
    <w:p w:rsidR="008510A0" w:rsidRPr="00AA4B1E" w:rsidP="00AA4B1E">
      <w:pPr>
        <w:rPr>
          <w:b/>
          <w:bCs/>
          <w:sz w:val="32"/>
          <w:szCs w:val="32"/>
        </w:rPr>
      </w:pPr>
      <w:r w:rsidRPr="00AA4B1E">
        <w:rPr>
          <w:b/>
          <w:bCs/>
          <w:sz w:val="32"/>
          <w:szCs w:val="32"/>
        </w:rPr>
        <w:t>The role of education and community settings in support and delivery</w:t>
      </w:r>
    </w:p>
    <w:p w:rsidR="008510A0" w:rsidRPr="00AA4B1E" w:rsidP="00AA4B1E"/>
    <w:p w:rsidR="008510A0" w:rsidRPr="00AA4B1E" w:rsidP="00AA4B1E">
      <w:pPr>
        <w:rPr>
          <w:b/>
          <w:bCs/>
        </w:rPr>
      </w:pPr>
      <w:r w:rsidRPr="00AA4B1E">
        <w:rPr>
          <w:b/>
          <w:bCs/>
        </w:rPr>
        <w:t xml:space="preserve">How effectively are education and community providers identifying and responding to children and young people’s mental health needs? </w:t>
      </w:r>
    </w:p>
    <w:p w:rsidR="008510A0" w:rsidRPr="00AA4B1E" w:rsidP="00AA4B1E">
      <w:pPr>
        <w:rPr>
          <w:b/>
          <w:bCs/>
        </w:rPr>
      </w:pPr>
    </w:p>
    <w:p w:rsidR="008510A0" w:rsidRPr="00AA4B1E" w:rsidP="00AA4B1E">
      <w:pPr>
        <w:rPr>
          <w:b/>
          <w:bCs/>
          <w:i/>
          <w:iCs/>
        </w:rPr>
      </w:pPr>
      <w:r w:rsidRPr="00AA4B1E">
        <w:rPr>
          <w:b/>
          <w:bCs/>
          <w:i/>
          <w:iCs/>
          <w:sz w:val="20"/>
          <w:szCs w:val="20"/>
        </w:rPr>
        <w:t xml:space="preserve">What role should staff in early years settings, schools, colleges and universities play in supporting the mental health of children and young people, what support and training do they need to enable them to take on this role?  </w:t>
      </w:r>
    </w:p>
    <w:p w:rsidR="008510A0" w:rsidRPr="00AA4B1E" w:rsidP="00AA4B1E"/>
    <w:p w:rsidR="008510A0" w:rsidRPr="00AA4B1E" w:rsidP="00AA4B1E">
      <w:r w:rsidRPr="00AA4B1E">
        <w:t xml:space="preserve">Although schools are key settings for reaching </w:t>
      </w:r>
      <w:r w:rsidRPr="00AA4B1E">
        <w:t>CYP</w:t>
      </w:r>
      <w:r w:rsidRPr="00AA4B1E">
        <w:t xml:space="preserve"> early, MH</w:t>
      </w:r>
      <w:r w:rsidRPr="00AA4B1E">
        <w:t xml:space="preserve"> training for staff remains limited and Education M</w:t>
      </w:r>
      <w:r w:rsidRPr="00AA4B1E">
        <w:t>H</w:t>
      </w:r>
      <w:r w:rsidRPr="00AA4B1E">
        <w:t xml:space="preserve"> Practitioner roles often involve relatively low levels of qualification, skill, and capacity to meet the complex needs many CYP present with. In addition, developmentally appropriate creative therapeutic approaches—such as those offered by dance movement psychotherapy—are still under</w:t>
      </w:r>
      <w:r w:rsidRPr="00AA4B1E">
        <w:noBreakHyphen/>
        <w:t>utilised in school environments.</w:t>
      </w:r>
    </w:p>
    <w:p w:rsidR="008510A0" w:rsidRPr="00AA4B1E" w:rsidP="00AA4B1E"/>
    <w:p w:rsidR="008510A0" w:rsidRPr="00AA4B1E" w:rsidP="00AA4B1E">
      <w:r w:rsidRPr="00AA4B1E">
        <w:t>Despite around 40% of UK dance movement psychotherapists working in schools, their employment is typically dependent on individual school budgets, resulting in ad hoc contracts, unclear career pathways, and inconsistent provision. Most posts are part</w:t>
      </w:r>
      <w:r w:rsidRPr="00AA4B1E">
        <w:noBreakHyphen/>
        <w:t>time, sessional, or short</w:t>
      </w:r>
      <w:r w:rsidRPr="00AA4B1E">
        <w:noBreakHyphen/>
        <w:t>term, restricting both the reach of services and the continuity of care. As a result, when dance movement psychotherapy is available, interventions are often time</w:t>
      </w:r>
      <w:r w:rsidRPr="00AA4B1E">
        <w:noBreakHyphen/>
      </w:r>
      <w:r w:rsidRPr="00AA4B1E">
        <w:t>limited and vulnerable to being cut short due to funding constraints, undermining their potential for sustained therapeutic benefit.</w:t>
      </w:r>
    </w:p>
    <w:p w:rsidR="008510A0" w:rsidRPr="00AA4B1E" w:rsidP="00AA4B1E"/>
    <w:p w:rsidR="008510A0" w:rsidRPr="00AA4B1E" w:rsidP="00AA4B1E">
      <w:pPr>
        <w:tabs>
          <w:tab w:val="num" w:pos="720"/>
        </w:tabs>
      </w:pPr>
      <w:r w:rsidRPr="00AA4B1E">
        <w:t>When provision is available, there is clear evidence of benefit. In one of our small trials</w:t>
      </w:r>
      <w:r w:rsidRPr="00AA4B1E">
        <w:t xml:space="preserve"> </w:t>
      </w:r>
      <w:r w:rsidRPr="00AA4B1E">
        <w:t>(Moula et al</w:t>
      </w:r>
      <w:r w:rsidRPr="00AA4B1E">
        <w:t>.,</w:t>
      </w:r>
      <w:r w:rsidRPr="00AA4B1E">
        <w:t xml:space="preserve"> 2022), even after only eight sessions </w:t>
      </w:r>
      <w:r w:rsidRPr="00AA4B1E">
        <w:rPr>
          <w:lang w:val="en-US"/>
        </w:rPr>
        <w:t>CYP with emotional/behavioural difficulties</w:t>
      </w:r>
      <w:r w:rsidRPr="00AA4B1E">
        <w:rPr>
          <w:rFonts w:ascii="Arial" w:hAnsi="Arial" w:cs="Arial"/>
          <w:lang w:val="en-US"/>
        </w:rPr>
        <w:t>​</w:t>
      </w:r>
      <w:r w:rsidRPr="00AA4B1E">
        <w:rPr>
          <w:rFonts w:cs="Arial"/>
          <w:lang w:val="en-US"/>
        </w:rPr>
        <w:t xml:space="preserve"> in primary schools showed sustained improvements for six months </w:t>
      </w:r>
      <w:r w:rsidRPr="00AA4B1E">
        <w:rPr>
          <w:lang w:val="en-US"/>
        </w:rPr>
        <w:t>after the end of the intervention in self-reported wellbeing and life functioning (CORS)</w:t>
      </w:r>
      <w:r w:rsidRPr="00AA4B1E">
        <w:rPr>
          <w:rFonts w:ascii="Arial" w:hAnsi="Arial" w:cs="Arial"/>
          <w:lang w:val="en-US"/>
        </w:rPr>
        <w:t>​</w:t>
      </w:r>
      <w:r w:rsidRPr="00AA4B1E">
        <w:rPr>
          <w:rFonts w:ascii="Arial" w:hAnsi="Arial" w:cs="Arial"/>
          <w:lang w:val="en-US"/>
        </w:rPr>
        <w:t xml:space="preserve">, in </w:t>
      </w:r>
      <w:r w:rsidRPr="00AA4B1E">
        <w:rPr>
          <w:lang w:val="en-US"/>
        </w:rPr>
        <w:t>emotional and behavioural</w:t>
      </w:r>
      <w:r w:rsidRPr="00AA4B1E">
        <w:rPr>
          <w:lang w:val="en-US"/>
        </w:rPr>
        <w:t xml:space="preserve"> difficulties – assess</w:t>
      </w:r>
      <w:r w:rsidRPr="00AA4B1E">
        <w:rPr>
          <w:lang w:val="en-US"/>
        </w:rPr>
        <w:t>ed</w:t>
      </w:r>
      <w:r w:rsidRPr="00AA4B1E">
        <w:rPr>
          <w:lang w:val="en-US"/>
        </w:rPr>
        <w:t xml:space="preserve"> by teachers (SDQ). CYP attending dance movement psychotherapy</w:t>
      </w:r>
      <w:r w:rsidRPr="00AA4B1E">
        <w:rPr>
          <w:rFonts w:asciiTheme="majorHAnsi" w:hAnsiTheme="majorHAnsi"/>
          <w:lang w:val="en-US"/>
        </w:rPr>
        <w:t xml:space="preserve"> sessions compared to CYP </w:t>
      </w:r>
      <w:r w:rsidRPr="00AA4B1E">
        <w:rPr>
          <w:rFonts w:asciiTheme="majorHAnsi" w:hAnsiTheme="majorHAnsi"/>
          <w:lang w:val="en-US"/>
        </w:rPr>
        <w:t>who</w:t>
      </w:r>
      <w:r w:rsidRPr="00AA4B1E">
        <w:rPr>
          <w:rFonts w:asciiTheme="majorHAnsi" w:hAnsiTheme="majorHAnsi"/>
          <w:lang w:val="en-US"/>
        </w:rPr>
        <w:t xml:space="preserve"> did not (waiting list) also showed improved quality of sleep captured through activity trackers. Similarly, children with autism</w:t>
      </w:r>
      <w:r w:rsidRPr="00AA4B1E">
        <w:rPr>
          <w:rFonts w:ascii="Arial" w:hAnsi="Arial" w:cs="Arial"/>
          <w:lang w:val="en-US"/>
        </w:rPr>
        <w:t>​</w:t>
      </w:r>
      <w:r w:rsidRPr="00AA4B1E">
        <w:rPr>
          <w:rFonts w:asciiTheme="majorHAnsi" w:hAnsiTheme="majorHAnsi" w:cs="Arial"/>
          <w:lang w:val="en-US"/>
        </w:rPr>
        <w:t xml:space="preserve"> showed improvements in s</w:t>
      </w:r>
      <w:r w:rsidRPr="00AA4B1E">
        <w:rPr>
          <w:rFonts w:asciiTheme="majorHAnsi" w:hAnsiTheme="majorHAnsi"/>
          <w:lang w:val="en-US"/>
        </w:rPr>
        <w:t>ocial communication (SCQ)</w:t>
      </w:r>
      <w:r w:rsidRPr="00AA4B1E">
        <w:rPr>
          <w:rFonts w:ascii="Arial" w:hAnsi="Arial" w:cs="Arial"/>
          <w:lang w:val="en-US"/>
        </w:rPr>
        <w:t>​</w:t>
      </w:r>
      <w:r w:rsidRPr="00AA4B1E">
        <w:rPr>
          <w:rFonts w:asciiTheme="majorHAnsi" w:hAnsiTheme="majorHAnsi" w:cs="Arial"/>
          <w:lang w:val="en-US"/>
        </w:rPr>
        <w:t xml:space="preserve"> and </w:t>
      </w:r>
      <w:r w:rsidRPr="00AA4B1E">
        <w:rPr>
          <w:rFonts w:asciiTheme="majorHAnsi" w:hAnsiTheme="majorHAnsi"/>
          <w:lang w:val="en-US"/>
        </w:rPr>
        <w:t>emotional and behavioural wellbeing (SDQ)</w:t>
      </w:r>
      <w:r w:rsidRPr="00AA4B1E">
        <w:rPr>
          <w:rFonts w:ascii="Arial" w:hAnsi="Arial" w:cs="Arial"/>
          <w:lang w:val="en-US"/>
        </w:rPr>
        <w:t>​</w:t>
      </w:r>
      <w:r w:rsidRPr="00AA4B1E">
        <w:rPr>
          <w:rFonts w:asciiTheme="majorHAnsi" w:hAnsiTheme="majorHAnsi" w:cs="Arial"/>
          <w:lang w:val="en-US"/>
        </w:rPr>
        <w:t xml:space="preserve"> </w:t>
      </w:r>
      <w:r w:rsidRPr="00AA4B1E">
        <w:rPr>
          <w:rFonts w:asciiTheme="majorHAnsi" w:hAnsiTheme="majorHAnsi"/>
        </w:rPr>
        <w:t>(Aithal et al</w:t>
      </w:r>
      <w:r w:rsidRPr="00AA4B1E">
        <w:rPr>
          <w:rFonts w:asciiTheme="majorHAnsi" w:hAnsiTheme="majorHAnsi"/>
        </w:rPr>
        <w:t>.,</w:t>
      </w:r>
      <w:r w:rsidRPr="00AA4B1E">
        <w:rPr>
          <w:rFonts w:asciiTheme="majorHAnsi" w:hAnsiTheme="majorHAnsi"/>
        </w:rPr>
        <w:t xml:space="preserve"> 2022). </w:t>
      </w:r>
      <w:r w:rsidRPr="00AA4B1E">
        <w:rPr>
          <w:rFonts w:asciiTheme="majorHAnsi" w:hAnsiTheme="majorHAnsi"/>
        </w:rPr>
        <w:t>Access</w:t>
      </w:r>
      <w:r w:rsidRPr="00AA4B1E">
        <w:rPr>
          <w:rFonts w:asciiTheme="majorHAnsi" w:hAnsiTheme="majorHAnsi"/>
        </w:rPr>
        <w:t xml:space="preserve"> to d</w:t>
      </w:r>
      <w:r w:rsidRPr="00AA4B1E">
        <w:rPr>
          <w:rFonts w:asciiTheme="majorHAnsi" w:hAnsiTheme="majorHAnsi"/>
        </w:rPr>
        <w:t>ance movement psychotherapy</w:t>
      </w:r>
      <w:r w:rsidRPr="00AA4B1E">
        <w:rPr>
          <w:rFonts w:asciiTheme="majorHAnsi" w:hAnsiTheme="majorHAnsi"/>
        </w:rPr>
        <w:t xml:space="preserve">, however, remains uneven, with a postcode lottery and reliance on insecure, short-term </w:t>
      </w:r>
      <w:r w:rsidRPr="00AA4B1E">
        <w:t>funding further constraining availability.</w:t>
      </w:r>
    </w:p>
    <w:p w:rsidR="008510A0" w:rsidRPr="00AA4B1E" w:rsidP="00AA4B1E"/>
    <w:p w:rsidR="008510A0" w:rsidRPr="00AA4B1E" w:rsidP="00AA4B1E">
      <w:r w:rsidRPr="00AA4B1E">
        <w:t>Employing suitably qualified and experienced practitioners—such as dance movement psychotherapists and other arts psychotherapists—within schools is vital for both prevention and early intervention. Their expertise provides a level of high</w:t>
      </w:r>
      <w:r w:rsidRPr="00AA4B1E">
        <w:noBreakHyphen/>
        <w:t>quality professional input that complements, rather than replaces, the primary educational role of teachers. Embedding arts therapists directly in school settings ensures immediate, front</w:t>
      </w:r>
      <w:r w:rsidRPr="00AA4B1E">
        <w:noBreakHyphen/>
      </w:r>
      <w:r w:rsidRPr="00AA4B1E">
        <w:t xml:space="preserve">line access to support, particularly for </w:t>
      </w:r>
      <w:r w:rsidRPr="00AA4B1E">
        <w:t>CYP</w:t>
      </w:r>
      <w:r w:rsidRPr="00AA4B1E">
        <w:t xml:space="preserve"> who face socioeconomic or systemic barriers to external services.</w:t>
      </w:r>
    </w:p>
    <w:p w:rsidR="008510A0" w:rsidRPr="00AA4B1E" w:rsidP="00AA4B1E"/>
    <w:p w:rsidR="008510A0" w:rsidRPr="00AA4B1E" w:rsidP="00AA4B1E">
      <w:r w:rsidRPr="00AA4B1E">
        <w:t>To strengthen early identification, teaching and support staff should receive MH</w:t>
      </w:r>
      <w:r w:rsidRPr="00AA4B1E">
        <w:t xml:space="preserve"> awareness training, clear guidance on referral pathways, and regular opportunities for consultation with qualified clinicians, including arts psychotherapists. Investment in stable, multidisciplinary teams across schools and community settings would enhance early intervention efforts, promote equitable access to care, and ensure that CYP receive timely, sustained, and developmentally appropriate MH support.</w:t>
      </w:r>
    </w:p>
    <w:p w:rsidR="008510A0" w:rsidRPr="00AA4B1E" w:rsidP="00AA4B1E"/>
    <w:tbl>
      <w:tblPr>
        <w:tblStyle w:val="TableGrid"/>
        <w:tblW w:w="0" w:type="auto"/>
        <w:tblLook w:val="04A0"/>
      </w:tblPr>
      <w:tblGrid>
        <w:gridCol w:w="9016"/>
      </w:tblGrid>
      <w:tr w:rsidTr="00C02FF4">
        <w:tblPrEx>
          <w:tblW w:w="0" w:type="auto"/>
          <w:tblLook w:val="04A0"/>
        </w:tblPrEx>
        <w:tc>
          <w:tcPr>
            <w:tcW w:w="9016" w:type="dxa"/>
          </w:tcPr>
          <w:p w:rsidR="008510A0" w:rsidRPr="00AA4B1E" w:rsidP="00AA4B1E">
            <w:r w:rsidRPr="00AA4B1E">
              <w:t>Recommendations:</w:t>
            </w:r>
          </w:p>
          <w:p w:rsidR="008510A0" w:rsidRPr="00AA4B1E" w:rsidP="00AA4B1E">
            <w:pPr>
              <w:pStyle w:val="ListParagraph"/>
              <w:numPr>
                <w:ilvl w:val="0"/>
                <w:numId w:val="9"/>
              </w:numPr>
            </w:pPr>
            <w:r w:rsidRPr="00AA4B1E">
              <w:rPr>
                <w:b/>
                <w:bCs/>
              </w:rPr>
              <w:t xml:space="preserve">Invest in Qualified </w:t>
            </w:r>
            <w:r w:rsidRPr="00AA4B1E">
              <w:rPr>
                <w:b/>
                <w:bCs/>
              </w:rPr>
              <w:t>MH</w:t>
            </w:r>
            <w:r w:rsidRPr="00AA4B1E">
              <w:rPr>
                <w:b/>
                <w:bCs/>
              </w:rPr>
              <w:t xml:space="preserve"> Professionals in Schools</w:t>
            </w:r>
            <w:r w:rsidRPr="00AA4B1E">
              <w:br/>
              <w:t xml:space="preserve">Create funded posts for qualified </w:t>
            </w:r>
            <w:r w:rsidRPr="00AA4B1E">
              <w:t>dance movement psychotherapists and other arts psychotherapists to provide early, developmentally-appropriate support and reduce reliance on short</w:t>
            </w:r>
            <w:r w:rsidRPr="00AA4B1E">
              <w:noBreakHyphen/>
              <w:t>term, ad hoc contracts.</w:t>
            </w:r>
          </w:p>
          <w:p w:rsidR="008510A0" w:rsidRPr="00AA4B1E" w:rsidP="00AA4B1E">
            <w:pPr>
              <w:pStyle w:val="ListParagraph"/>
              <w:numPr>
                <w:ilvl w:val="0"/>
                <w:numId w:val="9"/>
              </w:numPr>
            </w:pPr>
            <w:r w:rsidRPr="00AA4B1E">
              <w:rPr>
                <w:b/>
                <w:bCs/>
              </w:rPr>
              <w:t>Expand Access to Creative, Evidence</w:t>
            </w:r>
            <w:r w:rsidRPr="00AA4B1E">
              <w:rPr>
                <w:b/>
                <w:bCs/>
              </w:rPr>
              <w:noBreakHyphen/>
              <w:t>Based Therapies</w:t>
            </w:r>
            <w:r w:rsidRPr="00AA4B1E">
              <w:br/>
              <w:t>Integrate arts psychotherapies systematically within school</w:t>
            </w:r>
            <w:r w:rsidRPr="00AA4B1E">
              <w:noBreakHyphen/>
              <w:t xml:space="preserve">based provision to address emotional and behavioural needs, reduce the postcode lottery, and offer appropriate support for </w:t>
            </w:r>
            <w:r w:rsidRPr="00AA4B1E">
              <w:t>CYP</w:t>
            </w:r>
            <w:r w:rsidRPr="00AA4B1E">
              <w:t xml:space="preserve"> who do not respond well to verbal interventions.</w:t>
            </w:r>
          </w:p>
          <w:p w:rsidR="008510A0" w:rsidRPr="00AA4B1E" w:rsidP="00AA4B1E">
            <w:pPr>
              <w:pStyle w:val="ListParagraph"/>
              <w:numPr>
                <w:ilvl w:val="0"/>
                <w:numId w:val="9"/>
              </w:numPr>
            </w:pPr>
            <w:r w:rsidRPr="00AA4B1E">
              <w:rPr>
                <w:b/>
                <w:bCs/>
              </w:rPr>
              <w:t>Strengthen Early Identification and Referral Pathways</w:t>
            </w:r>
            <w:r w:rsidRPr="00AA4B1E">
              <w:br/>
              <w:t xml:space="preserve">Provide </w:t>
            </w:r>
            <w:r w:rsidRPr="00AA4B1E">
              <w:t>MH</w:t>
            </w:r>
            <w:r w:rsidRPr="00AA4B1E">
              <w:t xml:space="preserve"> awareness training for all school staff, ensure clear referral routes to arts psychotherapists, and build regular opportunities for consultation with qualified clinicians.</w:t>
            </w:r>
          </w:p>
          <w:p w:rsidR="008510A0" w:rsidRPr="00AA4B1E" w:rsidP="00AA4B1E">
            <w:pPr>
              <w:pStyle w:val="ListParagraph"/>
              <w:numPr>
                <w:ilvl w:val="0"/>
                <w:numId w:val="9"/>
              </w:numPr>
            </w:pPr>
            <w:r w:rsidRPr="00AA4B1E">
              <w:rPr>
                <w:b/>
                <w:bCs/>
              </w:rPr>
              <w:t>Stabilise Funding for Early Intervention</w:t>
            </w:r>
            <w:r w:rsidRPr="00AA4B1E">
              <w:br/>
              <w:t>Establish sustainable funding models—across education, health, and local authorities—to maintain continuity of therapeutic services and avoid premature termination of effective interventions.</w:t>
            </w:r>
          </w:p>
          <w:p w:rsidR="008510A0" w:rsidRPr="00AA4B1E" w:rsidP="00AA4B1E">
            <w:pPr>
              <w:pStyle w:val="ListParagraph"/>
              <w:numPr>
                <w:ilvl w:val="0"/>
                <w:numId w:val="9"/>
              </w:numPr>
            </w:pPr>
            <w:r w:rsidRPr="00AA4B1E">
              <w:rPr>
                <w:b/>
                <w:bCs/>
              </w:rPr>
              <w:t>Embed Arts Psychotherapists in Multidisciplinary Teams</w:t>
            </w:r>
            <w:r w:rsidRPr="00AA4B1E">
              <w:br/>
            </w:r>
            <w:r w:rsidRPr="00AA4B1E">
              <w:t>Integrate arts psychotherapists into school</w:t>
            </w:r>
            <w:r w:rsidRPr="00AA4B1E">
              <w:noBreakHyphen/>
              <w:t xml:space="preserve">based and community teams to improve holistic assessment, enhance continuity of care, and ensure timely, equitable access to </w:t>
            </w:r>
            <w:r w:rsidRPr="00AA4B1E">
              <w:t>MH</w:t>
            </w:r>
            <w:r w:rsidRPr="00AA4B1E">
              <w:t xml:space="preserve"> support for all </w:t>
            </w:r>
            <w:r w:rsidRPr="00AA4B1E">
              <w:t>CYP</w:t>
            </w:r>
            <w:r w:rsidRPr="00AA4B1E">
              <w:t>.</w:t>
            </w:r>
          </w:p>
        </w:tc>
      </w:tr>
    </w:tbl>
    <w:p w:rsidR="008510A0" w:rsidRPr="00AA4B1E" w:rsidP="00AA4B1E"/>
    <w:p w:rsidR="008510A0" w:rsidRPr="00AA4B1E" w:rsidP="00AA4B1E">
      <w:pPr>
        <w:rPr>
          <w:i/>
          <w:iCs/>
        </w:rPr>
      </w:pPr>
    </w:p>
    <w:p w:rsidR="008510A0" w:rsidRPr="00AA4B1E" w:rsidP="00AA4B1E">
      <w:pPr>
        <w:rPr>
          <w:b/>
          <w:bCs/>
        </w:rPr>
      </w:pPr>
      <w:r w:rsidRPr="00AA4B1E">
        <w:rPr>
          <w:b/>
          <w:bCs/>
        </w:rPr>
        <w:t xml:space="preserve">What is required to achieve the Government’s manifesto commitments on provision of mental health support in schools and colleges? </w:t>
      </w:r>
    </w:p>
    <w:p w:rsidR="008510A0" w:rsidRPr="00AA4B1E" w:rsidP="00AA4B1E">
      <w:pPr>
        <w:rPr>
          <w:b/>
          <w:bCs/>
        </w:rPr>
      </w:pPr>
    </w:p>
    <w:p w:rsidR="008510A0" w:rsidRPr="00AA4B1E" w:rsidP="00AA4B1E">
      <w:pPr>
        <w:rPr>
          <w:b/>
          <w:bCs/>
          <w:i/>
          <w:iCs/>
          <w:sz w:val="20"/>
          <w:szCs w:val="20"/>
        </w:rPr>
      </w:pPr>
      <w:r w:rsidRPr="00AA4B1E">
        <w:rPr>
          <w:b/>
          <w:bCs/>
          <w:i/>
          <w:iCs/>
          <w:sz w:val="20"/>
          <w:szCs w:val="20"/>
        </w:rPr>
        <w:t xml:space="preserve">To what extent does the rollout of Education Mental Health Practitioners and Mental Health Support Teams support in delivering on this commitment?  </w:t>
      </w:r>
    </w:p>
    <w:p w:rsidR="008510A0" w:rsidRPr="00AA4B1E" w:rsidP="00AA4B1E"/>
    <w:p w:rsidR="008510A0" w:rsidRPr="00AA4B1E" w:rsidP="00AA4B1E">
      <w:r w:rsidRPr="00AA4B1E">
        <w:t xml:space="preserve">Achieving the Government’s manifesto commitments requires investment in a broader and more diverse </w:t>
      </w:r>
      <w:r w:rsidRPr="00AA4B1E">
        <w:t>MH</w:t>
      </w:r>
      <w:r w:rsidRPr="00AA4B1E">
        <w:t xml:space="preserve"> workforce within education settings. This should include the creation of specific posts for arts </w:t>
      </w:r>
      <w:r w:rsidRPr="00AA4B1E">
        <w:t>psycho</w:t>
      </w:r>
      <w:r w:rsidRPr="00AA4B1E">
        <w:t>therapists—such as dance movement psychotherapists—within schools and CAMHS to deliver early, accessible, and person</w:t>
      </w:r>
      <w:r w:rsidRPr="00AA4B1E">
        <w:noBreakHyphen/>
        <w:t xml:space="preserve">centred interventions. Currently, these approaches are often underutilised, despite a strong evidence base for their effectiveness. Integrating them </w:t>
      </w:r>
      <w:r w:rsidRPr="00AA4B1E">
        <w:t>in existing services</w:t>
      </w:r>
      <w:r w:rsidRPr="00AA4B1E">
        <w:t xml:space="preserve"> would improve outcomes and could reduce pressure on waiting lists by addressing emerging needs before they escalate.</w:t>
      </w:r>
    </w:p>
    <w:p w:rsidR="008510A0" w:rsidRPr="00AA4B1E" w:rsidP="00AA4B1E"/>
    <w:p w:rsidR="008510A0" w:rsidRPr="00AA4B1E" w:rsidP="00AA4B1E">
      <w:r w:rsidRPr="00AA4B1E">
        <w:t xml:space="preserve">The rollout of Education </w:t>
      </w:r>
      <w:r w:rsidRPr="00AA4B1E">
        <w:t>MH</w:t>
      </w:r>
      <w:r w:rsidRPr="00AA4B1E">
        <w:t xml:space="preserve"> Practitioners (EMHPs) and M</w:t>
      </w:r>
      <w:r w:rsidRPr="00AA4B1E">
        <w:t>H</w:t>
      </w:r>
      <w:r w:rsidRPr="00AA4B1E">
        <w:t xml:space="preserve"> Support Teams (MHSTs) has been a positive step in establishing structured pathways for early intervention in schools. However, existing provision tends to focus on mild to moderate symptoms, with limited capacity to address underlying causes of distress or support </w:t>
      </w:r>
      <w:r w:rsidRPr="00AA4B1E">
        <w:t>CYP</w:t>
      </w:r>
      <w:r w:rsidRPr="00AA4B1E">
        <w:t xml:space="preserve"> with more complex presentations. Interventions also often prioritise highly structured modalities such as CBT, with relatively little integration of arts</w:t>
      </w:r>
      <w:r w:rsidRPr="00AA4B1E">
        <w:noBreakHyphen/>
        <w:t>based approaches.</w:t>
      </w:r>
    </w:p>
    <w:p w:rsidR="008510A0" w:rsidRPr="00AA4B1E" w:rsidP="00AA4B1E"/>
    <w:p w:rsidR="008510A0" w:rsidRPr="00AA4B1E" w:rsidP="00AA4B1E">
      <w:r w:rsidRPr="00AA4B1E">
        <w:t>Embedding qualified, dance movement psychotherapists alongside EMHPs and within multidisciplinary MHSTs would significantly enhance the effectiveness of these teams. Dance movement psychotherapists are well equipped to support CYP</w:t>
      </w:r>
      <w:r w:rsidRPr="00AA4B1E">
        <w:t xml:space="preserve"> with more complex or entrenched difficulties and contribute to a more holistic, embodied, and developmentally sensitive model of care. Their involvement would enable services to respond more flexibly across the full spectrum of need, strengthening early intervention while also addressing deeper emotional and relational challenges.</w:t>
      </w:r>
    </w:p>
    <w:p w:rsidR="008510A0" w:rsidRPr="00AA4B1E" w:rsidP="00AA4B1E"/>
    <w:p w:rsidR="008510A0" w:rsidRPr="00AA4B1E" w:rsidP="00AA4B1E">
      <w:r w:rsidRPr="00AA4B1E">
        <w:t xml:space="preserve">While some MHSTs already include dance movement psychotherapists, this is not yet consistent across the system. Where they are present, their contribution expands the therapeutic options available and supports a more inclusive offer for </w:t>
      </w:r>
      <w:r w:rsidRPr="00AA4B1E">
        <w:t>CYP</w:t>
      </w:r>
      <w:r w:rsidRPr="00AA4B1E">
        <w:t>. Dance movement psychotherapy is particularly valuable for those who have experienced adversity, have communication or sensory differences, or feel marginalised within traditional talking</w:t>
      </w:r>
      <w:r w:rsidRPr="00AA4B1E">
        <w:noBreakHyphen/>
        <w:t xml:space="preserve">based </w:t>
      </w:r>
      <w:r w:rsidRPr="00AA4B1E">
        <w:t>MH</w:t>
      </w:r>
      <w:r w:rsidRPr="00AA4B1E">
        <w:t xml:space="preserve"> pathways. Its embodied, creative methods provide a flexible and accessible approach that centres the young person’s voice, agency, and lived experience.</w:t>
      </w:r>
    </w:p>
    <w:p w:rsidR="008510A0" w:rsidRPr="00AA4B1E" w:rsidP="00AA4B1E"/>
    <w:tbl>
      <w:tblPr>
        <w:tblStyle w:val="TableGrid"/>
        <w:tblW w:w="0" w:type="auto"/>
        <w:tblLook w:val="04A0"/>
      </w:tblPr>
      <w:tblGrid>
        <w:gridCol w:w="9016"/>
      </w:tblGrid>
      <w:tr w:rsidTr="00C02FF4">
        <w:tblPrEx>
          <w:tblW w:w="0" w:type="auto"/>
          <w:tblLook w:val="04A0"/>
        </w:tblPrEx>
        <w:tc>
          <w:tcPr>
            <w:tcW w:w="9016" w:type="dxa"/>
          </w:tcPr>
          <w:p w:rsidR="008510A0" w:rsidRPr="00AA4B1E" w:rsidP="00AA4B1E">
            <w:r w:rsidRPr="00AA4B1E">
              <w:t>Recommendations:</w:t>
            </w:r>
          </w:p>
          <w:p w:rsidR="008510A0" w:rsidRPr="00AA4B1E" w:rsidP="00AA4B1E">
            <w:pPr>
              <w:pStyle w:val="ListParagraph"/>
              <w:numPr>
                <w:ilvl w:val="0"/>
                <w:numId w:val="15"/>
              </w:numPr>
            </w:pPr>
            <w:r w:rsidRPr="00AA4B1E">
              <w:rPr>
                <w:b/>
                <w:bCs/>
              </w:rPr>
              <w:t xml:space="preserve">Broaden the </w:t>
            </w:r>
            <w:r w:rsidRPr="00AA4B1E">
              <w:rPr>
                <w:b/>
                <w:bCs/>
              </w:rPr>
              <w:t>MH</w:t>
            </w:r>
            <w:r w:rsidRPr="00AA4B1E">
              <w:rPr>
                <w:b/>
                <w:bCs/>
              </w:rPr>
              <w:t xml:space="preserve"> workforce in schools</w:t>
            </w:r>
            <w:r w:rsidRPr="00AA4B1E">
              <w:t xml:space="preserve"> by funding posts for dance movement psychotherapists and other arts </w:t>
            </w:r>
            <w:r w:rsidRPr="00AA4B1E">
              <w:t>psycho</w:t>
            </w:r>
            <w:r w:rsidRPr="00AA4B1E">
              <w:t>therapists to deliver early, developmentally appropriate support.</w:t>
            </w:r>
          </w:p>
          <w:p w:rsidR="008510A0" w:rsidRPr="00AA4B1E" w:rsidP="00AA4B1E">
            <w:pPr>
              <w:pStyle w:val="ListParagraph"/>
              <w:numPr>
                <w:ilvl w:val="0"/>
                <w:numId w:val="15"/>
              </w:numPr>
            </w:pPr>
            <w:r w:rsidRPr="00AA4B1E">
              <w:rPr>
                <w:b/>
                <w:bCs/>
              </w:rPr>
              <w:t>Strengthen the EMHP/MHST model</w:t>
            </w:r>
            <w:r w:rsidRPr="00AA4B1E">
              <w:t xml:space="preserve"> by expanding teams to include arts therapists, enabling flexible responses to both mild and more complex needs.</w:t>
            </w:r>
          </w:p>
          <w:p w:rsidR="008510A0" w:rsidRPr="00AA4B1E" w:rsidP="00AA4B1E">
            <w:pPr>
              <w:pStyle w:val="ListParagraph"/>
              <w:numPr>
                <w:ilvl w:val="0"/>
                <w:numId w:val="15"/>
              </w:numPr>
            </w:pPr>
            <w:r w:rsidRPr="00AA4B1E">
              <w:rPr>
                <w:b/>
                <w:bCs/>
              </w:rPr>
              <w:t>Integrate creative therapies earlier</w:t>
            </w:r>
            <w:r w:rsidRPr="00AA4B1E">
              <w:t xml:space="preserve"> in support pathways to reduce escalation, improve engagement, and alleviate pressure on CAMHS waiting lists. </w:t>
            </w:r>
          </w:p>
          <w:p w:rsidR="008510A0" w:rsidRPr="00AA4B1E" w:rsidP="00AA4B1E">
            <w:pPr>
              <w:pStyle w:val="ListParagraph"/>
              <w:numPr>
                <w:ilvl w:val="0"/>
                <w:numId w:val="15"/>
              </w:numPr>
            </w:pPr>
            <w:r w:rsidRPr="00AA4B1E">
              <w:rPr>
                <w:b/>
                <w:bCs/>
              </w:rPr>
              <w:t>Create stable, nationally funded posts</w:t>
            </w:r>
            <w:r w:rsidRPr="00AA4B1E">
              <w:t xml:space="preserve"> for arts </w:t>
            </w:r>
            <w:r w:rsidRPr="00AA4B1E">
              <w:t>psycho</w:t>
            </w:r>
            <w:r w:rsidRPr="00AA4B1E">
              <w:t>therapists to replace short</w:t>
            </w:r>
            <w:r w:rsidRPr="00AA4B1E">
              <w:noBreakHyphen/>
              <w:t>term, school</w:t>
            </w:r>
            <w:r w:rsidRPr="00AA4B1E">
              <w:noBreakHyphen/>
              <w:t>dependent contracts and ensure continuity of care.</w:t>
            </w:r>
          </w:p>
          <w:p w:rsidR="008510A0" w:rsidRPr="00AA4B1E" w:rsidP="00AA4B1E">
            <w:pPr>
              <w:pStyle w:val="ListParagraph"/>
              <w:numPr>
                <w:ilvl w:val="0"/>
                <w:numId w:val="15"/>
              </w:numPr>
            </w:pPr>
            <w:r w:rsidRPr="00AA4B1E">
              <w:rPr>
                <w:b/>
                <w:bCs/>
              </w:rPr>
              <w:t>Ensure equitable access across regions</w:t>
            </w:r>
            <w:r w:rsidRPr="00AA4B1E">
              <w:t xml:space="preserve"> by standardising commissioning and reducing postcode variability in creative therapy provision.</w:t>
            </w:r>
          </w:p>
        </w:tc>
      </w:tr>
    </w:tbl>
    <w:p w:rsidR="008510A0" w:rsidRPr="00AA4B1E" w:rsidP="00AA4B1E"/>
    <w:p w:rsidR="008510A0" w:rsidRPr="00AA4B1E" w:rsidP="00AA4B1E"/>
    <w:p w:rsidR="008510A0" w:rsidRPr="00AA4B1E" w:rsidP="00AA4B1E">
      <w:pPr>
        <w:rPr>
          <w:b/>
          <w:bCs/>
        </w:rPr>
      </w:pPr>
      <w:r w:rsidRPr="00AA4B1E">
        <w:rPr>
          <w:b/>
          <w:bCs/>
        </w:rPr>
        <w:t>What opportunities are there to provide mental health support for children and young people through community</w:t>
      </w:r>
      <w:r w:rsidRPr="00AA4B1E">
        <w:rPr>
          <w:rFonts w:ascii="Cambria Math" w:hAnsi="Cambria Math" w:cs="Cambria Math"/>
          <w:b/>
          <w:bCs/>
        </w:rPr>
        <w:t>‑</w:t>
      </w:r>
      <w:r w:rsidRPr="00AA4B1E">
        <w:rPr>
          <w:b/>
          <w:bCs/>
        </w:rPr>
        <w:t xml:space="preserve">based approaches? What resources or support is needed to deliver them? </w:t>
      </w:r>
    </w:p>
    <w:p w:rsidR="008510A0" w:rsidRPr="00AA4B1E" w:rsidP="00AA4B1E">
      <w:pPr>
        <w:rPr>
          <w:b/>
          <w:bCs/>
        </w:rPr>
      </w:pPr>
    </w:p>
    <w:p w:rsidR="008510A0" w:rsidRPr="00AA4B1E" w:rsidP="00AA4B1E">
      <w:pPr>
        <w:rPr>
          <w:b/>
          <w:bCs/>
          <w:sz w:val="20"/>
          <w:szCs w:val="20"/>
        </w:rPr>
      </w:pPr>
      <w:r w:rsidRPr="00AA4B1E">
        <w:rPr>
          <w:b/>
          <w:bCs/>
          <w:sz w:val="20"/>
          <w:szCs w:val="20"/>
        </w:rPr>
        <w:t xml:space="preserve">What regional and local variability is there in provision of open-access mental health support across the country and how can this be reduced? </w:t>
      </w:r>
    </w:p>
    <w:p w:rsidR="008510A0" w:rsidRPr="00AA4B1E" w:rsidP="00AA4B1E">
      <w:pPr>
        <w:rPr>
          <w:i/>
          <w:iCs/>
        </w:rPr>
      </w:pPr>
    </w:p>
    <w:p w:rsidR="008510A0" w:rsidRPr="00AA4B1E" w:rsidP="00AA4B1E">
      <w:r w:rsidRPr="00AA4B1E">
        <w:t xml:space="preserve">There are significant opportunities to strengthen </w:t>
      </w:r>
      <w:r w:rsidRPr="00AA4B1E">
        <w:t>MH</w:t>
      </w:r>
      <w:r w:rsidRPr="00AA4B1E">
        <w:t xml:space="preserve"> support for </w:t>
      </w:r>
      <w:r w:rsidRPr="00AA4B1E">
        <w:t>CYP</w:t>
      </w:r>
      <w:r w:rsidRPr="00AA4B1E">
        <w:t xml:space="preserve"> through community</w:t>
      </w:r>
      <w:r w:rsidRPr="00AA4B1E">
        <w:noBreakHyphen/>
        <w:t xml:space="preserve">based approaches, particularly by expanding the use of arts </w:t>
      </w:r>
      <w:r w:rsidRPr="00AA4B1E">
        <w:t>psycho</w:t>
      </w:r>
      <w:r w:rsidRPr="00AA4B1E">
        <w:t>therapists who can work flexibly across schools, healthcare settings, and the voluntary sector, either independently or as part of multidisciplinary teams. Delivering this effectively requires sustained investment in funding models, workforce development, and stronger integration between services to ensure continuity of care and clear referral pathways.</w:t>
      </w:r>
    </w:p>
    <w:p w:rsidR="008510A0" w:rsidRPr="00AA4B1E" w:rsidP="00AA4B1E"/>
    <w:p w:rsidR="008510A0" w:rsidRPr="00AA4B1E" w:rsidP="00AA4B1E">
      <w:r w:rsidRPr="00AA4B1E">
        <w:t>At present, provision is highly variable, with a pronounced postcode lottery affecting both access to services and the availability of specialist roles. Outside of London</w:t>
      </w:r>
      <w:r w:rsidRPr="00AA4B1E">
        <w:t>,</w:t>
      </w:r>
      <w:r w:rsidRPr="00AA4B1E">
        <w:t xml:space="preserve"> in particular, many trained arts therapists are employed in alternative roles within broader </w:t>
      </w:r>
      <w:r w:rsidRPr="00AA4B1E">
        <w:t>MH</w:t>
      </w:r>
      <w:r w:rsidRPr="00AA4B1E">
        <w:t xml:space="preserve"> practitioner workforces, meaning their specialist skills are under</w:t>
      </w:r>
      <w:r w:rsidRPr="00AA4B1E">
        <w:noBreakHyphen/>
      </w:r>
      <w:r w:rsidRPr="00AA4B1E">
        <w:t>utilised. Reducing this regional and local variability will require more equitable national workforce planning, the creation of dedicated posts, and consistent commissioning of services across regions.</w:t>
      </w:r>
    </w:p>
    <w:p w:rsidR="008510A0" w:rsidRPr="00AA4B1E" w:rsidP="00AA4B1E"/>
    <w:p w:rsidR="008510A0" w:rsidRPr="00AA4B1E" w:rsidP="00AA4B1E">
      <w:r w:rsidRPr="00AA4B1E">
        <w:t xml:space="preserve">These measures would help ensure that </w:t>
      </w:r>
      <w:r w:rsidRPr="00AA4B1E">
        <w:t>CYP</w:t>
      </w:r>
      <w:r w:rsidRPr="00AA4B1E">
        <w:t xml:space="preserve"> can access appropriate, developmentally suitable support regardless of where they live, while also strengthening early intervention and community</w:t>
      </w:r>
      <w:r w:rsidRPr="00AA4B1E">
        <w:noBreakHyphen/>
        <w:t xml:space="preserve">based provision as part of a more integrated </w:t>
      </w:r>
      <w:r w:rsidRPr="00AA4B1E">
        <w:t>MH</w:t>
      </w:r>
      <w:r w:rsidRPr="00AA4B1E">
        <w:t xml:space="preserve"> system.</w:t>
      </w:r>
    </w:p>
    <w:p w:rsidR="008510A0" w:rsidRPr="00AA4B1E" w:rsidP="00AA4B1E"/>
    <w:tbl>
      <w:tblPr>
        <w:tblStyle w:val="TableGrid"/>
        <w:tblW w:w="0" w:type="auto"/>
        <w:tblLook w:val="04A0"/>
      </w:tblPr>
      <w:tblGrid>
        <w:gridCol w:w="9016"/>
      </w:tblGrid>
      <w:tr w:rsidTr="00C02FF4">
        <w:tblPrEx>
          <w:tblW w:w="0" w:type="auto"/>
          <w:tblLook w:val="04A0"/>
        </w:tblPrEx>
        <w:tc>
          <w:tcPr>
            <w:tcW w:w="9016" w:type="dxa"/>
          </w:tcPr>
          <w:p w:rsidR="008510A0" w:rsidRPr="00AA4B1E" w:rsidP="00AA4B1E">
            <w:r w:rsidRPr="00AA4B1E">
              <w:t>Recommendations:</w:t>
            </w:r>
          </w:p>
          <w:p w:rsidR="008510A0" w:rsidRPr="00AA4B1E" w:rsidP="00AA4B1E">
            <w:pPr>
              <w:pStyle w:val="ListParagraph"/>
              <w:numPr>
                <w:ilvl w:val="0"/>
                <w:numId w:val="16"/>
              </w:numPr>
            </w:pPr>
            <w:r w:rsidRPr="00AA4B1E">
              <w:rPr>
                <w:b/>
                <w:bCs/>
              </w:rPr>
              <w:t>Expand community</w:t>
            </w:r>
            <w:r w:rsidRPr="00AA4B1E">
              <w:rPr>
                <w:b/>
                <w:bCs/>
              </w:rPr>
              <w:noBreakHyphen/>
              <w:t>based provision</w:t>
            </w:r>
            <w:r w:rsidRPr="00AA4B1E">
              <w:t xml:space="preserve"> by increasing access to arts </w:t>
            </w:r>
            <w:r w:rsidRPr="00AA4B1E">
              <w:t>psycho</w:t>
            </w:r>
            <w:r w:rsidRPr="00AA4B1E">
              <w:t>therapists who can work flexibly across schools, healthcare, and voluntary</w:t>
            </w:r>
            <w:r w:rsidRPr="00AA4B1E">
              <w:noBreakHyphen/>
              <w:t>sector settings.</w:t>
            </w:r>
          </w:p>
          <w:p w:rsidR="008510A0" w:rsidRPr="00AA4B1E" w:rsidP="00AA4B1E">
            <w:pPr>
              <w:pStyle w:val="ListParagraph"/>
              <w:numPr>
                <w:ilvl w:val="0"/>
                <w:numId w:val="16"/>
              </w:numPr>
            </w:pPr>
            <w:r w:rsidRPr="00AA4B1E">
              <w:rPr>
                <w:b/>
                <w:bCs/>
              </w:rPr>
              <w:t>Invest in sustainable funding and workforce development</w:t>
            </w:r>
            <w:r w:rsidRPr="00AA4B1E">
              <w:t xml:space="preserve"> to replace short</w:t>
            </w:r>
            <w:r w:rsidRPr="00AA4B1E">
              <w:noBreakHyphen/>
              <w:t>term, insecure contracts and ensure sufficient specialist capacity across all regions.</w:t>
            </w:r>
          </w:p>
          <w:p w:rsidR="008510A0" w:rsidRPr="00AA4B1E" w:rsidP="00AA4B1E">
            <w:pPr>
              <w:pStyle w:val="ListParagraph"/>
              <w:numPr>
                <w:ilvl w:val="0"/>
                <w:numId w:val="16"/>
              </w:numPr>
            </w:pPr>
            <w:r w:rsidRPr="00AA4B1E">
              <w:rPr>
                <w:b/>
                <w:bCs/>
              </w:rPr>
              <w:t>Strengthen integration and referral pathways</w:t>
            </w:r>
            <w:r w:rsidRPr="00AA4B1E">
              <w:t xml:space="preserve"> between schools, CAMHS, primary care, and community services to improve continuity of support.</w:t>
            </w:r>
          </w:p>
          <w:p w:rsidR="008510A0" w:rsidRPr="00AA4B1E" w:rsidP="00AA4B1E">
            <w:pPr>
              <w:pStyle w:val="ListParagraph"/>
              <w:numPr>
                <w:ilvl w:val="0"/>
                <w:numId w:val="16"/>
              </w:numPr>
            </w:pPr>
            <w:r w:rsidRPr="00AA4B1E">
              <w:rPr>
                <w:b/>
                <w:bCs/>
              </w:rPr>
              <w:t>Reduce regional variability</w:t>
            </w:r>
            <w:r w:rsidRPr="00AA4B1E">
              <w:t xml:space="preserve"> by establishing national commissioning standards and creating dedicated arts </w:t>
            </w:r>
            <w:r w:rsidRPr="00AA4B1E">
              <w:t>psycho</w:t>
            </w:r>
            <w:r w:rsidRPr="00AA4B1E">
              <w:t>therapy posts across the country.</w:t>
            </w:r>
          </w:p>
          <w:p w:rsidR="008510A0" w:rsidRPr="00AA4B1E" w:rsidP="00AA4B1E">
            <w:pPr>
              <w:pStyle w:val="ListParagraph"/>
              <w:numPr>
                <w:ilvl w:val="0"/>
                <w:numId w:val="16"/>
              </w:numPr>
            </w:pPr>
            <w:r w:rsidRPr="00AA4B1E">
              <w:rPr>
                <w:b/>
                <w:bCs/>
              </w:rPr>
              <w:t>Ensure equitable access</w:t>
            </w:r>
            <w:r w:rsidRPr="00AA4B1E">
              <w:t xml:space="preserve"> so all </w:t>
            </w:r>
            <w:r w:rsidRPr="00AA4B1E">
              <w:t>CYP</w:t>
            </w:r>
            <w:r w:rsidRPr="00AA4B1E">
              <w:t xml:space="preserve"> can receive developmentally appropriate, community</w:t>
            </w:r>
            <w:r w:rsidRPr="00AA4B1E">
              <w:noBreakHyphen/>
              <w:t xml:space="preserve">based </w:t>
            </w:r>
            <w:r w:rsidRPr="00AA4B1E">
              <w:t>MH</w:t>
            </w:r>
            <w:r w:rsidRPr="00AA4B1E">
              <w:t xml:space="preserve"> support regardless of postcode.</w:t>
            </w:r>
          </w:p>
        </w:tc>
      </w:tr>
    </w:tbl>
    <w:p w:rsidR="008510A0" w:rsidRPr="00AA4B1E" w:rsidP="00AA4B1E"/>
    <w:p w:rsidR="008510A0" w:rsidRPr="00AA4B1E" w:rsidP="00AA4B1E"/>
    <w:p w:rsidR="008510A0" w:rsidRPr="00AA4B1E" w:rsidP="00AA4B1E">
      <w:pPr>
        <w:rPr>
          <w:b/>
          <w:bCs/>
          <w:sz w:val="32"/>
          <w:szCs w:val="32"/>
        </w:rPr>
      </w:pPr>
      <w:r w:rsidRPr="00AA4B1E">
        <w:rPr>
          <w:b/>
          <w:bCs/>
          <w:sz w:val="32"/>
          <w:szCs w:val="32"/>
        </w:rPr>
        <w:t xml:space="preserve">The role of NHS and specialist mental health services in support and delivery </w:t>
      </w:r>
    </w:p>
    <w:p w:rsidR="008510A0" w:rsidRPr="00AA4B1E" w:rsidP="00AA4B1E">
      <w:pPr>
        <w:rPr>
          <w:b/>
          <w:bCs/>
        </w:rPr>
      </w:pPr>
    </w:p>
    <w:p w:rsidR="008510A0" w:rsidRPr="00AA4B1E" w:rsidP="00AA4B1E">
      <w:pPr>
        <w:rPr>
          <w:b/>
          <w:bCs/>
        </w:rPr>
      </w:pPr>
      <w:r w:rsidRPr="00AA4B1E">
        <w:rPr>
          <w:b/>
          <w:bCs/>
        </w:rPr>
        <w:t xml:space="preserve">What reforms to CAMHS would best support timely, equitable and continued access to specialist mental health care for children and young people? </w:t>
      </w:r>
    </w:p>
    <w:p w:rsidR="008510A0" w:rsidRPr="00AA4B1E" w:rsidP="00AA4B1E">
      <w:pPr>
        <w:rPr>
          <w:b/>
          <w:bCs/>
          <w:i/>
          <w:iCs/>
          <w:sz w:val="20"/>
          <w:szCs w:val="20"/>
        </w:rPr>
      </w:pPr>
    </w:p>
    <w:p w:rsidR="008510A0" w:rsidRPr="00AA4B1E" w:rsidP="00AA4B1E">
      <w:pPr>
        <w:rPr>
          <w:b/>
          <w:bCs/>
          <w:i/>
          <w:iCs/>
          <w:sz w:val="20"/>
          <w:szCs w:val="20"/>
        </w:rPr>
      </w:pPr>
      <w:r w:rsidRPr="00AA4B1E">
        <w:rPr>
          <w:b/>
          <w:bCs/>
          <w:i/>
          <w:iCs/>
          <w:sz w:val="20"/>
          <w:szCs w:val="20"/>
        </w:rPr>
        <w:t xml:space="preserve">Are there models or examples of approaches within CAMHS that have reduced crisis presentations or repeat attendances among children and young people requiring specialist mental health support? </w:t>
      </w:r>
    </w:p>
    <w:p w:rsidR="008510A0" w:rsidRPr="00AA4B1E" w:rsidP="00AA4B1E">
      <w:pPr>
        <w:rPr>
          <w:b/>
          <w:bCs/>
          <w:i/>
          <w:iCs/>
          <w:sz w:val="20"/>
          <w:szCs w:val="20"/>
        </w:rPr>
      </w:pPr>
    </w:p>
    <w:p w:rsidR="008510A0" w:rsidRPr="00AA4B1E" w:rsidP="00AA4B1E">
      <w:pPr>
        <w:rPr>
          <w:b/>
          <w:bCs/>
          <w:i/>
          <w:iCs/>
          <w:sz w:val="20"/>
          <w:szCs w:val="20"/>
        </w:rPr>
      </w:pPr>
      <w:r w:rsidRPr="00AA4B1E">
        <w:rPr>
          <w:b/>
          <w:bCs/>
          <w:i/>
          <w:iCs/>
          <w:sz w:val="20"/>
          <w:szCs w:val="20"/>
        </w:rPr>
        <w:t>How should the needs of children and young people who do not meet CAMHS thresholds be identified and addressed?</w:t>
      </w:r>
    </w:p>
    <w:p w:rsidR="008510A0" w:rsidRPr="00AA4B1E" w:rsidP="00AA4B1E"/>
    <w:p w:rsidR="008510A0" w:rsidRPr="00AA4B1E" w:rsidP="00AA4B1E">
      <w:r w:rsidRPr="00AA4B1E">
        <w:t xml:space="preserve">Reforms to CAMHS should prioritise timely, equitable, and sustained access by expanding the range of therapeutic modalities available, including the systematic integration of arts </w:t>
      </w:r>
      <w:r w:rsidRPr="00AA4B1E">
        <w:t>psycho</w:t>
      </w:r>
      <w:r w:rsidRPr="00AA4B1E">
        <w:t>therapies across all levels of care (from early intervention and Tier 1 to Tier 4 services). Representation of dance movement psychotherapists—or clinicians with a strong understanding of arts</w:t>
      </w:r>
      <w:r w:rsidRPr="00AA4B1E">
        <w:noBreakHyphen/>
        <w:t>based and movement</w:t>
      </w:r>
      <w:r w:rsidRPr="00AA4B1E">
        <w:noBreakHyphen/>
        <w:t xml:space="preserve">based therapeutic approaches—within multidisciplinary referral and assessment teams is essential to </w:t>
      </w:r>
      <w:r w:rsidRPr="00AA4B1E">
        <w:t>ensure that young people suited to this form of support are appropriately identified and referred.</w:t>
      </w:r>
    </w:p>
    <w:p w:rsidR="008510A0" w:rsidRPr="00AA4B1E" w:rsidP="00AA4B1E"/>
    <w:p w:rsidR="008510A0" w:rsidRPr="00AA4B1E" w:rsidP="00AA4B1E">
      <w:r w:rsidRPr="00AA4B1E">
        <w:t xml:space="preserve">Many young people who do meet the threshold for CAMHS / NHS Specialist </w:t>
      </w:r>
      <w:r w:rsidRPr="00AA4B1E">
        <w:t>CYP</w:t>
      </w:r>
      <w:r w:rsidRPr="00AA4B1E">
        <w:t xml:space="preserve"> </w:t>
      </w:r>
      <w:r w:rsidRPr="00AA4B1E">
        <w:t>MH</w:t>
      </w:r>
      <w:r w:rsidRPr="00AA4B1E">
        <w:t xml:space="preserve"> Services require meaningful support, particularly those who need to process trauma and emotional distress at a tolerable distance rather than through direct verbal approaches such as CBT, DBT, or other talking therapies. Embedding dance movement psychotherapists within NHS primary care, early intervention and core CAMHS </w:t>
      </w:r>
      <w:r w:rsidRPr="00AA4B1E">
        <w:t>services could reduce pressure on secondary services, enable earlier and more personalised intervention, enhance engagement for those less responsive to verbal modalities, and reduce delays created by sequential, step</w:t>
      </w:r>
      <w:r w:rsidRPr="00AA4B1E">
        <w:noBreakHyphen/>
        <w:t>wise care pathways. At present, access to dance movement psychotherapy (and other arts psychotherapies) is limited by low workforce representation in these areas.</w:t>
      </w:r>
    </w:p>
    <w:p w:rsidR="008510A0" w:rsidRPr="00AA4B1E" w:rsidP="00AA4B1E"/>
    <w:p w:rsidR="008510A0" w:rsidRPr="00AA4B1E" w:rsidP="00AA4B1E">
      <w:r w:rsidRPr="00AA4B1E">
        <w:t xml:space="preserve">While </w:t>
      </w:r>
      <w:r w:rsidRPr="00AA4B1E">
        <w:t xml:space="preserve">a few </w:t>
      </w:r>
      <w:r w:rsidRPr="00AA4B1E">
        <w:t>dance movement psychotherapists are employed across NHS Trusts (around 27% of the ADMP UK members), the</w:t>
      </w:r>
      <w:r w:rsidRPr="00AA4B1E">
        <w:t xml:space="preserve">ir presence within CAMHS services is rare, facing often </w:t>
      </w:r>
      <w:r w:rsidRPr="00AA4B1E">
        <w:t>system</w:t>
      </w:r>
      <w:r w:rsidRPr="00AA4B1E">
        <w:noBreakHyphen/>
        <w:t xml:space="preserve">level constraints </w:t>
      </w:r>
      <w:r w:rsidRPr="00AA4B1E">
        <w:t xml:space="preserve">and </w:t>
      </w:r>
      <w:r w:rsidRPr="00AA4B1E">
        <w:t xml:space="preserve">lack of </w:t>
      </w:r>
      <w:r w:rsidRPr="00AA4B1E">
        <w:t>recognition</w:t>
      </w:r>
      <w:r w:rsidRPr="00AA4B1E">
        <w:t>. CAMHS reform should therefore prioritise diversifying the workforce, allowing the use of non</w:t>
      </w:r>
      <w:r w:rsidRPr="00AA4B1E">
        <w:noBreakHyphen/>
        <w:t>verbal, creative, and arts</w:t>
      </w:r>
      <w:r w:rsidRPr="00AA4B1E">
        <w:noBreakHyphen/>
        <w:t xml:space="preserve">based </w:t>
      </w:r>
      <w:r w:rsidRPr="00AA4B1E">
        <w:t>psycho</w:t>
      </w:r>
      <w:r w:rsidRPr="00AA4B1E">
        <w:t xml:space="preserve">therapies. </w:t>
      </w:r>
      <w:r w:rsidRPr="00AA4B1E">
        <w:t xml:space="preserve">Service provision needs to </w:t>
      </w:r>
      <w:r w:rsidRPr="00AA4B1E">
        <w:t>support integration of these modalities within clinical pathways and help prevent continued under</w:t>
      </w:r>
      <w:r w:rsidRPr="00AA4B1E">
        <w:t>-</w:t>
      </w:r>
      <w:r w:rsidRPr="00AA4B1E">
        <w:t>representation of dance movement psychotherapy</w:t>
      </w:r>
      <w:r w:rsidRPr="00AA4B1E">
        <w:t>.</w:t>
      </w:r>
    </w:p>
    <w:p w:rsidR="008510A0" w:rsidRPr="00AA4B1E" w:rsidP="00AA4B1E"/>
    <w:tbl>
      <w:tblPr>
        <w:tblStyle w:val="TableGrid"/>
        <w:tblW w:w="0" w:type="auto"/>
        <w:tblLook w:val="04A0"/>
      </w:tblPr>
      <w:tblGrid>
        <w:gridCol w:w="9016"/>
      </w:tblGrid>
      <w:tr w:rsidTr="00C02FF4">
        <w:tblPrEx>
          <w:tblW w:w="0" w:type="auto"/>
          <w:tblLook w:val="04A0"/>
        </w:tblPrEx>
        <w:tc>
          <w:tcPr>
            <w:tcW w:w="9016" w:type="dxa"/>
          </w:tcPr>
          <w:p w:rsidR="008510A0" w:rsidRPr="00AA4B1E" w:rsidP="00AA4B1E">
            <w:r w:rsidRPr="00AA4B1E">
              <w:t>Recommendations:</w:t>
            </w:r>
          </w:p>
          <w:p w:rsidR="008510A0" w:rsidRPr="00AA4B1E" w:rsidP="00AA4B1E">
            <w:pPr>
              <w:pStyle w:val="ListParagraph"/>
              <w:numPr>
                <w:ilvl w:val="0"/>
                <w:numId w:val="17"/>
              </w:numPr>
              <w:rPr>
                <w:b/>
                <w:bCs/>
              </w:rPr>
            </w:pPr>
            <w:r w:rsidRPr="00AA4B1E">
              <w:rPr>
                <w:b/>
                <w:bCs/>
              </w:rPr>
              <w:t>Diversify and Strengthen the CAMHS Workforce</w:t>
            </w:r>
          </w:p>
          <w:p w:rsidR="008510A0" w:rsidRPr="00AA4B1E" w:rsidP="00AA4B1E">
            <w:pPr>
              <w:pStyle w:val="ListParagraph"/>
              <w:rPr>
                <w:b/>
                <w:bCs/>
              </w:rPr>
            </w:pPr>
            <w:r w:rsidRPr="00AA4B1E">
              <w:t xml:space="preserve">Integrate dance movement psychotherapists and other arts </w:t>
            </w:r>
            <w:r w:rsidRPr="00AA4B1E">
              <w:t>psycho</w:t>
            </w:r>
            <w:r w:rsidRPr="00AA4B1E">
              <w:t>therapists across all tiers of CAMHS—especially in referral and assessment teams—to improve timely, equitable access and ensure CYP who need non</w:t>
            </w:r>
            <w:r w:rsidRPr="00AA4B1E">
              <w:noBreakHyphen/>
              <w:t>verbal or creative approaches are appropriately identified.</w:t>
            </w:r>
          </w:p>
          <w:p w:rsidR="008510A0" w:rsidRPr="00AA4B1E" w:rsidP="00AA4B1E">
            <w:pPr>
              <w:pStyle w:val="ListParagraph"/>
              <w:numPr>
                <w:ilvl w:val="0"/>
                <w:numId w:val="17"/>
              </w:numPr>
              <w:rPr>
                <w:b/>
                <w:bCs/>
              </w:rPr>
            </w:pPr>
            <w:r w:rsidRPr="00AA4B1E">
              <w:rPr>
                <w:b/>
                <w:bCs/>
              </w:rPr>
              <w:t>Embed Creative, Non</w:t>
            </w:r>
            <w:r w:rsidRPr="00AA4B1E">
              <w:rPr>
                <w:b/>
                <w:bCs/>
              </w:rPr>
              <w:noBreakHyphen/>
              <w:t>Verbal Therapies Across Pathways</w:t>
            </w:r>
          </w:p>
          <w:p w:rsidR="008510A0" w:rsidRPr="00AA4B1E" w:rsidP="00AA4B1E">
            <w:pPr>
              <w:pStyle w:val="ListParagraph"/>
              <w:rPr>
                <w:b/>
                <w:bCs/>
              </w:rPr>
            </w:pPr>
            <w:r w:rsidRPr="00AA4B1E">
              <w:t>Enable earlier, personalised and trauma</w:t>
            </w:r>
            <w:r w:rsidRPr="00AA4B1E">
              <w:noBreakHyphen/>
              <w:t xml:space="preserve">informed support by embedding arts </w:t>
            </w:r>
            <w:r w:rsidRPr="00AA4B1E">
              <w:t>psycho</w:t>
            </w:r>
            <w:r w:rsidRPr="00AA4B1E">
              <w:t>therapies within primary care, early intervention services, and core CAMHS. This would reduce pressure on specialist services, prevent escalation to crisis, and provide suitable options for CYP who do not meet CAMHS thresholds.</w:t>
            </w:r>
          </w:p>
          <w:p w:rsidR="008510A0" w:rsidRPr="00AA4B1E" w:rsidP="00AA4B1E">
            <w:pPr>
              <w:pStyle w:val="ListParagraph"/>
              <w:numPr>
                <w:ilvl w:val="0"/>
                <w:numId w:val="17"/>
              </w:numPr>
              <w:rPr>
                <w:b/>
                <w:bCs/>
              </w:rPr>
            </w:pPr>
            <w:r w:rsidRPr="00AA4B1E">
              <w:rPr>
                <w:b/>
                <w:bCs/>
              </w:rPr>
              <w:t>Address Under</w:t>
            </w:r>
            <w:r w:rsidRPr="00AA4B1E">
              <w:rPr>
                <w:b/>
                <w:bCs/>
              </w:rPr>
              <w:noBreakHyphen/>
              <w:t>Representation and Improve Commissioning</w:t>
            </w:r>
          </w:p>
          <w:p w:rsidR="008510A0" w:rsidRPr="00AA4B1E" w:rsidP="00AA4B1E">
            <w:pPr>
              <w:pStyle w:val="ListParagraph"/>
              <w:rPr>
                <w:b/>
                <w:bCs/>
              </w:rPr>
            </w:pPr>
            <w:r w:rsidRPr="00AA4B1E">
              <w:t xml:space="preserve">Increase national workforce planning, commissioning consistency, and recognition of arts </w:t>
            </w:r>
            <w:r w:rsidRPr="00AA4B1E">
              <w:t>psycho</w:t>
            </w:r>
            <w:r w:rsidRPr="00AA4B1E">
              <w:t>therapists within CAMHS to reduce regional variation, strengthen continuity of care, and allow these modalities to be properly integrated and evaluated within clinical pathways.</w:t>
            </w:r>
          </w:p>
        </w:tc>
      </w:tr>
    </w:tbl>
    <w:p w:rsidR="008510A0" w:rsidRPr="00AA4B1E" w:rsidP="00AA4B1E"/>
    <w:p w:rsidR="008510A0" w:rsidRPr="00AA4B1E" w:rsidP="00AA4B1E"/>
    <w:p w:rsidR="008510A0" w:rsidRPr="00AA4B1E" w:rsidP="00AA4B1E">
      <w:pPr>
        <w:rPr>
          <w:b/>
          <w:bCs/>
          <w:sz w:val="32"/>
          <w:szCs w:val="32"/>
        </w:rPr>
      </w:pPr>
      <w:r w:rsidRPr="00AA4B1E">
        <w:rPr>
          <w:b/>
          <w:bCs/>
          <w:sz w:val="32"/>
          <w:szCs w:val="32"/>
        </w:rPr>
        <w:t>Conclusion</w:t>
      </w:r>
    </w:p>
    <w:p w:rsidR="008510A0" w:rsidRPr="00AA4B1E" w:rsidP="00AA4B1E"/>
    <w:p w:rsidR="008510A0" w:rsidRPr="00AA4B1E" w:rsidP="00AA4B1E">
      <w:r w:rsidRPr="00AA4B1E">
        <w:t>Dance movement psychotherapy has a unique, evidence</w:t>
      </w:r>
      <w:r w:rsidRPr="00AA4B1E">
        <w:noBreakHyphen/>
        <w:t xml:space="preserve">informed contribution to make to CYP MH, offering accessible and developmentally appropriate support that complements other therapeutic approaches. Despite this, the profession remains underutilised, with many qualified dance movement psychotherapists employed in </w:t>
      </w:r>
      <w:r w:rsidRPr="00AA4B1E">
        <w:t>short</w:t>
      </w:r>
      <w:r w:rsidRPr="00AA4B1E">
        <w:noBreakHyphen/>
        <w:t>term, sessional, or peripheral roles that limit continuity of care and restrict the reach of these highly effective interventions. To realise the full potential of dance movement psychotherapy, sustained investment is needed to create substantive, full</w:t>
      </w:r>
      <w:r w:rsidRPr="00AA4B1E">
        <w:noBreakHyphen/>
        <w:t xml:space="preserve">time posts across schools, community settings, and CAMHS, alongside strengthened workforce development, training pathways, and research capacity. </w:t>
      </w:r>
    </w:p>
    <w:p w:rsidR="008510A0" w:rsidRPr="00AA4B1E" w:rsidP="00AA4B1E"/>
    <w:p w:rsidR="008510A0" w:rsidRPr="00AA4B1E" w:rsidP="00AA4B1E">
      <w:r w:rsidRPr="00AA4B1E">
        <w:t>Embedding dance movement psychotherapists within multidisciplinary teams ensures that creative, embodied interventions are integrated into early intervention, community provision, and acute care pathways, enabling timely, person</w:t>
      </w:r>
      <w:r w:rsidRPr="00AA4B1E">
        <w:noBreakHyphen/>
        <w:t>centred support and reducing escalation to crisis services.</w:t>
      </w:r>
    </w:p>
    <w:p w:rsidR="008510A0" w:rsidRPr="00AA4B1E" w:rsidP="00AA4B1E"/>
    <w:p w:rsidR="008510A0" w:rsidRPr="00AA4B1E" w:rsidP="00AA4B1E">
      <w:r w:rsidRPr="00AA4B1E">
        <w:t>In addition, consistent national workforce planning and commissioning are essential to address regional and local disparities, ensuring equitable access to both dance movement psychotherapy services and employment opportunities regardless of postcode. Fully integrating dance movement psychotherapists across education and healthcare systems would strengthen coordinated care, support smoother transitions between acute and community services, and better address the broader developmental and educational needs o</w:t>
      </w:r>
      <w:r w:rsidRPr="00AA4B1E">
        <w:t xml:space="preserve">f </w:t>
      </w:r>
      <w:r w:rsidRPr="00AA4B1E">
        <w:t>CYP</w:t>
      </w:r>
      <w:r w:rsidRPr="00AA4B1E">
        <w:t xml:space="preserve">. By investing in an already highly skilled but underutilised workforce, the system can deliver a more holistic, preventative, and inclusive approach to </w:t>
      </w:r>
      <w:r w:rsidRPr="00AA4B1E">
        <w:t>MH</w:t>
      </w:r>
      <w:r w:rsidRPr="00AA4B1E">
        <w:t xml:space="preserve">—one that centres the voices and lived experiences of </w:t>
      </w:r>
      <w:r w:rsidRPr="00AA4B1E">
        <w:t>CYP</w:t>
      </w:r>
      <w:r w:rsidRPr="00AA4B1E">
        <w:t>, improves outcomes, and ultimately reduces pressure on specialist and acute services.</w:t>
      </w:r>
    </w:p>
    <w:p w:rsidR="008510A0" w:rsidRPr="00AA4B1E" w:rsidP="00AA4B1E"/>
    <w:p w:rsidR="008510A0" w:rsidRPr="00AA4B1E" w:rsidP="00AA4B1E">
      <w:pPr>
        <w:rPr>
          <w:b/>
          <w:bCs/>
          <w:sz w:val="32"/>
          <w:szCs w:val="32"/>
          <w:lang w:val="nl-NL"/>
        </w:rPr>
      </w:pPr>
      <w:r w:rsidRPr="00AA4B1E">
        <w:rPr>
          <w:b/>
          <w:bCs/>
          <w:sz w:val="32"/>
          <w:szCs w:val="32"/>
          <w:lang w:val="nl-NL"/>
        </w:rPr>
        <w:t>References</w:t>
      </w:r>
    </w:p>
    <w:p w:rsidR="008510A0" w:rsidRPr="00AA4B1E" w:rsidP="00AA4B1E">
      <w:pPr>
        <w:rPr>
          <w:lang w:val="nl-NL"/>
        </w:rPr>
      </w:pPr>
    </w:p>
    <w:p w:rsidR="008510A0" w:rsidRPr="00AA4B1E" w:rsidP="00AA4B1E">
      <w:r w:rsidRPr="00AA4B1E">
        <w:t xml:space="preserve">Karkou V, Omylinska-Thurston J, Thurston S, Moula Z, Pringle L, Powell J, Liverpool S, Clark R, Fletcher K, Bull M, Batsios K, Ramkisson R (2026 </w:t>
      </w:r>
      <w:r w:rsidRPr="00AA4B1E">
        <w:t>under review) Arts for the Blues for children and young people: the development and testing of a manual of an evidence-based creative psychological group intervention, in S Hackett and J Bourne (eds) Advancing Arts Therapies through Manualized interventions for Treatment and Training, Cambridge Scholars Publishing </w:t>
      </w:r>
    </w:p>
    <w:p w:rsidR="008510A0" w:rsidRPr="00AA4B1E" w:rsidP="00AA4B1E">
      <w:r w:rsidRPr="00AA4B1E">
        <w:t> </w:t>
      </w:r>
    </w:p>
    <w:p w:rsidR="008510A0" w:rsidRPr="00AA4B1E" w:rsidP="00AA4B1E">
      <w:r w:rsidRPr="00AA4B1E">
        <w:t>De Witte, M., Bradt, J., Aithal, S., Flynn, L., Karkou, V., Koch, S., Orkibi, H., Sajnani, N., Berberian, M., &amp; Fietje</w:t>
      </w:r>
      <w:r w:rsidRPr="00AA4B1E">
        <w:t>, N. (2025). The Effects of Arts-Based Interventions in the Treatment and Management of Non-Communicable Diseases: An Umbrella Review and Meta-Analyses. </w:t>
      </w:r>
      <w:r>
        <w:fldChar w:fldCharType="begin"/>
      </w:r>
      <w:r>
        <w:instrText xml:space="preserve"> HYPERLINK "https://doi.org/10.21203/rs.3.rs-5961850/v1" \t "_blank" </w:instrText>
      </w:r>
      <w:r>
        <w:fldChar w:fldCharType="separate"/>
      </w:r>
      <w:r w:rsidRPr="00AA4B1E">
        <w:rPr>
          <w:rStyle w:val="Hyperlink"/>
          <w:color w:val="auto"/>
        </w:rPr>
        <w:t>https://doi.org/10.21203/rs.3.rs-5961850/v1</w:t>
      </w:r>
      <w:r>
        <w:fldChar w:fldCharType="end"/>
      </w:r>
      <w:r w:rsidRPr="00AA4B1E">
        <w:t> </w:t>
      </w:r>
    </w:p>
    <w:p w:rsidR="008510A0" w:rsidRPr="00AA4B1E" w:rsidP="00AA4B1E">
      <w:r w:rsidRPr="00AA4B1E">
        <w:t>   </w:t>
      </w:r>
    </w:p>
    <w:p w:rsidR="008510A0" w:rsidRPr="00AA4B1E" w:rsidP="00AA4B1E">
      <w:r w:rsidRPr="00AA4B1E">
        <w:t>Flynn G, Cheung PS, Moula Z, Fancourt D, Edwards RT, Karkou V (2026). The economic impact of the arts on the health and wellbeing of children and young people: A systematic review. Under review iScience. </w:t>
      </w:r>
    </w:p>
    <w:p w:rsidR="008510A0" w:rsidRPr="00AA4B1E" w:rsidP="00AA4B1E">
      <w:r w:rsidRPr="00AA4B1E">
        <w:t> </w:t>
      </w:r>
    </w:p>
    <w:p w:rsidR="008510A0" w:rsidRPr="00AA4B1E" w:rsidP="00AA4B1E">
      <w:r w:rsidRPr="00AA4B1E">
        <w:t>Cheung, Pui Sze and Rhodes, Sarah and Bahr, Elisabeth and Lakena, Wilfried and Sajnani, Nisha and Fietje, Nils and Karkou, Vicky, The Effects of the Arts and Arts Therapies on Mental Health Outcomes of Children and Young People: A Systematic Review and Meta-Analysis. Preprint for the Lancet </w:t>
      </w:r>
      <w:r w:rsidRPr="00AA4B1E">
        <w:t>eClinicalMedicine</w:t>
      </w:r>
      <w:r w:rsidRPr="00AA4B1E">
        <w:t>: </w:t>
      </w:r>
      <w:r>
        <w:fldChar w:fldCharType="begin"/>
      </w:r>
      <w:r>
        <w:instrText xml:space="preserve"> HYPERLINK "http://dx.doi.org/10.2139/ssrn.6218468" \t "_blank" </w:instrText>
      </w:r>
      <w:r>
        <w:fldChar w:fldCharType="separate"/>
      </w:r>
      <w:r w:rsidRPr="00AA4B1E">
        <w:rPr>
          <w:rStyle w:val="Hyperlink"/>
          <w:color w:val="auto"/>
        </w:rPr>
        <w:t>http://dx.doi.org/10.2139/ssrn.6218468</w:t>
      </w:r>
      <w:r>
        <w:fldChar w:fldCharType="end"/>
      </w:r>
      <w:r w:rsidRPr="00AA4B1E">
        <w:t>  </w:t>
      </w:r>
    </w:p>
    <w:p w:rsidR="008510A0" w:rsidRPr="00AA4B1E" w:rsidP="00AA4B1E">
      <w:r w:rsidRPr="00AA4B1E">
        <w:t> </w:t>
      </w:r>
    </w:p>
    <w:p w:rsidR="008510A0" w:rsidRPr="00AA4B1E" w:rsidP="00AA4B1E">
      <w:r w:rsidRPr="00AA4B1E">
        <w:t>Davies J, Flynn G, Karkou V and Edwards R T (2026). Assessing the Economic Impact of the Arts on Health and Healthcare Services in Wales. Report prepared for Arts Council of Wales. </w:t>
      </w:r>
      <w:r>
        <w:fldChar w:fldCharType="begin"/>
      </w:r>
      <w:r>
        <w:instrText xml:space="preserve"> HYPERLINK "https://arts.wales/about-us/research/assessing-economic-impact-arts-on-health-and-healthcare-services-wales" \t "_blank" </w:instrText>
      </w:r>
      <w:r>
        <w:fldChar w:fldCharType="separate"/>
      </w:r>
      <w:r w:rsidRPr="00AA4B1E">
        <w:rPr>
          <w:rStyle w:val="Hyperlink"/>
          <w:color w:val="auto"/>
        </w:rPr>
        <w:t>https://arts.wales/about-us/research/assessing-economic-impact-arts-on-health-and-healthcare-services-wales</w:t>
      </w:r>
      <w:r>
        <w:fldChar w:fldCharType="end"/>
      </w:r>
      <w:r w:rsidRPr="00AA4B1E">
        <w:t>  </w:t>
      </w:r>
    </w:p>
    <w:p w:rsidR="008510A0" w:rsidRPr="00AA4B1E" w:rsidP="00AA4B1E"/>
    <w:p w:rsidR="008510A0" w:rsidRPr="00AA4B1E" w:rsidP="00AA4B1E">
      <w:r w:rsidRPr="00AA4B1E">
        <w:t xml:space="preserve">Aithal S and Karkou V (2024). </w:t>
      </w:r>
      <w:r w:rsidRPr="00AA4B1E">
        <w:rPr>
          <w:u w:val="single"/>
        </w:rPr>
        <w:t>Arts Therapies Research and Practice with Persons on the Autism Spectrum Colourful Hatchlings: International Research in the Arts Therapies</w:t>
      </w:r>
      <w:r w:rsidRPr="00AA4B1E">
        <w:t>. London: Routledge. </w:t>
      </w:r>
    </w:p>
    <w:p w:rsidR="008510A0" w:rsidRPr="00AA4B1E" w:rsidP="00AA4B1E">
      <w:r w:rsidRPr="00AA4B1E">
        <w:t> </w:t>
      </w:r>
    </w:p>
    <w:p w:rsidR="008510A0" w:rsidRPr="00AA4B1E" w:rsidP="00AA4B1E">
      <w:r w:rsidRPr="00AA4B1E">
        <w:t>Moula Z, Powell J, Brocklehurst S and Karkou V (2022</w:t>
      </w:r>
      <w:r w:rsidRPr="00AA4B1E">
        <w:t>a</w:t>
      </w:r>
      <w:r w:rsidRPr="00AA4B1E">
        <w:t>). Feasibility, acceptability and effectiveness of school-based dance movement psychotherapy for children with emotional and behavioural difficulties, </w:t>
      </w:r>
      <w:r w:rsidRPr="00AA4B1E">
        <w:rPr>
          <w:u w:val="single"/>
        </w:rPr>
        <w:t>Frontiers in </w:t>
      </w:r>
      <w:r w:rsidRPr="00AA4B1E">
        <w:rPr>
          <w:u w:val="single"/>
        </w:rPr>
        <w:t>Psychology</w:t>
      </w:r>
      <w:r w:rsidRPr="00AA4B1E">
        <w:t>.</w:t>
      </w:r>
      <w:r>
        <w:fldChar w:fldCharType="begin"/>
      </w:r>
      <w:r>
        <w:instrText xml:space="preserve"> HYPERLINK "https://doi.org/10.3389/fpsyg.2022.883334" \t "_blank" </w:instrText>
      </w:r>
      <w:r>
        <w:fldChar w:fldCharType="separate"/>
      </w:r>
      <w:r w:rsidRPr="00AA4B1E">
        <w:rPr>
          <w:rStyle w:val="Hyperlink"/>
          <w:color w:val="auto"/>
        </w:rPr>
        <w:t>https</w:t>
      </w:r>
      <w:r w:rsidRPr="00AA4B1E">
        <w:rPr>
          <w:rStyle w:val="Hyperlink"/>
          <w:color w:val="auto"/>
        </w:rPr>
        <w:t>://doi.org/10.3389/fpsyg.2022.883334</w:t>
      </w:r>
      <w:r>
        <w:fldChar w:fldCharType="end"/>
      </w:r>
      <w:r w:rsidRPr="00AA4B1E">
        <w:t> </w:t>
      </w:r>
    </w:p>
    <w:p w:rsidR="008510A0" w:rsidRPr="00AA4B1E" w:rsidP="00AA4B1E">
      <w:r w:rsidRPr="00AA4B1E">
        <w:t> </w:t>
      </w:r>
    </w:p>
    <w:p w:rsidR="008510A0" w:rsidRPr="00AA4B1E" w:rsidP="00AA4B1E">
      <w:r w:rsidRPr="00AA4B1E">
        <w:t>Moula</w:t>
      </w:r>
      <w:r w:rsidRPr="00AA4B1E">
        <w:t>, Z, Powell J, and Karkou V (2022</w:t>
      </w:r>
      <w:r w:rsidRPr="00AA4B1E">
        <w:t>b</w:t>
      </w:r>
      <w:r w:rsidRPr="00AA4B1E">
        <w:t>). Qualitative and Arts-Based Evidence from Children Participating in a Pilot Randomised Controlled Study of School-Based Arts Therapies. </w:t>
      </w:r>
      <w:r w:rsidRPr="00AA4B1E">
        <w:rPr>
          <w:u w:val="single"/>
        </w:rPr>
        <w:t>Children</w:t>
      </w:r>
      <w:r w:rsidRPr="00AA4B1E">
        <w:t>, 9(6), 890. </w:t>
      </w:r>
      <w:r>
        <w:fldChar w:fldCharType="begin"/>
      </w:r>
      <w:r>
        <w:instrText xml:space="preserve"> HYPERLINK "https://doi.org/10.3390/children9060890" \t "_blank" </w:instrText>
      </w:r>
      <w:r>
        <w:fldChar w:fldCharType="separate"/>
      </w:r>
      <w:r w:rsidRPr="00AA4B1E">
        <w:rPr>
          <w:rStyle w:val="Hyperlink"/>
          <w:color w:val="auto"/>
        </w:rPr>
        <w:t>https://doi.org/10.3390/children9060890</w:t>
      </w:r>
      <w:r>
        <w:fldChar w:fldCharType="end"/>
      </w:r>
      <w:r w:rsidRPr="00AA4B1E">
        <w:t> </w:t>
      </w:r>
    </w:p>
    <w:p w:rsidR="008510A0" w:rsidRPr="00AA4B1E" w:rsidP="00AA4B1E">
      <w:r w:rsidRPr="00AA4B1E">
        <w:t> </w:t>
      </w:r>
    </w:p>
    <w:p w:rsidR="008510A0" w:rsidRPr="00AA4B1E" w:rsidP="00AA4B1E">
      <w:r w:rsidRPr="00AA4B1E">
        <w:t>De Witte M, Orkibi</w:t>
      </w:r>
      <w:r w:rsidRPr="00AA4B1E">
        <w:t> H, Zarate R, Karkou V, Sajnani S, Malhotra B, Ho RTH, Kaimal G, Baker FA and Koch SC (2021). From Therapeutic Factors to Mechanisms of Change in the Creative Arts Therapies: A Scoping Review, </w:t>
      </w:r>
      <w:r w:rsidRPr="00AA4B1E">
        <w:rPr>
          <w:u w:val="single"/>
        </w:rPr>
        <w:t>Frontiers in Psychology</w:t>
      </w:r>
      <w:r w:rsidRPr="00AA4B1E">
        <w:t>. </w:t>
      </w:r>
      <w:r>
        <w:fldChar w:fldCharType="begin"/>
      </w:r>
      <w:r>
        <w:instrText xml:space="preserve"> HYPERLINK "https://doi.org/10.3389/fpsyg.2021.678397" \t "_blank" </w:instrText>
      </w:r>
      <w:r>
        <w:fldChar w:fldCharType="separate"/>
      </w:r>
      <w:r w:rsidRPr="00AA4B1E">
        <w:rPr>
          <w:rStyle w:val="Hyperlink"/>
          <w:color w:val="auto"/>
        </w:rPr>
        <w:t>https://doi.org/10.3389/fpsyg.2021.678397</w:t>
      </w:r>
      <w:r>
        <w:fldChar w:fldCharType="end"/>
      </w:r>
      <w:r w:rsidRPr="00AA4B1E">
        <w:t> </w:t>
      </w:r>
    </w:p>
    <w:p w:rsidR="008510A0" w:rsidRPr="00AA4B1E" w:rsidP="00AA4B1E">
      <w:r w:rsidRPr="00AA4B1E">
        <w:t> </w:t>
      </w:r>
    </w:p>
    <w:p w:rsidR="008510A0" w:rsidRPr="00AA4B1E" w:rsidP="00AA4B1E">
      <w:r w:rsidRPr="00AA4B1E">
        <w:t>Aithal, S., Karkou, V., Makris, S., Karaminis, T., &amp; Powell, J. (2021</w:t>
      </w:r>
      <w:r w:rsidRPr="00AA4B1E">
        <w:t>a</w:t>
      </w:r>
      <w:r w:rsidRPr="00AA4B1E">
        <w:t>). A dance movement psychotherapy intervention for the wellbeing of children with autism spectrum disorders: a pilot intervention study. </w:t>
      </w:r>
      <w:r w:rsidRPr="00AA4B1E">
        <w:rPr>
          <w:u w:val="single"/>
        </w:rPr>
        <w:t>Frontiers in Psychology</w:t>
      </w:r>
      <w:r w:rsidRPr="00AA4B1E">
        <w:t>, 12, 2672. </w:t>
      </w:r>
      <w:r>
        <w:fldChar w:fldCharType="begin"/>
      </w:r>
      <w:r>
        <w:instrText xml:space="preserve"> HYPERLINK "https://doi.org/10.3389/fpsyg.2021.588418" \t "_blank" </w:instrText>
      </w:r>
      <w:r>
        <w:fldChar w:fldCharType="separate"/>
      </w:r>
      <w:r w:rsidRPr="00AA4B1E">
        <w:rPr>
          <w:rStyle w:val="Hyperlink"/>
          <w:color w:val="auto"/>
        </w:rPr>
        <w:t>https://doi.org/10.3389/fpsyg.2021.588418</w:t>
      </w:r>
      <w:r>
        <w:fldChar w:fldCharType="end"/>
      </w:r>
      <w:r w:rsidRPr="00AA4B1E">
        <w:t> </w:t>
      </w:r>
    </w:p>
    <w:p w:rsidR="008510A0" w:rsidRPr="00AA4B1E" w:rsidP="00AA4B1E">
      <w:r w:rsidRPr="00AA4B1E">
        <w:t> </w:t>
      </w:r>
    </w:p>
    <w:p w:rsidR="008510A0" w:rsidRPr="00AA4B1E" w:rsidP="00AA4B1E">
      <w:r w:rsidRPr="00AA4B1E">
        <w:t>Aithal, S., Moula, Z., Karkou, V., Karaminis, T., Powell, J., &amp; Makris, S. (2021</w:t>
      </w:r>
      <w:r w:rsidRPr="00AA4B1E">
        <w:t>b</w:t>
      </w:r>
      <w:r w:rsidRPr="00AA4B1E">
        <w:t>). A systematic review of the contribution of dance movement psychotherapy towards the well-being of children with autism spectrum disorders. Frontiers in Psychology, 4238. </w:t>
      </w:r>
      <w:r>
        <w:fldChar w:fldCharType="begin"/>
      </w:r>
      <w:r>
        <w:instrText xml:space="preserve"> HYPERLINK "https://doi.org/10.3389/fpsyg.2021.719673" \t "_blank" </w:instrText>
      </w:r>
      <w:r>
        <w:fldChar w:fldCharType="separate"/>
      </w:r>
      <w:r w:rsidRPr="00AA4B1E">
        <w:rPr>
          <w:rStyle w:val="Hyperlink"/>
          <w:color w:val="auto"/>
        </w:rPr>
        <w:t>https://doi.org/10.3389/fpsyg.2021.719673</w:t>
      </w:r>
      <w:r>
        <w:fldChar w:fldCharType="end"/>
      </w:r>
      <w:r w:rsidRPr="00AA4B1E">
        <w:t> </w:t>
      </w:r>
    </w:p>
    <w:p w:rsidR="008510A0" w:rsidRPr="00AA4B1E" w:rsidP="00AA4B1E">
      <w:r w:rsidRPr="00AA4B1E">
        <w:t> </w:t>
      </w:r>
    </w:p>
    <w:p w:rsidR="008510A0" w:rsidRPr="00AA4B1E" w:rsidP="00AA4B1E">
      <w:r w:rsidRPr="00AA4B1E">
        <w:t>Moula Z, Karkou V and Powell J (2020). An investigation of the effectiveness of arts therapies interventions on measures of quality of life and wellbeing: A pilot randomised controlled study in mainstream primary schools, </w:t>
      </w:r>
      <w:r w:rsidRPr="00AA4B1E">
        <w:rPr>
          <w:u w:val="single"/>
        </w:rPr>
        <w:t>Frontiers in Psychology</w:t>
      </w:r>
      <w:r w:rsidRPr="00AA4B1E">
        <w:t>. </w:t>
      </w:r>
      <w:r>
        <w:fldChar w:fldCharType="begin"/>
      </w:r>
      <w:r>
        <w:instrText xml:space="preserve"> HYPERLINK "https://doi.org/10.3389/fpsyg.2020.586134" \t "_blank" </w:instrText>
      </w:r>
      <w:r>
        <w:fldChar w:fldCharType="separate"/>
      </w:r>
      <w:r w:rsidRPr="00AA4B1E">
        <w:rPr>
          <w:rStyle w:val="Hyperlink"/>
          <w:color w:val="auto"/>
        </w:rPr>
        <w:t>https://doi.org/10.3389/fpsyg.2020.586134</w:t>
      </w:r>
      <w:r>
        <w:fldChar w:fldCharType="end"/>
      </w:r>
      <w:r w:rsidRPr="00AA4B1E">
        <w:t> </w:t>
      </w:r>
    </w:p>
    <w:p w:rsidR="008510A0" w:rsidRPr="00AA4B1E" w:rsidP="00AA4B1E">
      <w:r w:rsidRPr="00AA4B1E">
        <w:t> </w:t>
      </w:r>
    </w:p>
    <w:p w:rsidR="008510A0" w:rsidRPr="00AA4B1E" w:rsidP="00AA4B1E">
      <w:r w:rsidRPr="00AA4B1E">
        <w:t>Moula Z, Aithal S, Karkou V and Powell J (2020). A systematic review of child-focused outcomes of arts therapies delivered in primary mainstream schools for children aged 5-12. </w:t>
      </w:r>
      <w:r w:rsidRPr="00AA4B1E">
        <w:rPr>
          <w:u w:val="single"/>
        </w:rPr>
        <w:t>Children and Youth Services Review</w:t>
      </w:r>
      <w:r w:rsidRPr="00AA4B1E">
        <w:t>, 112(c) </w:t>
      </w:r>
      <w:r>
        <w:fldChar w:fldCharType="begin"/>
      </w:r>
      <w:r>
        <w:instrText xml:space="preserve"> HYPERLINK "https://doi.org/10.1016/j.childyouth.2020.104928" \t "_blank" </w:instrText>
      </w:r>
      <w:r>
        <w:fldChar w:fldCharType="separate"/>
      </w:r>
      <w:r w:rsidRPr="00AA4B1E">
        <w:rPr>
          <w:rStyle w:val="Hyperlink"/>
          <w:color w:val="auto"/>
        </w:rPr>
        <w:t>https://doi.org/10.1016/j.childyouth.2020.104928</w:t>
      </w:r>
      <w:r>
        <w:fldChar w:fldCharType="end"/>
      </w:r>
      <w:r w:rsidRPr="00AA4B1E">
        <w:t> </w:t>
      </w:r>
    </w:p>
    <w:p w:rsidR="008510A0" w:rsidRPr="00AA4B1E" w:rsidP="00AA4B1E">
      <w:r w:rsidRPr="00AA4B1E">
        <w:t> </w:t>
      </w:r>
    </w:p>
    <w:p w:rsidR="008510A0" w:rsidRPr="00AA4B1E" w:rsidP="00AA4B1E">
      <w:r w:rsidRPr="00AA4B1E">
        <w:rPr>
          <w:lang w:val="en-US"/>
        </w:rPr>
        <w:t>Zubala</w:t>
      </w:r>
      <w:r w:rsidRPr="00AA4B1E">
        <w:rPr>
          <w:lang w:val="en-US"/>
        </w:rPr>
        <w:t>, A &amp; Karkou V (2015). Dance movement psychotherapy practice in the UK: findings from the Arts Therapies Survey 2011' </w:t>
      </w:r>
      <w:r w:rsidRPr="00AA4B1E">
        <w:rPr>
          <w:u w:val="single"/>
          <w:lang w:val="en-US"/>
        </w:rPr>
        <w:t>Body, Movement and Dance in Psychotherapy</w:t>
      </w:r>
      <w:r w:rsidRPr="00AA4B1E">
        <w:rPr>
          <w:lang w:val="en-US"/>
        </w:rPr>
        <w:t>, 10 (1) 21-38. </w:t>
      </w:r>
      <w:r>
        <w:fldChar w:fldCharType="begin"/>
      </w:r>
      <w:r>
        <w:instrText xml:space="preserve"> HYPERLINK "https://doi.org/10.1080/17432979.2014.920918" \t "_blank" </w:instrText>
      </w:r>
      <w:r>
        <w:fldChar w:fldCharType="separate"/>
      </w:r>
      <w:r w:rsidRPr="00AA4B1E">
        <w:rPr>
          <w:rStyle w:val="Hyperlink"/>
          <w:color w:val="auto"/>
          <w:lang w:val="en-US"/>
        </w:rPr>
        <w:t>https://doi.org/10.1080/17432979.2014.920918</w:t>
      </w:r>
      <w:r>
        <w:fldChar w:fldCharType="end"/>
      </w:r>
      <w:r w:rsidRPr="00AA4B1E">
        <w:rPr>
          <w:lang w:val="en-US"/>
        </w:rPr>
        <w:t> </w:t>
      </w:r>
      <w:r w:rsidRPr="00AA4B1E">
        <w:t> </w:t>
      </w:r>
    </w:p>
    <w:p w:rsidR="008510A0" w:rsidRPr="00AA4B1E" w:rsidP="00AA4B1E">
      <w:r w:rsidRPr="00AA4B1E">
        <w:t> </w:t>
      </w:r>
    </w:p>
    <w:p w:rsidR="008510A0" w:rsidRPr="00AA4B1E" w:rsidP="00AA4B1E">
      <w:r w:rsidRPr="00AA4B1E">
        <w:t xml:space="preserve">Karkou V (2010). </w:t>
      </w:r>
      <w:r w:rsidRPr="00AA4B1E">
        <w:rPr>
          <w:u w:val="single"/>
        </w:rPr>
        <w:t>Arts Therapies in Schools: Research and Practice</w:t>
      </w:r>
      <w:r w:rsidRPr="00AA4B1E">
        <w:t>. London: Jessica Kingsley. </w:t>
      </w:r>
    </w:p>
    <w:p w:rsidR="008510A0" w:rsidRPr="00AA4B1E" w:rsidP="00AA4B1E">
      <w:r w:rsidRPr="00AA4B1E">
        <w:t> </w:t>
      </w:r>
    </w:p>
    <w:p w:rsidR="008510A0" w:rsidP="00AA4B1E">
      <w:r w:rsidRPr="00AA4B1E">
        <w:t xml:space="preserve">Karkou V and Sanderson P (2006). </w:t>
      </w:r>
      <w:r w:rsidRPr="00AA4B1E">
        <w:rPr>
          <w:u w:val="single"/>
        </w:rPr>
        <w:t>Arts Therapies: A Research-Based Map of the Field</w:t>
      </w:r>
      <w:r w:rsidRPr="00AA4B1E">
        <w:t>.  Edinburgh: Elsevier Publishers  </w:t>
      </w:r>
    </w:p>
    <w:p w:rsidR="00AA4B1E" w:rsidP="00AA4B1E"/>
    <w:p w:rsidR="00AA4B1E" w:rsidRPr="00AA4B1E" w:rsidP="00AA4B1E">
      <w:pPr>
        <w:rPr>
          <w:i/>
          <w:iCs/>
        </w:rPr>
      </w:pPr>
      <w:r w:rsidRPr="00AA4B1E">
        <w:rPr>
          <w:i/>
          <w:iCs/>
        </w:rPr>
        <w:t>March 2026</w:t>
      </w:r>
    </w:p>
    <w:p w:rsidR="008510A0" w:rsidRPr="00AA4B1E" w:rsidP="00AA4B1E"/>
    <w:sectPr w:rsidSect="00B1623D">
      <w:pgSz w:w="11906" w:h="16838"/>
      <w:pgMar w:top="1440" w:right="1440" w:bottom="1440" w:left="1440" w:header="283"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mbria Math">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nsid w:val="0A8532FF"/>
    <w:multiLevelType w:val="hybridMultilevel"/>
    <w:tmpl w:val="264A330C"/>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
    <w:nsid w:val="0EBF6910"/>
    <w:multiLevelType w:val="multilevel"/>
    <w:tmpl w:val="CF4631A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nsid w:val="11C903E3"/>
    <w:multiLevelType w:val="multilevel"/>
    <w:tmpl w:val="AAAACCA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3">
    <w:nsid w:val="1F17680D"/>
    <w:multiLevelType w:val="multilevel"/>
    <w:tmpl w:val="011A81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
    <w:nsid w:val="22525080"/>
    <w:multiLevelType w:val="multilevel"/>
    <w:tmpl w:val="2DB8789A"/>
    <w:lvl w:ilvl="0">
      <w:start w:val="3"/>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5">
    <w:nsid w:val="263A35D7"/>
    <w:multiLevelType w:val="multilevel"/>
    <w:tmpl w:val="6DA4C3C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6">
    <w:nsid w:val="27BC233D"/>
    <w:multiLevelType w:val="multilevel"/>
    <w:tmpl w:val="1C287BF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7">
    <w:nsid w:val="33840501"/>
    <w:multiLevelType w:val="hybridMultilevel"/>
    <w:tmpl w:val="6D7822D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8">
    <w:nsid w:val="34AE273D"/>
    <w:multiLevelType w:val="multilevel"/>
    <w:tmpl w:val="13B8DD8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9">
    <w:nsid w:val="3FA1576E"/>
    <w:multiLevelType w:val="hybridMultilevel"/>
    <w:tmpl w:val="7C66CEEA"/>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0">
    <w:nsid w:val="42184758"/>
    <w:multiLevelType w:val="multilevel"/>
    <w:tmpl w:val="670812D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nsid w:val="4FF65BC8"/>
    <w:multiLevelType w:val="multilevel"/>
    <w:tmpl w:val="A7E699D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2">
    <w:nsid w:val="50837BFD"/>
    <w:multiLevelType w:val="multilevel"/>
    <w:tmpl w:val="C2748826"/>
    <w:lvl w:ilvl="0">
      <w:start w:val="4"/>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3">
    <w:nsid w:val="522B0CBA"/>
    <w:multiLevelType w:val="hybridMultilevel"/>
    <w:tmpl w:val="B52E55BC"/>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4">
    <w:nsid w:val="525A7E4C"/>
    <w:multiLevelType w:val="multilevel"/>
    <w:tmpl w:val="1C007FE6"/>
    <w:lvl w:ilvl="0">
      <w:start w:val="2"/>
      <w:numFmt w:val="lowerLetter"/>
      <w:lvlText w:val="%1."/>
      <w:lvlJc w:val="left"/>
      <w:pPr>
        <w:tabs>
          <w:tab w:val="num" w:pos="720"/>
        </w:tabs>
        <w:ind w:left="720" w:hanging="360"/>
      </w:pPr>
    </w:lvl>
    <w:lvl w:ilvl="1" w:tentative="1">
      <w:start w:val="1"/>
      <w:numFmt w:val="lowerLetter"/>
      <w:lvlText w:val="%2."/>
      <w:lvlJc w:val="left"/>
      <w:pPr>
        <w:tabs>
          <w:tab w:val="num" w:pos="1440"/>
        </w:tabs>
        <w:ind w:left="1440" w:hanging="360"/>
      </w:pPr>
    </w:lvl>
    <w:lvl w:ilvl="2" w:tentative="1">
      <w:start w:val="1"/>
      <w:numFmt w:val="lowerLetter"/>
      <w:lvlText w:val="%3."/>
      <w:lvlJc w:val="left"/>
      <w:pPr>
        <w:tabs>
          <w:tab w:val="num" w:pos="2160"/>
        </w:tabs>
        <w:ind w:left="2160" w:hanging="360"/>
      </w:pPr>
    </w:lvl>
    <w:lvl w:ilvl="3" w:tentative="1">
      <w:start w:val="1"/>
      <w:numFmt w:val="lowerLetter"/>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Letter"/>
      <w:lvlText w:val="%6."/>
      <w:lvlJc w:val="left"/>
      <w:pPr>
        <w:tabs>
          <w:tab w:val="num" w:pos="4320"/>
        </w:tabs>
        <w:ind w:left="4320" w:hanging="360"/>
      </w:pPr>
    </w:lvl>
    <w:lvl w:ilvl="6" w:tentative="1">
      <w:start w:val="1"/>
      <w:numFmt w:val="lowerLetter"/>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Letter"/>
      <w:lvlText w:val="%9."/>
      <w:lvlJc w:val="left"/>
      <w:pPr>
        <w:tabs>
          <w:tab w:val="num" w:pos="6480"/>
        </w:tabs>
        <w:ind w:left="6480" w:hanging="360"/>
      </w:pPr>
    </w:lvl>
  </w:abstractNum>
  <w:abstractNum w:abstractNumId="15">
    <w:nsid w:val="563B6D49"/>
    <w:multiLevelType w:val="hybridMultilevel"/>
    <w:tmpl w:val="EBD61F36"/>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6">
    <w:nsid w:val="5E885199"/>
    <w:multiLevelType w:val="hybridMultilevel"/>
    <w:tmpl w:val="62F0FCE0"/>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abstractNum w:abstractNumId="17">
    <w:nsid w:val="7E9B5008"/>
    <w:multiLevelType w:val="hybridMultilevel"/>
    <w:tmpl w:val="0D887D1E"/>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8">
    <w:nsid w:val="7EAF499C"/>
    <w:multiLevelType w:val="hybridMultilevel"/>
    <w:tmpl w:val="405683B0"/>
    <w:lvl w:ilvl="0">
      <w:start w:val="1"/>
      <w:numFmt w:val="bullet"/>
      <w:lvlText w:val=""/>
      <w:lvlJc w:val="left"/>
      <w:pPr>
        <w:ind w:left="720" w:hanging="360"/>
      </w:pPr>
      <w:rPr>
        <w:rFonts w:ascii="Symbol" w:hAnsi="Symbol" w:hint="default"/>
      </w:rPr>
    </w:lvl>
    <w:lvl w:ilvl="1" w:tentative="1">
      <w:start w:val="1"/>
      <w:numFmt w:val="bullet"/>
      <w:lvlText w:val="o"/>
      <w:lvlJc w:val="left"/>
      <w:pPr>
        <w:ind w:left="1440" w:hanging="360"/>
      </w:pPr>
      <w:rPr>
        <w:rFonts w:ascii="Courier New" w:hAnsi="Courier New" w:cs="Courier New" w:hint="default"/>
      </w:rPr>
    </w:lvl>
    <w:lvl w:ilvl="2" w:tentative="1">
      <w:start w:val="1"/>
      <w:numFmt w:val="bullet"/>
      <w:lvlText w:val=""/>
      <w:lvlJc w:val="left"/>
      <w:pPr>
        <w:ind w:left="2160" w:hanging="360"/>
      </w:pPr>
      <w:rPr>
        <w:rFonts w:ascii="Wingdings" w:hAnsi="Wingdings" w:hint="default"/>
      </w:rPr>
    </w:lvl>
    <w:lvl w:ilvl="3" w:tentative="1">
      <w:start w:val="1"/>
      <w:numFmt w:val="bullet"/>
      <w:lvlText w:val=""/>
      <w:lvlJc w:val="left"/>
      <w:pPr>
        <w:ind w:left="2880" w:hanging="360"/>
      </w:pPr>
      <w:rPr>
        <w:rFonts w:ascii="Symbol" w:hAnsi="Symbol" w:hint="default"/>
      </w:rPr>
    </w:lvl>
    <w:lvl w:ilvl="4" w:tentative="1">
      <w:start w:val="1"/>
      <w:numFmt w:val="bullet"/>
      <w:lvlText w:val="o"/>
      <w:lvlJc w:val="left"/>
      <w:pPr>
        <w:ind w:left="3600" w:hanging="360"/>
      </w:pPr>
      <w:rPr>
        <w:rFonts w:ascii="Courier New" w:hAnsi="Courier New" w:cs="Courier New" w:hint="default"/>
      </w:rPr>
    </w:lvl>
    <w:lvl w:ilvl="5" w:tentative="1">
      <w:start w:val="1"/>
      <w:numFmt w:val="bullet"/>
      <w:lvlText w:val=""/>
      <w:lvlJc w:val="left"/>
      <w:pPr>
        <w:ind w:left="4320" w:hanging="360"/>
      </w:pPr>
      <w:rPr>
        <w:rFonts w:ascii="Wingdings" w:hAnsi="Wingdings" w:hint="default"/>
      </w:rPr>
    </w:lvl>
    <w:lvl w:ilvl="6" w:tentative="1">
      <w:start w:val="1"/>
      <w:numFmt w:val="bullet"/>
      <w:lvlText w:val=""/>
      <w:lvlJc w:val="left"/>
      <w:pPr>
        <w:ind w:left="5040" w:hanging="360"/>
      </w:pPr>
      <w:rPr>
        <w:rFonts w:ascii="Symbol" w:hAnsi="Symbol" w:hint="default"/>
      </w:rPr>
    </w:lvl>
    <w:lvl w:ilvl="7" w:tentative="1">
      <w:start w:val="1"/>
      <w:numFmt w:val="bullet"/>
      <w:lvlText w:val="o"/>
      <w:lvlJc w:val="left"/>
      <w:pPr>
        <w:ind w:left="5760" w:hanging="360"/>
      </w:pPr>
      <w:rPr>
        <w:rFonts w:ascii="Courier New" w:hAnsi="Courier New" w:cs="Courier New" w:hint="default"/>
      </w:rPr>
    </w:lvl>
    <w:lvl w:ilvl="8" w:tentative="1">
      <w:start w:val="1"/>
      <w:numFmt w:val="bullet"/>
      <w:lvlText w:val=""/>
      <w:lvlJc w:val="left"/>
      <w:pPr>
        <w:ind w:left="6480" w:hanging="360"/>
      </w:pPr>
      <w:rPr>
        <w:rFonts w:ascii="Wingdings" w:hAnsi="Wingdings" w:hint="default"/>
      </w:rPr>
    </w:lvl>
  </w:abstractNum>
  <w:abstractNum w:abstractNumId="19">
    <w:nsid w:val="7F536BDB"/>
    <w:multiLevelType w:val="hybridMultilevel"/>
    <w:tmpl w:val="0FC2D70E"/>
    <w:lvl w:ilvl="0">
      <w:start w:val="1"/>
      <w:numFmt w:val="decimal"/>
      <w:lvlText w:val="%1."/>
      <w:lvlJc w:val="left"/>
      <w:pPr>
        <w:ind w:left="720" w:hanging="360"/>
      </w:pPr>
      <w:rPr>
        <w:rFonts w:hint="default"/>
      </w:rPr>
    </w:lvl>
    <w:lvl w:ilvl="1" w:tentative="1">
      <w:start w:val="1"/>
      <w:numFmt w:val="lowerLetter"/>
      <w:lvlText w:val="%2."/>
      <w:lvlJc w:val="left"/>
      <w:pPr>
        <w:ind w:left="1440" w:hanging="360"/>
      </w:pPr>
    </w:lvl>
    <w:lvl w:ilvl="2" w:tentative="1">
      <w:start w:val="1"/>
      <w:numFmt w:val="lowerRoman"/>
      <w:lvlText w:val="%3."/>
      <w:lvlJc w:val="right"/>
      <w:pPr>
        <w:ind w:left="2160" w:hanging="180"/>
      </w:pPr>
    </w:lvl>
    <w:lvl w:ilvl="3" w:tentative="1">
      <w:start w:val="1"/>
      <w:numFmt w:val="decimal"/>
      <w:lvlText w:val="%4."/>
      <w:lvlJc w:val="left"/>
      <w:pPr>
        <w:ind w:left="2880" w:hanging="360"/>
      </w:pPr>
    </w:lvl>
    <w:lvl w:ilvl="4" w:tentative="1">
      <w:start w:val="1"/>
      <w:numFmt w:val="lowerLetter"/>
      <w:lvlText w:val="%5."/>
      <w:lvlJc w:val="left"/>
      <w:pPr>
        <w:ind w:left="3600" w:hanging="360"/>
      </w:pPr>
    </w:lvl>
    <w:lvl w:ilvl="5" w:tentative="1">
      <w:start w:val="1"/>
      <w:numFmt w:val="lowerRoman"/>
      <w:lvlText w:val="%6."/>
      <w:lvlJc w:val="right"/>
      <w:pPr>
        <w:ind w:left="4320" w:hanging="180"/>
      </w:pPr>
    </w:lvl>
    <w:lvl w:ilvl="6" w:tentative="1">
      <w:start w:val="1"/>
      <w:numFmt w:val="decimal"/>
      <w:lvlText w:val="%7."/>
      <w:lvlJc w:val="left"/>
      <w:pPr>
        <w:ind w:left="5040" w:hanging="360"/>
      </w:pPr>
    </w:lvl>
    <w:lvl w:ilvl="7" w:tentative="1">
      <w:start w:val="1"/>
      <w:numFmt w:val="lowerLetter"/>
      <w:lvlText w:val="%8."/>
      <w:lvlJc w:val="left"/>
      <w:pPr>
        <w:ind w:left="5760" w:hanging="360"/>
      </w:pPr>
    </w:lvl>
    <w:lvl w:ilvl="8" w:tentative="1">
      <w:start w:val="1"/>
      <w:numFmt w:val="lowerRoman"/>
      <w:lvlText w:val="%9."/>
      <w:lvlJc w:val="right"/>
      <w:pPr>
        <w:ind w:left="6480" w:hanging="180"/>
      </w:pPr>
    </w:lvl>
  </w:abstractNum>
  <w:num w:numId="1">
    <w:abstractNumId w:val="0"/>
  </w:num>
  <w:num w:numId="2">
    <w:abstractNumId w:val="7"/>
  </w:num>
  <w:num w:numId="3">
    <w:abstractNumId w:val="9"/>
  </w:num>
  <w:num w:numId="4">
    <w:abstractNumId w:val="17"/>
  </w:num>
  <w:num w:numId="5">
    <w:abstractNumId w:val="5"/>
  </w:num>
  <w:num w:numId="6">
    <w:abstractNumId w:val="18"/>
  </w:num>
  <w:num w:numId="7">
    <w:abstractNumId w:val="6"/>
  </w:num>
  <w:num w:numId="8">
    <w:abstractNumId w:val="2"/>
  </w:num>
  <w:num w:numId="9">
    <w:abstractNumId w:val="19"/>
  </w:num>
  <w:num w:numId="10">
    <w:abstractNumId w:val="8"/>
  </w:num>
  <w:num w:numId="11">
    <w:abstractNumId w:val="1"/>
  </w:num>
  <w:num w:numId="12">
    <w:abstractNumId w:val="10"/>
  </w:num>
  <w:num w:numId="13">
    <w:abstractNumId w:val="3"/>
  </w:num>
  <w:num w:numId="14">
    <w:abstractNumId w:val="11"/>
  </w:num>
  <w:num w:numId="15">
    <w:abstractNumId w:val="15"/>
  </w:num>
  <w:num w:numId="16">
    <w:abstractNumId w:val="16"/>
  </w:num>
  <w:num w:numId="17">
    <w:abstractNumId w:val="13"/>
  </w:num>
  <w:num w:numId="18">
    <w:abstractNumId w:val="14"/>
  </w:num>
  <w:num w:numId="19">
    <w:abstractNumId w:val="4"/>
  </w:num>
  <w:num w:numId="20">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removePersonalInformation/>
  <w:proofState w:spelling="clean" w:grammar="clean"/>
  <w:doNotTrackMove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m:mathPr>
    <m:mathFont m:val="Cambria Math"/>
  </m:mathPr>
  <w:themeFontLang w:val="en-GB" w:bidi="ar-SA"/>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kern w:val="2"/>
        <w:sz w:val="24"/>
        <w:szCs w:val="24"/>
        <w:lang w:val="en-GB"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CC0D98"/>
  </w:style>
  <w:style w:type="paragraph" w:styleId="Heading1">
    <w:name w:val="heading 1"/>
    <w:basedOn w:val="Normal"/>
    <w:next w:val="Normal"/>
    <w:link w:val="Heading1Char"/>
    <w:uiPriority w:val="9"/>
    <w:qFormat/>
    <w:rsid w:val="007C2726"/>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C2726"/>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C2726"/>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C2726"/>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C2726"/>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C2726"/>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C2726"/>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C2726"/>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C2726"/>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C2726"/>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C2726"/>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C2726"/>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C2726"/>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C2726"/>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C2726"/>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C2726"/>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C2726"/>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C2726"/>
    <w:rPr>
      <w:rFonts w:eastAsiaTheme="majorEastAsia" w:cstheme="majorBidi"/>
      <w:color w:val="272727" w:themeColor="text1" w:themeTint="D8"/>
    </w:rPr>
  </w:style>
  <w:style w:type="paragraph" w:styleId="Title">
    <w:name w:val="Title"/>
    <w:basedOn w:val="Normal"/>
    <w:next w:val="Normal"/>
    <w:link w:val="TitleChar"/>
    <w:uiPriority w:val="10"/>
    <w:qFormat/>
    <w:rsid w:val="007C2726"/>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C2726"/>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C2726"/>
    <w:pPr>
      <w:numPr>
        <w:ilvl w:val="1"/>
      </w:numPr>
      <w:spacing w:after="160"/>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C2726"/>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C2726"/>
    <w:pPr>
      <w:spacing w:before="160" w:after="160"/>
      <w:jc w:val="center"/>
    </w:pPr>
    <w:rPr>
      <w:i/>
      <w:iCs/>
      <w:color w:val="404040" w:themeColor="text1" w:themeTint="BF"/>
    </w:rPr>
  </w:style>
  <w:style w:type="character" w:customStyle="1" w:styleId="QuoteChar">
    <w:name w:val="Quote Char"/>
    <w:basedOn w:val="DefaultParagraphFont"/>
    <w:link w:val="Quote"/>
    <w:uiPriority w:val="29"/>
    <w:rsid w:val="007C2726"/>
    <w:rPr>
      <w:i/>
      <w:iCs/>
      <w:color w:val="404040" w:themeColor="text1" w:themeTint="BF"/>
    </w:rPr>
  </w:style>
  <w:style w:type="paragraph" w:styleId="ListParagraph">
    <w:name w:val="List Paragraph"/>
    <w:basedOn w:val="Normal"/>
    <w:uiPriority w:val="34"/>
    <w:qFormat/>
    <w:rsid w:val="007C2726"/>
    <w:pPr>
      <w:ind w:left="720"/>
      <w:contextualSpacing/>
    </w:pPr>
  </w:style>
  <w:style w:type="character" w:styleId="IntenseEmphasis">
    <w:name w:val="Intense Emphasis"/>
    <w:basedOn w:val="DefaultParagraphFont"/>
    <w:uiPriority w:val="21"/>
    <w:qFormat/>
    <w:rsid w:val="007C2726"/>
    <w:rPr>
      <w:i/>
      <w:iCs/>
      <w:color w:val="0F4761" w:themeColor="accent1" w:themeShade="BF"/>
    </w:rPr>
  </w:style>
  <w:style w:type="paragraph" w:styleId="IntenseQuote">
    <w:name w:val="Intense Quote"/>
    <w:basedOn w:val="Normal"/>
    <w:next w:val="Normal"/>
    <w:link w:val="IntenseQuoteChar"/>
    <w:uiPriority w:val="30"/>
    <w:qFormat/>
    <w:rsid w:val="007C2726"/>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C2726"/>
    <w:rPr>
      <w:i/>
      <w:iCs/>
      <w:color w:val="0F4761" w:themeColor="accent1" w:themeShade="BF"/>
    </w:rPr>
  </w:style>
  <w:style w:type="character" w:styleId="IntenseReference">
    <w:name w:val="Intense Reference"/>
    <w:basedOn w:val="DefaultParagraphFont"/>
    <w:uiPriority w:val="32"/>
    <w:qFormat/>
    <w:rsid w:val="007C2726"/>
    <w:rPr>
      <w:b/>
      <w:bCs/>
      <w:smallCaps/>
      <w:color w:val="0F4761" w:themeColor="accent1" w:themeShade="BF"/>
      <w:spacing w:val="5"/>
    </w:rPr>
  </w:style>
  <w:style w:type="paragraph" w:styleId="NormalWeb">
    <w:name w:val="Normal (Web)"/>
    <w:basedOn w:val="Normal"/>
    <w:uiPriority w:val="99"/>
    <w:unhideWhenUsed/>
    <w:rsid w:val="000710FF"/>
    <w:pPr>
      <w:spacing w:before="100" w:beforeAutospacing="1" w:after="100" w:afterAutospacing="1"/>
    </w:pPr>
    <w:rPr>
      <w:rFonts w:ascii="Times New Roman" w:eastAsia="Times New Roman" w:hAnsi="Times New Roman" w:cs="Times New Roman"/>
      <w:kern w:val="0"/>
      <w:lang w:eastAsia="en-GB"/>
    </w:rPr>
  </w:style>
  <w:style w:type="paragraph" w:styleId="Revision">
    <w:name w:val="Revision"/>
    <w:hidden/>
    <w:uiPriority w:val="99"/>
    <w:semiHidden/>
    <w:rsid w:val="00CC0D98"/>
  </w:style>
  <w:style w:type="character" w:styleId="Hyperlink">
    <w:name w:val="Hyperlink"/>
    <w:basedOn w:val="DefaultParagraphFont"/>
    <w:uiPriority w:val="99"/>
    <w:unhideWhenUsed/>
    <w:rsid w:val="00CC0D98"/>
    <w:rPr>
      <w:color w:val="0000FF"/>
      <w:u w:val="single"/>
    </w:rPr>
  </w:style>
  <w:style w:type="character" w:customStyle="1" w:styleId="UnresolvedMention1">
    <w:name w:val="Unresolved Mention1"/>
    <w:basedOn w:val="DefaultParagraphFont"/>
    <w:uiPriority w:val="99"/>
    <w:semiHidden/>
    <w:unhideWhenUsed/>
    <w:rsid w:val="002D3B5D"/>
    <w:rPr>
      <w:color w:val="605E5C"/>
      <w:shd w:val="clear" w:color="auto" w:fill="E1DFDD"/>
    </w:rPr>
  </w:style>
  <w:style w:type="character" w:customStyle="1" w:styleId="anchor-text">
    <w:name w:val="anchor-text"/>
    <w:basedOn w:val="DefaultParagraphFont"/>
    <w:rsid w:val="00253A3A"/>
  </w:style>
  <w:style w:type="character" w:styleId="CommentReference">
    <w:name w:val="annotation reference"/>
    <w:basedOn w:val="DefaultParagraphFont"/>
    <w:uiPriority w:val="99"/>
    <w:semiHidden/>
    <w:unhideWhenUsed/>
    <w:rsid w:val="001F4B84"/>
    <w:rPr>
      <w:sz w:val="16"/>
      <w:szCs w:val="16"/>
    </w:rPr>
  </w:style>
  <w:style w:type="paragraph" w:styleId="CommentText">
    <w:name w:val="annotation text"/>
    <w:basedOn w:val="Normal"/>
    <w:link w:val="CommentTextChar"/>
    <w:uiPriority w:val="99"/>
    <w:unhideWhenUsed/>
    <w:rsid w:val="001F4B84"/>
    <w:rPr>
      <w:sz w:val="20"/>
      <w:szCs w:val="20"/>
    </w:rPr>
  </w:style>
  <w:style w:type="character" w:customStyle="1" w:styleId="CommentTextChar">
    <w:name w:val="Comment Text Char"/>
    <w:basedOn w:val="DefaultParagraphFont"/>
    <w:link w:val="CommentText"/>
    <w:uiPriority w:val="99"/>
    <w:rsid w:val="001F4B84"/>
    <w:rPr>
      <w:sz w:val="20"/>
      <w:szCs w:val="20"/>
    </w:rPr>
  </w:style>
  <w:style w:type="paragraph" w:styleId="CommentSubject">
    <w:name w:val="annotation subject"/>
    <w:basedOn w:val="CommentText"/>
    <w:next w:val="CommentText"/>
    <w:link w:val="CommentSubjectChar"/>
    <w:uiPriority w:val="99"/>
    <w:semiHidden/>
    <w:unhideWhenUsed/>
    <w:rsid w:val="001F4B84"/>
    <w:rPr>
      <w:b/>
      <w:bCs/>
    </w:rPr>
  </w:style>
  <w:style w:type="character" w:customStyle="1" w:styleId="CommentSubjectChar">
    <w:name w:val="Comment Subject Char"/>
    <w:basedOn w:val="CommentTextChar"/>
    <w:link w:val="CommentSubject"/>
    <w:uiPriority w:val="99"/>
    <w:semiHidden/>
    <w:rsid w:val="001F4B84"/>
    <w:rPr>
      <w:b/>
      <w:bCs/>
      <w:sz w:val="20"/>
      <w:szCs w:val="20"/>
    </w:rPr>
  </w:style>
  <w:style w:type="paragraph" w:styleId="Header">
    <w:name w:val="header"/>
    <w:basedOn w:val="Normal"/>
    <w:link w:val="HeaderChar"/>
    <w:uiPriority w:val="99"/>
    <w:unhideWhenUsed/>
    <w:rsid w:val="00DE3EB2"/>
    <w:pPr>
      <w:tabs>
        <w:tab w:val="center" w:pos="4513"/>
        <w:tab w:val="right" w:pos="9026"/>
      </w:tabs>
    </w:pPr>
  </w:style>
  <w:style w:type="character" w:customStyle="1" w:styleId="HeaderChar">
    <w:name w:val="Header Char"/>
    <w:basedOn w:val="DefaultParagraphFont"/>
    <w:link w:val="Header"/>
    <w:uiPriority w:val="99"/>
    <w:rsid w:val="00DE3EB2"/>
  </w:style>
  <w:style w:type="paragraph" w:styleId="Footer">
    <w:name w:val="footer"/>
    <w:basedOn w:val="Normal"/>
    <w:link w:val="FooterChar"/>
    <w:uiPriority w:val="99"/>
    <w:unhideWhenUsed/>
    <w:rsid w:val="00DE3EB2"/>
    <w:pPr>
      <w:tabs>
        <w:tab w:val="center" w:pos="4513"/>
        <w:tab w:val="right" w:pos="9026"/>
      </w:tabs>
    </w:pPr>
  </w:style>
  <w:style w:type="character" w:customStyle="1" w:styleId="FooterChar">
    <w:name w:val="Footer Char"/>
    <w:basedOn w:val="DefaultParagraphFont"/>
    <w:link w:val="Footer"/>
    <w:uiPriority w:val="99"/>
    <w:rsid w:val="00DE3EB2"/>
  </w:style>
  <w:style w:type="character" w:styleId="PageNumber">
    <w:name w:val="page number"/>
    <w:basedOn w:val="DefaultParagraphFont"/>
    <w:uiPriority w:val="99"/>
    <w:semiHidden/>
    <w:unhideWhenUsed/>
    <w:rsid w:val="00DE3EB2"/>
  </w:style>
  <w:style w:type="table" w:styleId="TableGrid">
    <w:name w:val="Table Grid"/>
    <w:basedOn w:val="TableNormal"/>
    <w:uiPriority w:val="39"/>
    <w:rsid w:val="00C02FF4"/>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theme" Target="theme/theme1.xml" /><Relationship Id="rId5" Type="http://schemas.openxmlformats.org/officeDocument/2006/relationships/numbering" Target="numbering.xml" /><Relationship Id="rId6" Type="http://schemas.openxmlformats.org/officeDocument/2006/relationships/styles" Target="styles.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Metadata/LabelInfo.xml><?xml version="1.0" encoding="utf-8"?>
<clbl:labelList xmlns:clbl="http://schemas.microsoft.com/office/2020/mipLabelMetadata">
  <clbl:label id="{a8f77787-5df4-43b6-a2a8-8d8b678a318b}" enabled="1" method="Standard" siteId="{1ce6dd9e-b337-4088-be5e-8dbbec04b34a}" contentBits="0" removed="0"/>
</clbl:labelList>
</file>

<file path=docProps/app.xml><?xml version="1.0" encoding="utf-8"?>
<Properties xmlns="http://schemas.openxmlformats.org/officeDocument/2006/extended-properties" xmlns:vt="http://schemas.openxmlformats.org/officeDocument/2006/docPropsVTypes">
  <TotalTime>0</TotalTime>
  <Pages>0</Pages>
  <Words>0</Words>
  <Characters>0</Characters>
  <Application>Microsoft Office Word</Application>
  <DocSecurity>0</DocSecurity>
  <Lines>0</Lines>
  <Paragraphs>0</Paragraphs>
  <ScaleCrop>false</ScaleCrop>
  <Company>-</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Written evidence - CYM0228</dc:title>
  <cp:revision>0</cp:revision>
</cp:coreProperties>
</file>