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04B7" w:rsidRPr="003904B7" w:rsidP="003904B7">
      <w:pPr>
        <w:jc w:val="center"/>
        <w:rPr>
          <w:b/>
          <w:bCs/>
        </w:rPr>
      </w:pPr>
      <w:r w:rsidRPr="003904B7">
        <w:rPr>
          <w:b/>
          <w:bCs/>
        </w:rPr>
        <w:t>Written Evidence Submitted by Dr Scott Swain</w:t>
      </w:r>
      <w:r w:rsidRPr="003904B7">
        <w:rPr>
          <w:b/>
          <w:bCs/>
        </w:rPr>
        <w:t xml:space="preserve"> </w:t>
      </w:r>
      <w:r w:rsidRPr="003904B7">
        <w:rPr>
          <w:b/>
          <w:bCs/>
        </w:rPr>
        <w:t>(CYM018</w:t>
      </w:r>
      <w:r w:rsidR="00754169">
        <w:rPr>
          <w:b/>
          <w:bCs/>
        </w:rPr>
        <w:t>6</w:t>
      </w:r>
      <w:r w:rsidRPr="003904B7">
        <w:rPr>
          <w:b/>
          <w:bCs/>
        </w:rPr>
        <w:t>)</w:t>
      </w:r>
    </w:p>
    <w:p w:rsidR="003904B7" w:rsidP="005A6C98">
      <w:pPr>
        <w:rPr>
          <w:b/>
          <w:bCs/>
        </w:rPr>
      </w:pPr>
    </w:p>
    <w:p w:rsidR="003904B7" w:rsidP="005A6C98">
      <w:pPr>
        <w:rPr>
          <w:b/>
          <w:bCs/>
        </w:rPr>
      </w:pPr>
    </w:p>
    <w:p w:rsidR="003904B7" w:rsidP="005A6C98">
      <w:pPr>
        <w:rPr>
          <w:b/>
          <w:bCs/>
        </w:rPr>
      </w:pPr>
    </w:p>
    <w:p w:rsidR="00460539" w:rsidRPr="005A6C98" w:rsidP="005A6C98">
      <w:pPr>
        <w:rPr>
          <w:b/>
          <w:bCs/>
        </w:rPr>
      </w:pPr>
      <w:r w:rsidRPr="005A6C98">
        <w:rPr>
          <w:b/>
          <w:bCs/>
        </w:rPr>
        <w:t>1. About the author and basis of evidence</w:t>
      </w:r>
    </w:p>
    <w:p w:rsidR="00460539" w:rsidRPr="005A6C98" w:rsidP="005A6C98">
      <w:r w:rsidRPr="005A6C98">
        <w:rPr>
          <w:b/>
          <w:bCs/>
        </w:rPr>
        <w:t>1.</w:t>
      </w:r>
      <w:r w:rsidRPr="005A6C98">
        <w:t xml:space="preserve"> I am Dr Scott Swain, a former secondary school teacher with eleven years’ experience. This submission draws primarily on my doctoral research into teacher wellbeing in the context of teachers attending to student mental health needs.</w:t>
      </w:r>
    </w:p>
    <w:p w:rsidR="00460539" w:rsidRPr="005A6C98" w:rsidP="005A6C98">
      <w:r w:rsidRPr="005A6C98">
        <w:rPr>
          <w:b/>
          <w:bCs/>
        </w:rPr>
        <w:t>2.</w:t>
      </w:r>
      <w:r w:rsidRPr="005A6C98">
        <w:t xml:space="preserve"> My PhD research (2025) was a qualitative case study of three secondary schools in South England and focused on teachers’ own accounts of </w:t>
      </w:r>
      <w:r>
        <w:t>attending to student mental health needs</w:t>
      </w:r>
      <w:r w:rsidRPr="005A6C98">
        <w:t xml:space="preserve">. A central concern of the project was to better understand an issue that is often visible in school life but less visible in policy discussion: </w:t>
      </w:r>
      <w:r w:rsidRPr="00C67283">
        <w:t>the personal impact on teachers when attending to student mental health needs becomes part of everyday school life</w:t>
      </w:r>
      <w:r>
        <w:t>.</w:t>
      </w:r>
    </w:p>
    <w:p w:rsidR="00460539" w:rsidRPr="005A6C98" w:rsidP="005A6C98">
      <w:r w:rsidRPr="005A6C98">
        <w:rPr>
          <w:b/>
          <w:bCs/>
        </w:rPr>
        <w:t>3.</w:t>
      </w:r>
      <w:r w:rsidRPr="005A6C98">
        <w:t xml:space="preserve"> I am submitting this evidence because I believe the teacher perspective remains under-heard in discussions of children and young people’s mental health, despite teachers often being among the first adults to notice distress, respond to it in real time, and live with its emotional after-effects.</w:t>
      </w:r>
    </w:p>
    <w:p w:rsidR="00460539" w:rsidRPr="005A6C98" w:rsidP="005A6C98">
      <w:pPr>
        <w:rPr>
          <w:b/>
          <w:bCs/>
        </w:rPr>
      </w:pPr>
      <w:r w:rsidRPr="005A6C98">
        <w:rPr>
          <w:b/>
          <w:bCs/>
        </w:rPr>
        <w:t>2. Summary of key points</w:t>
      </w:r>
    </w:p>
    <w:p w:rsidR="00460539" w:rsidRPr="005A6C98" w:rsidP="005A6C98">
      <w:r w:rsidRPr="005A6C98">
        <w:rPr>
          <w:b/>
          <w:bCs/>
        </w:rPr>
        <w:t>4.</w:t>
      </w:r>
      <w:r w:rsidRPr="005A6C98">
        <w:t xml:space="preserve"> My research suggests that supporting students with mental health needs can sometimes be meaningful and rewarding for teachers, but that the negative emotional impact is often more prominent. Teachers commonly described frustration, helplessness and worry as recurring features of this part of the role.</w:t>
      </w:r>
    </w:p>
    <w:p w:rsidR="00460539" w:rsidRPr="005A6C98" w:rsidP="005A6C98">
      <w:r w:rsidRPr="005A6C98">
        <w:rPr>
          <w:b/>
          <w:bCs/>
        </w:rPr>
        <w:t>5.</w:t>
      </w:r>
      <w:r w:rsidRPr="005A6C98">
        <w:t xml:space="preserve"> A particularly important finding was that this emotional impact often did not end with the school day. Many teachers described difficulty psychologically detaching or “switching off” from concerns about students. Some spoke about distress following them home into evenings, affecting sleep, focus, and emotional energy for the next day. </w:t>
      </w:r>
      <w:r w:rsidRPr="00FB4448">
        <w:t>As one teacher put it</w:t>
      </w:r>
      <w:r w:rsidRPr="005A6C98">
        <w:t>: “It’s emotionally exhausting; they don’t tell you about this during your teacher training.”</w:t>
      </w:r>
    </w:p>
    <w:p w:rsidR="00460539" w:rsidRPr="005A6C98" w:rsidP="005A6C98">
      <w:r w:rsidRPr="005A6C98">
        <w:rPr>
          <w:b/>
          <w:bCs/>
        </w:rPr>
        <w:t>6.</w:t>
      </w:r>
      <w:r w:rsidRPr="005A6C98">
        <w:t xml:space="preserve"> These pressures are intensified by wider structural conditions. The emotional demands of attending to student mental health needs interact with workload, competing roles, limited time, lack of control over professional demands, uneven school systems, and delays in access to specialist support such as CAMHS. The result is cumulative strain rather than a series of isolated incidents.</w:t>
      </w:r>
    </w:p>
    <w:p w:rsidR="00460539" w:rsidRPr="005A6C98" w:rsidP="005A6C98">
      <w:r w:rsidRPr="005A6C98">
        <w:rPr>
          <w:b/>
          <w:bCs/>
        </w:rPr>
        <w:t>7.</w:t>
      </w:r>
      <w:r w:rsidRPr="005A6C98">
        <w:t xml:space="preserve"> My research also suggests that current support is too uneven. Social support from colleagues and leaders can be valuable, but not all teachers feel able to use it freely. Many also reported that existing mental health training was not an effective resource, especially where it lacked contextual classroom relevance and practical usefulness.</w:t>
      </w:r>
    </w:p>
    <w:p w:rsidR="00460539" w:rsidRPr="005A6C98" w:rsidP="005A6C98">
      <w:r w:rsidRPr="005A6C98">
        <w:rPr>
          <w:b/>
          <w:bCs/>
        </w:rPr>
        <w:t>8.</w:t>
      </w:r>
      <w:r w:rsidRPr="005A6C98">
        <w:t xml:space="preserve"> Better support for children and young people’s mental health therefore also requires closer attention to the adults expected to respond to distress in everyday school life. If this dimension is missed, policy risks overestimating what schools can sustainably provide and underestimating the cost to staff.</w:t>
      </w:r>
    </w:p>
    <w:p w:rsidR="00460539" w:rsidRPr="005A6C98" w:rsidP="005A6C98">
      <w:pPr>
        <w:rPr>
          <w:b/>
          <w:bCs/>
        </w:rPr>
      </w:pPr>
      <w:r w:rsidRPr="005A6C98">
        <w:rPr>
          <w:b/>
          <w:bCs/>
        </w:rPr>
        <w:t>3. Relevance to this inquiry</w:t>
      </w:r>
    </w:p>
    <w:p w:rsidR="00460539" w:rsidRPr="005A6C98" w:rsidP="005A6C98">
      <w:r w:rsidRPr="005A6C98">
        <w:rPr>
          <w:b/>
          <w:bCs/>
        </w:rPr>
        <w:t>9.</w:t>
      </w:r>
      <w:r w:rsidRPr="005A6C98">
        <w:t xml:space="preserve"> This submission is most relevant to the parts of the inquiry concerned with how effectively education settings identify and respond to children and young people’s mental health needs; what role school staff should play in supporting mental health and what support and training they need; and how effective current referral pathways are between education settings and specialist services.</w:t>
      </w:r>
    </w:p>
    <w:p w:rsidR="00460539" w:rsidRPr="005A6C98" w:rsidP="005A6C98">
      <w:r w:rsidRPr="005A6C98">
        <w:rPr>
          <w:b/>
          <w:bCs/>
        </w:rPr>
        <w:t>10.</w:t>
      </w:r>
      <w:r w:rsidRPr="005A6C98">
        <w:t xml:space="preserve"> My evidence focuses on an issue that can be overlooked in policy discussion: the extent to which teachers are expected to respond to student mental health needs without sufficient preparation, clear role boundaries, or dependable support around them.</w:t>
      </w:r>
    </w:p>
    <w:p w:rsidR="00460539" w:rsidRPr="005A6C98" w:rsidP="005A6C98">
      <w:r w:rsidRPr="005A6C98">
        <w:rPr>
          <w:b/>
          <w:bCs/>
        </w:rPr>
        <w:t>11.</w:t>
      </w:r>
      <w:r w:rsidRPr="005A6C98">
        <w:t xml:space="preserve"> Teachers are not mental health clinicians, yet they are often expected to notice distress, manage immediate situations, maintain the classroom, communicate concern, and continue teaching at the same time. If policy does not take this seriously, it risks presenting school-based mental health support as more straightforward than it is in practice.</w:t>
      </w:r>
    </w:p>
    <w:p w:rsidR="00460539" w:rsidRPr="005A6C98" w:rsidP="005A6C98">
      <w:pPr>
        <w:rPr>
          <w:b/>
          <w:bCs/>
        </w:rPr>
      </w:pPr>
      <w:r w:rsidRPr="005A6C98">
        <w:rPr>
          <w:b/>
          <w:bCs/>
        </w:rPr>
        <w:t>4. What the research shows</w:t>
      </w:r>
    </w:p>
    <w:p w:rsidR="00460539" w:rsidRPr="005A6C98" w:rsidP="005A6C98">
      <w:pPr>
        <w:rPr>
          <w:b/>
          <w:bCs/>
        </w:rPr>
      </w:pPr>
      <w:r w:rsidRPr="005A6C98">
        <w:rPr>
          <w:b/>
          <w:bCs/>
        </w:rPr>
        <w:t>4.1 Teachers often experience emotional strain when attending to student mental health needs</w:t>
      </w:r>
    </w:p>
    <w:p w:rsidR="00460539" w:rsidRPr="005A6C98" w:rsidP="005A6C98">
      <w:r w:rsidRPr="005A6C98">
        <w:rPr>
          <w:b/>
          <w:bCs/>
        </w:rPr>
        <w:t>12.</w:t>
      </w:r>
      <w:r w:rsidRPr="005A6C98">
        <w:t xml:space="preserve"> While a small number of teachers described moments of satisfaction or confidence when supporting students, these were relatively rare compared with accounts of negative emotional impact. In my findings, frustration, helplessness and worry were especially prominent. Frustration and helplessness were often linked to systemic constraints, while worry was often linked to uncertainty about whether a student was safe, whether the teacher had responded correctly, or whether adequate help would arrive in time.</w:t>
      </w:r>
    </w:p>
    <w:p w:rsidR="00460539" w:rsidRPr="005A6C98" w:rsidP="005A6C98">
      <w:r w:rsidRPr="005A6C98">
        <w:rPr>
          <w:b/>
          <w:bCs/>
        </w:rPr>
        <w:t>13.</w:t>
      </w:r>
      <w:r w:rsidRPr="005A6C98">
        <w:t xml:space="preserve"> These feelings were often rooted in a mismatch between felt responsibility and actual control. Teachers wanted to help, but did not always feel equipped, empowered, or able to secure timely support for students. One teacher described it as “trying to band aid a lot of the time rather than actually fix what’s going on.”</w:t>
      </w:r>
    </w:p>
    <w:p w:rsidR="00460539" w:rsidRPr="005A6C98" w:rsidP="005A6C98">
      <w:pPr>
        <w:rPr>
          <w:b/>
          <w:bCs/>
        </w:rPr>
      </w:pPr>
      <w:r w:rsidRPr="005A6C98">
        <w:rPr>
          <w:b/>
          <w:bCs/>
        </w:rPr>
        <w:t>4.2 The impact often continues beyond the classroom</w:t>
      </w:r>
    </w:p>
    <w:p w:rsidR="00460539" w:rsidRPr="005A6C98" w:rsidP="005A6C98">
      <w:r w:rsidRPr="005A6C98">
        <w:rPr>
          <w:b/>
          <w:bCs/>
        </w:rPr>
        <w:t>14.</w:t>
      </w:r>
      <w:r w:rsidRPr="005A6C98">
        <w:t xml:space="preserve"> A key finding was that this aspect of the role could have lasting effects on teacher wellbeing. Teachers described difficulty switching off after work, carrying concern into evenings and weekends, and feeling emotionally depleted by experiences that remained with them long after the school day had ended.</w:t>
      </w:r>
    </w:p>
    <w:p w:rsidR="00460539" w:rsidRPr="005A6C98" w:rsidP="005A6C98">
      <w:r w:rsidRPr="005A6C98">
        <w:rPr>
          <w:b/>
          <w:bCs/>
        </w:rPr>
        <w:t>15.</w:t>
      </w:r>
      <w:r w:rsidRPr="005A6C98">
        <w:t xml:space="preserve"> This matters</w:t>
      </w:r>
      <w:r w:rsidRPr="005A6C98">
        <w:t xml:space="preserve"> because it shows that the cost is not confined to the moment of classroom response. For some, attending to student mental health needs shaped not only immediate emotion, but also recovery, emotional energy, and sustainability in the profession.</w:t>
      </w:r>
    </w:p>
    <w:p w:rsidR="00460539" w:rsidRPr="005A6C98" w:rsidP="005A6C98">
      <w:pPr>
        <w:rPr>
          <w:b/>
          <w:bCs/>
        </w:rPr>
      </w:pPr>
      <w:r w:rsidRPr="005A6C98">
        <w:rPr>
          <w:b/>
          <w:bCs/>
        </w:rPr>
        <w:t>4.3 Wider job pressures amplify the emotional burden</w:t>
      </w:r>
    </w:p>
    <w:p w:rsidR="00460539" w:rsidRPr="005A6C98" w:rsidP="005A6C98">
      <w:r w:rsidRPr="005A6C98">
        <w:rPr>
          <w:b/>
          <w:bCs/>
        </w:rPr>
        <w:t>16.</w:t>
      </w:r>
      <w:r w:rsidRPr="005A6C98">
        <w:t xml:space="preserve"> The emotional demands of this work do not sit in isolation from the rest of the job. They interact with workload, multiple competing responsibilities, lack of time, and limited autonomy over professional time. These wider pressures can make it harder for teachers to process difficult experiences, seek support, or recover from them.</w:t>
      </w:r>
    </w:p>
    <w:p w:rsidR="00460539" w:rsidRPr="005A6C98" w:rsidP="005A6C98">
      <w:r w:rsidRPr="005A6C98">
        <w:rPr>
          <w:b/>
          <w:bCs/>
        </w:rPr>
        <w:t>17.</w:t>
      </w:r>
      <w:r w:rsidRPr="005A6C98">
        <w:t xml:space="preserve"> This matters</w:t>
      </w:r>
      <w:r w:rsidRPr="005A6C98">
        <w:t xml:space="preserve"> because teacher strain is cumulative. Responses that focus only on awareness-raising or generic mental health messaging, without addressing the structural and organisational conditions in which teachers are working, are unlikely to be enough. At the same time, focusing only on workload also misses something important: teachers need better preparation for the emotional realities of the modern classroom, not just less work.</w:t>
      </w:r>
    </w:p>
    <w:p w:rsidR="00460539" w:rsidRPr="005A6C98" w:rsidP="005A6C98">
      <w:pPr>
        <w:rPr>
          <w:b/>
          <w:bCs/>
        </w:rPr>
      </w:pPr>
      <w:r w:rsidRPr="005A6C98">
        <w:rPr>
          <w:b/>
          <w:bCs/>
        </w:rPr>
        <w:t>4.4 Support is uneven and often insufficient</w:t>
      </w:r>
    </w:p>
    <w:p w:rsidR="00460539" w:rsidRPr="005A6C98" w:rsidP="005A6C98">
      <w:r w:rsidRPr="005A6C98">
        <w:rPr>
          <w:b/>
          <w:bCs/>
        </w:rPr>
        <w:t>18.</w:t>
      </w:r>
      <w:r w:rsidRPr="005A6C98">
        <w:t xml:space="preserve"> Many teachers valued social support from colleagues and leaders, and in some settings supportive school culture acted as a meaningful protective factor. However, this was not universal. Some teachers did not feel that “talking to others” was always an effective resource, in part because of worry about how they would be judged. This highlights the importance of culture and trust, not just the nominal availability of support.</w:t>
      </w:r>
    </w:p>
    <w:p w:rsidR="00460539" w:rsidRPr="005A6C98" w:rsidP="005A6C98">
      <w:r w:rsidRPr="005A6C98">
        <w:rPr>
          <w:b/>
          <w:bCs/>
        </w:rPr>
        <w:t>19.</w:t>
      </w:r>
      <w:r w:rsidRPr="005A6C98">
        <w:t xml:space="preserve"> Mental health training was also frequently reported as an ineffective resource. A particularly important point from my findings is that teachers did not simply say they wanted “more training” in the abstract. Many felt that available training lacked contextual classroom relevance and practical usefulness. In other words, it was often not helping them with the situations they were actually facing. Training should not be assumed to be effective simply because it exists.</w:t>
      </w:r>
      <w:r>
        <w:t xml:space="preserve"> </w:t>
      </w:r>
      <w:r w:rsidRPr="0030214B">
        <w:t>Its value depends on whether it is grounded in classroom reality, clear about role boundaries, and useful in helping teachers respond to student need without neglecting their own wellbeing.</w:t>
      </w:r>
    </w:p>
    <w:p w:rsidR="00460539" w:rsidRPr="005A6C98" w:rsidP="005A6C98">
      <w:pPr>
        <w:rPr>
          <w:b/>
          <w:bCs/>
        </w:rPr>
      </w:pPr>
      <w:r w:rsidRPr="005A6C98">
        <w:rPr>
          <w:b/>
          <w:bCs/>
        </w:rPr>
        <w:t>4.5 Delays in external services intensify teacher distress</w:t>
      </w:r>
    </w:p>
    <w:p w:rsidR="00460539" w:rsidRPr="005A6C98" w:rsidP="005A6C98">
      <w:r w:rsidRPr="005A6C98">
        <w:rPr>
          <w:b/>
          <w:bCs/>
        </w:rPr>
        <w:t>20.</w:t>
      </w:r>
      <w:r w:rsidRPr="005A6C98">
        <w:t xml:space="preserve"> Teachers frequently linked their frustration and helplessness to long waits for specialist help, especially CAMHS, and to uncertainty about what could realistically be done for students in the meantime. When referral systems are slow or thresholds are high, the emotional and practical burden on schools increases.</w:t>
      </w:r>
    </w:p>
    <w:p w:rsidR="00460539" w:rsidRPr="005A6C98" w:rsidP="005A6C98">
      <w:r w:rsidRPr="005A6C98">
        <w:rPr>
          <w:b/>
          <w:bCs/>
        </w:rPr>
        <w:t>21.</w:t>
      </w:r>
      <w:r w:rsidRPr="005A6C98">
        <w:t xml:space="preserve"> This can leave teachers managing serious distress without sufficient backing, and risks school-based support being treated as a substitute for timely specialist intervention rather than one part of a joined-up system.</w:t>
      </w:r>
    </w:p>
    <w:p w:rsidR="00460539" w:rsidRPr="005A6C98" w:rsidP="005A6C98">
      <w:pPr>
        <w:rPr>
          <w:b/>
          <w:bCs/>
        </w:rPr>
      </w:pPr>
      <w:r w:rsidRPr="005A6C98">
        <w:rPr>
          <w:b/>
          <w:bCs/>
        </w:rPr>
        <w:t>5. Why this matters for policy</w:t>
      </w:r>
    </w:p>
    <w:p w:rsidR="00460539" w:rsidRPr="005A6C98" w:rsidP="005A6C98">
      <w:r w:rsidRPr="005A6C98">
        <w:rPr>
          <w:b/>
          <w:bCs/>
        </w:rPr>
        <w:t>22.</w:t>
      </w:r>
      <w:r w:rsidRPr="005A6C98">
        <w:t xml:space="preserve"> Policy discussion on children and young people’s mental health often focuses, understandably, on pupils and services. However, my research suggests that the teacher side of the system also needs greater attention.</w:t>
      </w:r>
    </w:p>
    <w:p w:rsidR="00460539" w:rsidRPr="005A6C98" w:rsidP="005A6C98">
      <w:r w:rsidRPr="005A6C98">
        <w:rPr>
          <w:b/>
          <w:bCs/>
        </w:rPr>
        <w:t>23.</w:t>
      </w:r>
      <w:r w:rsidRPr="005A6C98">
        <w:t xml:space="preserve"> Teachers are often the adults dealing with the classroom version of distress: panic, shutdown, persistent anxiety, disclosures, emotional dysregulation, and the everyday manifestations of need that appear before, between, or alongside formal service involvement. Yet many are doing so without enough confidence, preparation, or systemic backing.</w:t>
      </w:r>
    </w:p>
    <w:p w:rsidR="00460539" w:rsidRPr="005A6C98" w:rsidP="005A6C98">
      <w:r w:rsidRPr="005A6C98">
        <w:rPr>
          <w:b/>
          <w:bCs/>
        </w:rPr>
        <w:t>24.</w:t>
      </w:r>
      <w:r w:rsidRPr="005A6C98">
        <w:t xml:space="preserve"> In this sense, teacher wellbeing should be understood not as a peripheral staff issue, but as part of the infrastructure of effective mental health support in schools. </w:t>
      </w:r>
      <w:r w:rsidRPr="004D6FCA">
        <w:t>If teachers are emotionally depleted, under-prepared, or uncertain about their role, the wider support environment around pupils is weakened</w:t>
      </w:r>
    </w:p>
    <w:p w:rsidR="00460539" w:rsidRPr="005A6C98" w:rsidP="005A6C98">
      <w:pPr>
        <w:rPr>
          <w:b/>
          <w:bCs/>
        </w:rPr>
      </w:pPr>
      <w:r w:rsidRPr="005A6C98">
        <w:rPr>
          <w:b/>
          <w:bCs/>
        </w:rPr>
        <w:t>6. Recommendations</w:t>
      </w:r>
    </w:p>
    <w:p w:rsidR="00460539" w:rsidRPr="005A6C98" w:rsidP="005A6C98">
      <w:pPr>
        <w:rPr>
          <w:b/>
          <w:bCs/>
        </w:rPr>
      </w:pPr>
      <w:r w:rsidRPr="005A6C98">
        <w:rPr>
          <w:b/>
          <w:bCs/>
        </w:rPr>
        <w:t>Recommendation 1: Improve teacher preparation for the emotional realities of the role</w:t>
      </w:r>
    </w:p>
    <w:p w:rsidR="00460539" w:rsidRPr="005A6C98" w:rsidP="005A6C98">
      <w:r w:rsidRPr="005A6C98">
        <w:rPr>
          <w:b/>
          <w:bCs/>
        </w:rPr>
        <w:t>25.</w:t>
      </w:r>
      <w:r w:rsidRPr="005A6C98">
        <w:t xml:space="preserve"> Initial teacher education and early career support should do more to prepare teachers for the realities of encountering student distress in ordinary school life.</w:t>
      </w:r>
    </w:p>
    <w:p w:rsidR="00460539" w:rsidRPr="005A6C98" w:rsidP="005A6C98">
      <w:r w:rsidRPr="005A6C98">
        <w:rPr>
          <w:b/>
          <w:bCs/>
        </w:rPr>
        <w:t>26.</w:t>
      </w:r>
      <w:r w:rsidRPr="005A6C98">
        <w:t xml:space="preserve"> This should include not only awareness of student mental health, but also clearer role boundaries, practical classroom relevance, referral confidence, and attention to teachers’ own emotional regulation and wellbeing. Existing training is too often experienced as generic rather than usable. A stronger national expectation around emotionally realistic and teacher-relevant preparation would help address a major gap identified in my research.</w:t>
      </w:r>
    </w:p>
    <w:p w:rsidR="00460539" w:rsidRPr="005A6C98" w:rsidP="005A6C98">
      <w:pPr>
        <w:rPr>
          <w:b/>
          <w:bCs/>
        </w:rPr>
      </w:pPr>
      <w:r w:rsidRPr="005A6C98">
        <w:rPr>
          <w:b/>
          <w:bCs/>
        </w:rPr>
        <w:t>Recommendation 2: Strengthen school and specialist support structures</w:t>
      </w:r>
    </w:p>
    <w:p w:rsidR="00460539" w:rsidRPr="005A6C98" w:rsidP="005A6C98">
      <w:r w:rsidRPr="005A6C98">
        <w:rPr>
          <w:b/>
          <w:bCs/>
        </w:rPr>
        <w:t>27.</w:t>
      </w:r>
      <w:r w:rsidRPr="005A6C98">
        <w:t xml:space="preserve"> Government should continue to strengthen specialist mental health support available to schools, while recognising that timely access and clarity of referral pathways matter as much as formal provision. Expansion of Mental Health Support </w:t>
      </w:r>
      <w:r w:rsidRPr="005A6C98">
        <w:t>Teams may help, but schools also need clearer, faster, and more dependable links with specialist services if pressure is not simply to be redistributed onto teachers.</w:t>
      </w:r>
    </w:p>
    <w:p w:rsidR="00460539" w:rsidRPr="005A6C98" w:rsidP="005A6C98">
      <w:r w:rsidRPr="005A6C98">
        <w:rPr>
          <w:b/>
          <w:bCs/>
        </w:rPr>
        <w:t>28.</w:t>
      </w:r>
      <w:r w:rsidRPr="005A6C98">
        <w:t xml:space="preserve"> Schools also need stronger internal structures and clearer processes so that support does not depend too heavily on individual goodwill or informal workarounds.</w:t>
      </w:r>
    </w:p>
    <w:p w:rsidR="00460539" w:rsidRPr="005A6C98" w:rsidP="005A6C98">
      <w:pPr>
        <w:rPr>
          <w:b/>
          <w:bCs/>
        </w:rPr>
      </w:pPr>
      <w:r w:rsidRPr="005A6C98">
        <w:rPr>
          <w:b/>
          <w:bCs/>
        </w:rPr>
        <w:t>Recommendation 3: Make staff wellbeing a more consistent organisational responsibility</w:t>
      </w:r>
    </w:p>
    <w:p w:rsidR="00460539" w:rsidRPr="005A6C98" w:rsidP="005A6C98">
      <w:r w:rsidRPr="005A6C98">
        <w:rPr>
          <w:b/>
          <w:bCs/>
        </w:rPr>
        <w:t>29.</w:t>
      </w:r>
      <w:r w:rsidRPr="005A6C98">
        <w:t xml:space="preserve"> Staff wellbeing should be treated less as an optional gesture and more as a core organisational condition for sustainable education. My policy work argues that optional or superficial wellbeing initiatives can become “tick-box” exercises with limited meaning for staff.</w:t>
      </w:r>
    </w:p>
    <w:p w:rsidR="00460539" w:rsidRPr="005A6C98" w:rsidP="005A6C98">
      <w:r w:rsidRPr="005A6C98">
        <w:rPr>
          <w:b/>
          <w:bCs/>
        </w:rPr>
        <w:t>30.</w:t>
      </w:r>
      <w:r w:rsidRPr="005A6C98">
        <w:t xml:space="preserve"> Government should strengthen expectations around whole-school responsibility for staff wellbeing, including more meaningful implementation of frameworks such as the Education Staff Wellbeing Charter and clearer accountability for whether supportive cultures are genuinely being embedded.</w:t>
      </w:r>
    </w:p>
    <w:p w:rsidR="00460539" w:rsidRPr="005A6C98" w:rsidP="005A6C98">
      <w:pPr>
        <w:rPr>
          <w:b/>
          <w:bCs/>
        </w:rPr>
      </w:pPr>
      <w:r w:rsidRPr="005A6C98">
        <w:rPr>
          <w:b/>
          <w:bCs/>
        </w:rPr>
        <w:t>Recommendation 4: Treat workload and autonomy as enabling conditions, not the whole answer</w:t>
      </w:r>
    </w:p>
    <w:p w:rsidR="00460539" w:rsidRPr="005A6C98" w:rsidP="005A6C98">
      <w:r w:rsidRPr="005A6C98">
        <w:rPr>
          <w:b/>
          <w:bCs/>
        </w:rPr>
        <w:t>31.</w:t>
      </w:r>
      <w:r w:rsidRPr="005A6C98">
        <w:t xml:space="preserve"> Workload, time pressure and lack of control over professional time remain important policy issues, because they amplify the emotional strain teachers experience when supporting students with mental health needs. Government should continue efforts to reduce unnecessary workload and </w:t>
      </w:r>
      <w:r w:rsidRPr="00466043">
        <w:t>improve teachers’ control over their professional time.</w:t>
      </w:r>
    </w:p>
    <w:p w:rsidR="00460539" w:rsidRPr="005A6C98" w:rsidP="005A6C98">
      <w:r w:rsidRPr="005A6C98">
        <w:rPr>
          <w:b/>
          <w:bCs/>
        </w:rPr>
        <w:t>32.</w:t>
      </w:r>
      <w:r w:rsidRPr="005A6C98">
        <w:t xml:space="preserve"> However, these issues should not be treated as the whole answer. Reducing workload alone will not solve the problem if teachers continue to be under-prepared for the emotional dimensions of the role and under-supported by wider systems.</w:t>
      </w:r>
    </w:p>
    <w:p w:rsidR="00460539" w:rsidRPr="005A6C98" w:rsidP="005A6C98">
      <w:pPr>
        <w:rPr>
          <w:b/>
          <w:bCs/>
        </w:rPr>
      </w:pPr>
      <w:r w:rsidRPr="005A6C98">
        <w:rPr>
          <w:b/>
          <w:bCs/>
        </w:rPr>
        <w:t>7. Questions the committee may wish to ask Government</w:t>
      </w:r>
    </w:p>
    <w:p w:rsidR="00460539" w:rsidRPr="005A6C98" w:rsidP="005A6C98">
      <w:r w:rsidRPr="005A6C98">
        <w:rPr>
          <w:b/>
          <w:bCs/>
        </w:rPr>
        <w:t>33.</w:t>
      </w:r>
      <w:r w:rsidRPr="005A6C98">
        <w:t xml:space="preserve"> How is Government assessing the impact on teachers of growing expectations around student mental health support in schools?</w:t>
      </w:r>
    </w:p>
    <w:p w:rsidR="00460539" w:rsidRPr="005A6C98" w:rsidP="005A6C98">
      <w:r w:rsidRPr="005A6C98">
        <w:rPr>
          <w:b/>
          <w:bCs/>
        </w:rPr>
        <w:t>34.</w:t>
      </w:r>
      <w:r w:rsidRPr="005A6C98">
        <w:t xml:space="preserve"> What evidence does Government have on whether current school-based mental health initiatives reduce or merely redistribute pressure onto teachers?</w:t>
      </w:r>
    </w:p>
    <w:p w:rsidR="00460539" w:rsidRPr="005A6C98" w:rsidP="005A6C98">
      <w:r w:rsidRPr="005A6C98">
        <w:rPr>
          <w:b/>
          <w:bCs/>
        </w:rPr>
        <w:t>35.</w:t>
      </w:r>
      <w:r w:rsidRPr="005A6C98">
        <w:t xml:space="preserve"> How will expansion of Mental Health Support Teams reduce not only unmet pupil need, but also the emotional burden on school staff?</w:t>
      </w:r>
    </w:p>
    <w:p w:rsidR="00460539" w:rsidRPr="005A6C98" w:rsidP="005A6C98">
      <w:r w:rsidRPr="005A6C98">
        <w:rPr>
          <w:b/>
          <w:bCs/>
        </w:rPr>
        <w:t>36.</w:t>
      </w:r>
      <w:r w:rsidRPr="005A6C98">
        <w:t xml:space="preserve"> What steps is Government taking to ensure that teacher wellbeing is treated as part of the sustainability of mental health provision in education settings?</w:t>
      </w:r>
    </w:p>
    <w:p w:rsidR="00460539" w:rsidRPr="005A6C98" w:rsidP="005A6C98">
      <w:pPr>
        <w:rPr>
          <w:b/>
          <w:bCs/>
        </w:rPr>
      </w:pPr>
      <w:r w:rsidRPr="005A6C98">
        <w:rPr>
          <w:b/>
          <w:bCs/>
        </w:rPr>
        <w:t>8. Conclusion</w:t>
      </w:r>
    </w:p>
    <w:p w:rsidR="00460539" w:rsidRPr="005A6C98" w:rsidP="005A6C98">
      <w:r w:rsidRPr="005A6C98">
        <w:rPr>
          <w:b/>
          <w:bCs/>
        </w:rPr>
        <w:t>37.</w:t>
      </w:r>
      <w:r w:rsidRPr="005A6C98">
        <w:t xml:space="preserve"> My research suggests that teachers are often carrying a significant, under-recognised share of the everyday emotional burden associated with student mental health n</w:t>
      </w:r>
      <w:r>
        <w:t>eeds.</w:t>
      </w:r>
    </w:p>
    <w:p w:rsidR="00460539" w:rsidRPr="005A6C98" w:rsidP="005A6C98">
      <w:r w:rsidRPr="005A6C98">
        <w:rPr>
          <w:b/>
          <w:bCs/>
        </w:rPr>
        <w:t>38.</w:t>
      </w:r>
      <w:r w:rsidRPr="005A6C98">
        <w:t xml:space="preserve"> If Government wants children and young people to thrive in education, it must also pay closer attention to the adults who are often holding distress at the front line of school life.</w:t>
      </w:r>
    </w:p>
    <w:p w:rsidR="00460539" w:rsidRPr="005A6C98" w:rsidP="005A6C98">
      <w:r w:rsidRPr="005A6C98">
        <w:rPr>
          <w:b/>
          <w:bCs/>
        </w:rPr>
        <w:t>39.</w:t>
      </w:r>
      <w:r w:rsidRPr="005A6C98">
        <w:t xml:space="preserve"> Better support for teachers is part of making support for children and young people sustainable.</w:t>
      </w:r>
    </w:p>
    <w:p w:rsidR="00460539"/>
    <w:p w:rsidR="003904B7"/>
    <w:p w:rsidR="003904B7"/>
    <w:p w:rsidR="003904B7" w:rsidRPr="003904B7">
      <w:pPr>
        <w:rPr>
          <w:i/>
          <w:iCs/>
        </w:rPr>
      </w:pPr>
      <w:r w:rsidRPr="003904B7">
        <w:rPr>
          <w:i/>
          <w:iCs/>
        </w:rPr>
        <w:t>March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17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6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6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615"/>
    <w:rPr>
      <w:rFonts w:eastAsiaTheme="majorEastAsia" w:cstheme="majorBidi"/>
      <w:color w:val="272727" w:themeColor="text1" w:themeTint="D8"/>
    </w:rPr>
  </w:style>
  <w:style w:type="paragraph" w:styleId="Title">
    <w:name w:val="Title"/>
    <w:basedOn w:val="Normal"/>
    <w:next w:val="Normal"/>
    <w:link w:val="TitleChar"/>
    <w:uiPriority w:val="10"/>
    <w:qFormat/>
    <w:rsid w:val="00617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615"/>
    <w:pPr>
      <w:spacing w:before="160"/>
      <w:jc w:val="center"/>
    </w:pPr>
    <w:rPr>
      <w:i/>
      <w:iCs/>
      <w:color w:val="404040" w:themeColor="text1" w:themeTint="BF"/>
    </w:rPr>
  </w:style>
  <w:style w:type="character" w:customStyle="1" w:styleId="QuoteChar">
    <w:name w:val="Quote Char"/>
    <w:basedOn w:val="DefaultParagraphFont"/>
    <w:link w:val="Quote"/>
    <w:uiPriority w:val="29"/>
    <w:rsid w:val="00617615"/>
    <w:rPr>
      <w:i/>
      <w:iCs/>
      <w:color w:val="404040" w:themeColor="text1" w:themeTint="BF"/>
    </w:rPr>
  </w:style>
  <w:style w:type="paragraph" w:styleId="ListParagraph">
    <w:name w:val="List Paragraph"/>
    <w:basedOn w:val="Normal"/>
    <w:uiPriority w:val="34"/>
    <w:qFormat/>
    <w:rsid w:val="00617615"/>
    <w:pPr>
      <w:ind w:left="720"/>
      <w:contextualSpacing/>
    </w:pPr>
  </w:style>
  <w:style w:type="character" w:styleId="IntenseEmphasis">
    <w:name w:val="Intense Emphasis"/>
    <w:basedOn w:val="DefaultParagraphFont"/>
    <w:uiPriority w:val="21"/>
    <w:qFormat/>
    <w:rsid w:val="00617615"/>
    <w:rPr>
      <w:i/>
      <w:iCs/>
      <w:color w:val="0F4761" w:themeColor="accent1" w:themeShade="BF"/>
    </w:rPr>
  </w:style>
  <w:style w:type="paragraph" w:styleId="IntenseQuote">
    <w:name w:val="Intense Quote"/>
    <w:basedOn w:val="Normal"/>
    <w:next w:val="Normal"/>
    <w:link w:val="IntenseQuoteChar"/>
    <w:uiPriority w:val="30"/>
    <w:qFormat/>
    <w:rsid w:val="00617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615"/>
    <w:rPr>
      <w:i/>
      <w:iCs/>
      <w:color w:val="0F4761" w:themeColor="accent1" w:themeShade="BF"/>
    </w:rPr>
  </w:style>
  <w:style w:type="character" w:styleId="IntenseReference">
    <w:name w:val="Intense Reference"/>
    <w:basedOn w:val="DefaultParagraphFont"/>
    <w:uiPriority w:val="32"/>
    <w:qFormat/>
    <w:rsid w:val="006176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CYM0186</dc:title>
  <cp:revision>0</cp:revision>
</cp:coreProperties>
</file>