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B53F5" w:rsidRPr="00BB53F5" w:rsidP="00BB53F5">
      <w:pPr>
        <w:pStyle w:val="Title"/>
        <w:jc w:val="center"/>
        <w:rPr>
          <w:b/>
          <w:bCs/>
          <w:sz w:val="32"/>
          <w:szCs w:val="32"/>
        </w:rPr>
      </w:pPr>
      <w:r w:rsidRPr="00BB53F5">
        <w:rPr>
          <w:b/>
          <w:bCs/>
          <w:sz w:val="32"/>
          <w:szCs w:val="32"/>
        </w:rPr>
        <w:t>Written Evidence Submitted by UK Council for Psychotherapy (UKCP)</w:t>
      </w:r>
      <w:r w:rsidRPr="00BB53F5">
        <w:rPr>
          <w:b/>
          <w:bCs/>
          <w:sz w:val="32"/>
          <w:szCs w:val="32"/>
        </w:rPr>
        <w:t xml:space="preserve"> </w:t>
      </w:r>
      <w:r w:rsidRPr="00BB53F5">
        <w:rPr>
          <w:b/>
          <w:bCs/>
          <w:sz w:val="32"/>
          <w:szCs w:val="32"/>
        </w:rPr>
        <w:t>(CYM018</w:t>
      </w:r>
      <w:r>
        <w:rPr>
          <w:b/>
          <w:bCs/>
          <w:sz w:val="32"/>
          <w:szCs w:val="32"/>
        </w:rPr>
        <w:t>4</w:t>
      </w:r>
      <w:r w:rsidRPr="00BB53F5">
        <w:rPr>
          <w:b/>
          <w:bCs/>
          <w:sz w:val="32"/>
          <w:szCs w:val="32"/>
        </w:rPr>
        <w:t>)</w:t>
      </w:r>
    </w:p>
    <w:p w:rsidR="00BB53F5" w:rsidP="006844A7">
      <w:pPr>
        <w:pStyle w:val="Title"/>
        <w:jc w:val="center"/>
        <w:rPr>
          <w:b/>
          <w:sz w:val="32"/>
          <w:szCs w:val="32"/>
        </w:rPr>
      </w:pPr>
    </w:p>
    <w:p w:rsidR="00BB53F5" w:rsidP="006844A7">
      <w:pPr>
        <w:pStyle w:val="Title"/>
        <w:jc w:val="center"/>
        <w:rPr>
          <w:b/>
          <w:sz w:val="32"/>
          <w:szCs w:val="32"/>
        </w:rPr>
      </w:pPr>
    </w:p>
    <w:p w:rsidR="00BB53F5" w:rsidP="006844A7">
      <w:pPr>
        <w:pStyle w:val="Title"/>
        <w:jc w:val="center"/>
        <w:rPr>
          <w:b/>
          <w:sz w:val="32"/>
          <w:szCs w:val="32"/>
        </w:rPr>
      </w:pPr>
    </w:p>
    <w:p w:rsidR="00BB53F5" w:rsidP="006844A7">
      <w:pPr>
        <w:pStyle w:val="Title"/>
        <w:jc w:val="center"/>
        <w:rPr>
          <w:b/>
          <w:sz w:val="32"/>
          <w:szCs w:val="32"/>
        </w:rPr>
      </w:pPr>
    </w:p>
    <w:p w:rsidR="00CA165D" w:rsidRPr="00BB53F5" w:rsidP="006844A7">
      <w:pPr>
        <w:pStyle w:val="Title"/>
        <w:jc w:val="center"/>
        <w:rPr>
          <w:b/>
          <w:sz w:val="32"/>
          <w:szCs w:val="32"/>
        </w:rPr>
      </w:pPr>
      <w:r w:rsidRPr="00BB53F5">
        <w:rPr>
          <w:b/>
          <w:sz w:val="32"/>
          <w:szCs w:val="32"/>
        </w:rPr>
        <w:t xml:space="preserve">Children and </w:t>
      </w:r>
      <w:r w:rsidRPr="00BB53F5">
        <w:rPr>
          <w:b/>
          <w:sz w:val="32"/>
          <w:szCs w:val="32"/>
        </w:rPr>
        <w:t xml:space="preserve">young people’s mental health </w:t>
      </w:r>
      <w:r w:rsidRPr="00BB53F5">
        <w:rPr>
          <w:b/>
          <w:sz w:val="32"/>
          <w:szCs w:val="32"/>
        </w:rPr>
        <w:t>–</w:t>
      </w:r>
      <w:r w:rsidRPr="00BB53F5">
        <w:rPr>
          <w:b/>
          <w:sz w:val="32"/>
          <w:szCs w:val="32"/>
        </w:rPr>
        <w:t xml:space="preserve"> </w:t>
      </w:r>
      <w:r w:rsidRPr="00BB53F5">
        <w:rPr>
          <w:b/>
          <w:sz w:val="32"/>
          <w:szCs w:val="32"/>
        </w:rPr>
        <w:t>call for evidence</w:t>
      </w:r>
    </w:p>
    <w:p w:rsidR="00CA165D" w:rsidRPr="00BB53F5" w:rsidP="006844A7">
      <w:pPr>
        <w:pStyle w:val="Subtitle"/>
        <w:jc w:val="center"/>
        <w:rPr>
          <w:color w:val="auto"/>
          <w:sz w:val="24"/>
          <w:szCs w:val="24"/>
        </w:rPr>
      </w:pPr>
      <w:r w:rsidRPr="00BB53F5">
        <w:rPr>
          <w:color w:val="auto"/>
          <w:sz w:val="24"/>
          <w:szCs w:val="24"/>
        </w:rPr>
        <w:t xml:space="preserve">Education and Health and Social Care Committee </w:t>
      </w:r>
      <w:r w:rsidRPr="00BB53F5">
        <w:rPr>
          <w:color w:val="auto"/>
          <w:sz w:val="24"/>
          <w:szCs w:val="24"/>
        </w:rPr>
        <w:t>inquiry</w:t>
      </w:r>
    </w:p>
    <w:p w:rsidR="00CA165D" w:rsidRPr="00BB53F5" w:rsidP="003764DC">
      <w:pPr>
        <w:spacing w:line="240" w:lineRule="auto"/>
      </w:pPr>
      <w:r w:rsidRPr="00BB53F5">
        <w:t>The UK Council for Psychotherapy (UKCP) is the leading professional and regulatory body for psychotherapists and psychotherapeutic counsellors, representing over 1</w:t>
      </w:r>
      <w:r w:rsidRPr="00BB53F5">
        <w:t>1</w:t>
      </w:r>
      <w:r w:rsidRPr="00BB53F5">
        <w:t xml:space="preserve">,000 individual members and 73 training organisations. We are a registered charity and work closely with partners across the mental health sector. Our members deliver a diverse range of talking therapies in the NHS, voluntary sector, educational and private sector settings. </w:t>
      </w:r>
      <w:r w:rsidRPr="00BB53F5">
        <w:t xml:space="preserve"> </w:t>
      </w:r>
    </w:p>
    <w:p w:rsidR="00CA165D" w:rsidRPr="00BB53F5" w:rsidP="00FE61B9">
      <w:pPr>
        <w:pStyle w:val="Heading1"/>
        <w:rPr>
          <w:b/>
          <w:bCs/>
          <w:color w:val="auto"/>
          <w:sz w:val="28"/>
          <w:szCs w:val="28"/>
        </w:rPr>
      </w:pPr>
      <w:r w:rsidRPr="00BB53F5">
        <w:rPr>
          <w:b/>
          <w:bCs/>
          <w:noProof/>
          <w:color w:val="auto"/>
          <w:sz w:val="28"/>
          <w:szCs w:val="28"/>
        </w:rPr>
        <mc:AlternateContent>
          <mc:Choice Requires="wps">
            <w:drawing>
              <wp:anchor distT="0" distB="0" distL="114300" distR="114300" simplePos="0" relativeHeight="251658240" behindDoc="0" locked="0" layoutInCell="1" allowOverlap="1">
                <wp:simplePos x="0" y="0"/>
                <wp:positionH relativeFrom="column">
                  <wp:posOffset>-57362</wp:posOffset>
                </wp:positionH>
                <wp:positionV relativeFrom="paragraph">
                  <wp:posOffset>290830</wp:posOffset>
                </wp:positionV>
                <wp:extent cx="6223621" cy="1593324"/>
                <wp:effectExtent l="0" t="0" r="25400" b="26035"/>
                <wp:wrapNone/>
                <wp:docPr id="738089016"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223621" cy="1593324"/>
                        </a:xfrm>
                        <a:prstGeom prst="rect">
                          <a:avLst/>
                        </a:prstGeom>
                        <a:noFill/>
                        <a:ln w="190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5" style="height:125.45pt;margin-left:-4.5pt;margin-top:22.9pt;mso-height-percent:0;mso-height-relative:margin;mso-width-percent:0;mso-width-relative:margin;mso-wrap-distance-bottom:0;mso-wrap-distance-left:9pt;mso-wrap-distance-right:9pt;mso-wrap-distance-top:0;mso-wrap-style:square;position:absolute;v-text-anchor:middle;visibility:visible;width:490.05pt;z-index:251659264" filled="f" strokecolor="#156082" strokeweight="1.5pt"/>
            </w:pict>
          </mc:Fallback>
        </mc:AlternateContent>
      </w:r>
      <w:r w:rsidRPr="00BB53F5">
        <w:rPr>
          <w:b/>
          <w:bCs/>
          <w:color w:val="auto"/>
          <w:sz w:val="28"/>
          <w:szCs w:val="28"/>
        </w:rPr>
        <w:t xml:space="preserve">The role of education and community settings in support and delivery  </w:t>
      </w:r>
    </w:p>
    <w:p w:rsidR="00CA165D" w:rsidRPr="00BB53F5" w:rsidP="00B93DB0">
      <w:pPr>
        <w:pStyle w:val="ListParagraph"/>
        <w:numPr>
          <w:ilvl w:val="0"/>
          <w:numId w:val="15"/>
        </w:numPr>
        <w:spacing w:line="240" w:lineRule="auto"/>
        <w:rPr>
          <w:sz w:val="20"/>
          <w:szCs w:val="20"/>
        </w:rPr>
      </w:pPr>
      <w:r w:rsidRPr="00BB53F5">
        <w:rPr>
          <w:sz w:val="20"/>
          <w:szCs w:val="20"/>
        </w:rPr>
        <w:t>How effectively are education and community providers identifying and responding to children and young people’s mental health needs?</w:t>
      </w:r>
    </w:p>
    <w:p w:rsidR="00CA165D" w:rsidRPr="00BB53F5" w:rsidP="00B93DB0">
      <w:pPr>
        <w:pStyle w:val="ListParagraph"/>
        <w:numPr>
          <w:ilvl w:val="0"/>
          <w:numId w:val="15"/>
        </w:numPr>
        <w:spacing w:line="240" w:lineRule="auto"/>
        <w:rPr>
          <w:sz w:val="20"/>
          <w:szCs w:val="20"/>
        </w:rPr>
      </w:pPr>
      <w:r w:rsidRPr="00BB53F5">
        <w:rPr>
          <w:sz w:val="20"/>
          <w:szCs w:val="20"/>
        </w:rPr>
        <w:t>What opportunities are there to provide mental health support for children and young people through community</w:t>
      </w:r>
      <w:r w:rsidRPr="00BB53F5">
        <w:rPr>
          <w:rFonts w:ascii="Cambria Math" w:hAnsi="Cambria Math" w:cs="Cambria Math"/>
          <w:sz w:val="20"/>
          <w:szCs w:val="20"/>
        </w:rPr>
        <w:t>‑</w:t>
      </w:r>
      <w:r w:rsidRPr="00BB53F5">
        <w:rPr>
          <w:sz w:val="20"/>
          <w:szCs w:val="20"/>
        </w:rPr>
        <w:t>based approaches? What resources or support is needed to deliver them?</w:t>
      </w:r>
    </w:p>
    <w:p w:rsidR="00CA165D" w:rsidRPr="00BB53F5" w:rsidP="00BF7081">
      <w:pPr>
        <w:pStyle w:val="ListParagraph"/>
        <w:numPr>
          <w:ilvl w:val="0"/>
          <w:numId w:val="15"/>
        </w:numPr>
        <w:spacing w:line="240" w:lineRule="auto"/>
        <w:rPr>
          <w:sz w:val="20"/>
          <w:szCs w:val="20"/>
        </w:rPr>
      </w:pPr>
      <w:r w:rsidRPr="00BB53F5">
        <w:rPr>
          <w:sz w:val="20"/>
          <w:szCs w:val="20"/>
        </w:rPr>
        <w:t xml:space="preserve">To what extent will Best Start Family Hubs help to secure good mental health and wellbeing in the early years? </w:t>
      </w:r>
    </w:p>
    <w:p w:rsidR="00CA165D" w:rsidRPr="00BB53F5" w:rsidP="00BF7081">
      <w:pPr>
        <w:pStyle w:val="ListParagraph"/>
        <w:numPr>
          <w:ilvl w:val="0"/>
          <w:numId w:val="15"/>
        </w:numPr>
        <w:spacing w:line="240" w:lineRule="auto"/>
        <w:rPr>
          <w:sz w:val="20"/>
          <w:szCs w:val="20"/>
        </w:rPr>
      </w:pPr>
      <w:r w:rsidRPr="00BB53F5">
        <w:rPr>
          <w:sz w:val="20"/>
          <w:szCs w:val="20"/>
        </w:rPr>
        <w:t>What mental health support should be available through Young Futures Hubs, and how should these hubs connect with other local services?</w:t>
      </w:r>
    </w:p>
    <w:p w:rsidR="00CA165D" w:rsidRPr="00BB53F5" w:rsidP="00BF7081">
      <w:pPr>
        <w:pStyle w:val="ListParagraph"/>
        <w:numPr>
          <w:ilvl w:val="0"/>
          <w:numId w:val="15"/>
        </w:numPr>
        <w:spacing w:line="240" w:lineRule="auto"/>
        <w:rPr>
          <w:sz w:val="20"/>
          <w:szCs w:val="20"/>
        </w:rPr>
      </w:pPr>
      <w:r w:rsidRPr="00BB53F5">
        <w:rPr>
          <w:sz w:val="20"/>
          <w:szCs w:val="20"/>
        </w:rPr>
        <w:t>What regional and local variability is there in provision of open-access mental health support across the country and how can this be reduced?</w:t>
      </w:r>
    </w:p>
    <w:p w:rsidR="00CA165D" w:rsidRPr="00BB53F5" w:rsidP="00DD2B75">
      <w:pPr>
        <w:spacing w:line="240" w:lineRule="auto"/>
      </w:pPr>
      <w:r w:rsidRPr="00BB53F5">
        <w:t>C</w:t>
      </w:r>
      <w:r w:rsidRPr="00BB53F5">
        <w:t>ommunity settings play a crucial role in children and young people’s</w:t>
      </w:r>
      <w:r w:rsidRPr="00BB53F5">
        <w:t xml:space="preserve"> (CYP)</w:t>
      </w:r>
      <w:r w:rsidRPr="00BB53F5">
        <w:t xml:space="preserve"> mental health</w:t>
      </w:r>
      <w:r w:rsidRPr="00BB53F5">
        <w:t xml:space="preserve">, </w:t>
      </w:r>
      <w:r w:rsidRPr="00BB53F5">
        <w:t>creating opportunities</w:t>
      </w:r>
      <w:r w:rsidRPr="00BB53F5">
        <w:t xml:space="preserve"> for professionals</w:t>
      </w:r>
      <w:r w:rsidRPr="00BB53F5">
        <w:t xml:space="preserve"> to develop close relationships </w:t>
      </w:r>
      <w:r w:rsidRPr="00BB53F5">
        <w:t>with CYP</w:t>
      </w:r>
      <w:r w:rsidRPr="00BB53F5">
        <w:t xml:space="preserve"> so they feel comfortable to share</w:t>
      </w:r>
      <w:r w:rsidRPr="00BB53F5">
        <w:t xml:space="preserve">. </w:t>
      </w:r>
      <w:r w:rsidRPr="00BB53F5">
        <w:t xml:space="preserve">For example, </w:t>
      </w:r>
      <w:r w:rsidRPr="00BB53F5">
        <w:t xml:space="preserve">earlier </w:t>
      </w:r>
      <w:r w:rsidRPr="00BB53F5">
        <w:t xml:space="preserve">contact can be </w:t>
      </w:r>
      <w:r w:rsidRPr="00BB53F5">
        <w:t>made</w:t>
      </w:r>
      <w:r w:rsidRPr="00BB53F5">
        <w:t xml:space="preserve"> in non-</w:t>
      </w:r>
      <w:r w:rsidRPr="00BB53F5">
        <w:t>clinical</w:t>
      </w:r>
      <w:r w:rsidRPr="00BB53F5">
        <w:t xml:space="preserve"> settings that are more </w:t>
      </w:r>
      <w:r w:rsidRPr="00BB53F5">
        <w:t>accessible</w:t>
      </w:r>
      <w:r w:rsidRPr="00BB53F5">
        <w:t xml:space="preserve"> and l</w:t>
      </w:r>
      <w:r w:rsidRPr="00BB53F5">
        <w:t>ess disruptive to school or routine.</w:t>
      </w:r>
      <w:r>
        <w:rPr>
          <w:rStyle w:val="FootnoteReference"/>
        </w:rPr>
        <w:footnoteReference w:id="2"/>
      </w:r>
      <w:r w:rsidRPr="00BB53F5">
        <w:t xml:space="preserve"> </w:t>
      </w:r>
      <w:r w:rsidRPr="00BB53F5">
        <w:t>T</w:t>
      </w:r>
      <w:r w:rsidRPr="00BB53F5">
        <w:t xml:space="preserve">hese settings can </w:t>
      </w:r>
      <w:r w:rsidRPr="00BB53F5">
        <w:t xml:space="preserve">also </w:t>
      </w:r>
      <w:r w:rsidRPr="00BB53F5">
        <w:t>facilitate environments where</w:t>
      </w:r>
      <w:r w:rsidRPr="00BB53F5">
        <w:t xml:space="preserve"> CYP </w:t>
      </w:r>
      <w:r w:rsidRPr="00BB53F5">
        <w:t>receive</w:t>
      </w:r>
      <w:r w:rsidRPr="00BB53F5">
        <w:t xml:space="preserve"> holistic</w:t>
      </w:r>
      <w:r w:rsidRPr="00BB53F5">
        <w:t>, person-cen</w:t>
      </w:r>
      <w:r w:rsidRPr="00BB53F5">
        <w:t>tr</w:t>
      </w:r>
      <w:r w:rsidRPr="00BB53F5">
        <w:t>ed</w:t>
      </w:r>
      <w:r w:rsidRPr="00BB53F5">
        <w:t xml:space="preserve"> support</w:t>
      </w:r>
      <w:r w:rsidRPr="00BB53F5">
        <w:t xml:space="preserve"> that tackles more than a presenting issue of poor mental health</w:t>
      </w:r>
      <w:r w:rsidRPr="00BB53F5">
        <w:t>.</w:t>
      </w:r>
      <w:r>
        <w:rPr>
          <w:rStyle w:val="FootnoteReference"/>
        </w:rPr>
        <w:footnoteReference w:id="3"/>
      </w:r>
      <w:r w:rsidRPr="00BB53F5">
        <w:t xml:space="preserve"> </w:t>
      </w:r>
      <w:r w:rsidRPr="00BB53F5">
        <w:t>Young Futures Hubs, for example,</w:t>
      </w:r>
      <w:r w:rsidRPr="00BB53F5">
        <w:t xml:space="preserve"> must provide an integrated offer of mental health support</w:t>
      </w:r>
      <w:r w:rsidRPr="00BB53F5">
        <w:t xml:space="preserve">, employment and careers, and financial support for CYP, as well as additional services such as crime prevention. </w:t>
      </w:r>
      <w:r w:rsidRPr="00BB53F5">
        <w:t>We also welcome the ex</w:t>
      </w:r>
      <w:r w:rsidRPr="00BB53F5">
        <w:t>tension of the neighbourhood health approach to children and young people,</w:t>
      </w:r>
      <w:r w:rsidRPr="00BB53F5">
        <w:t xml:space="preserve"> and </w:t>
      </w:r>
      <w:r w:rsidRPr="00BB53F5">
        <w:t xml:space="preserve">hope for a swift delivery on this model in every community. </w:t>
      </w:r>
    </w:p>
    <w:p w:rsidR="00CA165D" w:rsidRPr="00BB53F5" w:rsidP="005D28C9">
      <w:pPr>
        <w:spacing w:line="240" w:lineRule="auto"/>
      </w:pPr>
      <w:r w:rsidRPr="00BB53F5">
        <w:t>Currently</w:t>
      </w:r>
      <w:r w:rsidRPr="00BB53F5">
        <w:t xml:space="preserve">, </w:t>
      </w:r>
      <w:r w:rsidRPr="00BB53F5">
        <w:t xml:space="preserve">charities and third sector services deliver </w:t>
      </w:r>
      <w:r w:rsidRPr="00BB53F5">
        <w:t>much of this</w:t>
      </w:r>
      <w:r w:rsidRPr="00BB53F5">
        <w:t xml:space="preserve"> wraparound</w:t>
      </w:r>
      <w:r w:rsidRPr="00BB53F5">
        <w:t xml:space="preserve"> support</w:t>
      </w:r>
      <w:r w:rsidRPr="00BB53F5">
        <w:t>, including the delivery of counselling and psychotherapy.</w:t>
      </w:r>
      <w:r w:rsidRPr="00BB53F5">
        <w:t xml:space="preserve"> 23% of our membership work in this sector, with 11% doing unpaid or voluntary work.</w:t>
      </w:r>
      <w:r>
        <w:rPr>
          <w:rStyle w:val="FootnoteReference"/>
        </w:rPr>
        <w:footnoteReference w:id="4"/>
      </w:r>
      <w:r w:rsidRPr="00BB53F5">
        <w:t xml:space="preserve"> Third sector services are valuable as they are often embedded in groups and areas deemed ‘hard-to-reach’, meaning they support communities at risk of mental health problems but less likely to be engaged in statutory services. </w:t>
      </w:r>
      <w:r w:rsidRPr="00BB53F5">
        <w:t>For example, w</w:t>
      </w:r>
      <w:r w:rsidRPr="00BB53F5">
        <w:t xml:space="preserve">hile many services, particularly statutory, only operate at traditional </w:t>
      </w:r>
      <w:r w:rsidRPr="00BB53F5">
        <w:t xml:space="preserve">working hours, third sector support can take place over the weekend, in the evening or even overnight. </w:t>
      </w:r>
      <w:r w:rsidRPr="00BB53F5">
        <w:t xml:space="preserve">Recognising the </w:t>
      </w:r>
      <w:r w:rsidRPr="00BB53F5">
        <w:t>importance of charities and voluntary services through their inclusion in the</w:t>
      </w:r>
      <w:r w:rsidRPr="00BB53F5">
        <w:t xml:space="preserve"> design of the </w:t>
      </w:r>
      <w:r w:rsidRPr="00BB53F5">
        <w:t>Modern Service Framework</w:t>
      </w:r>
      <w:r w:rsidRPr="00BB53F5">
        <w:t xml:space="preserve"> for Mental Health</w:t>
      </w:r>
      <w:r w:rsidRPr="00BB53F5">
        <w:t xml:space="preserve"> </w:t>
      </w:r>
      <w:r w:rsidRPr="00BB53F5">
        <w:t>is a positive step, however, t</w:t>
      </w:r>
      <w:r w:rsidRPr="00BB53F5">
        <w:t>hese services</w:t>
      </w:r>
      <w:r w:rsidRPr="00BB53F5">
        <w:t xml:space="preserve"> </w:t>
      </w:r>
      <w:r w:rsidRPr="00BB53F5">
        <w:t xml:space="preserve">need greater support. They </w:t>
      </w:r>
      <w:r w:rsidRPr="00BB53F5">
        <w:t xml:space="preserve">often </w:t>
      </w:r>
      <w:r w:rsidRPr="00BB53F5">
        <w:t>face short-term, precarious funding arrangements that mean they cannot work with certainty or plan for the future.</w:t>
      </w:r>
      <w:r>
        <w:rPr>
          <w:rStyle w:val="FootnoteReference"/>
        </w:rPr>
        <w:footnoteReference w:id="5"/>
      </w:r>
      <w:r w:rsidRPr="00BB53F5">
        <w:t xml:space="preserve"> This means that their costs are often high, job security is poor, and they have to set aside a great deal of time to battle for contracts. This is done against a backdrop of increasing demand due to worsening mental health, increased NHS waiting lists, and more people struggling to afford private support due to cost of living pressures. </w:t>
      </w:r>
      <w:r w:rsidRPr="00BB53F5">
        <w:t>W</w:t>
      </w:r>
      <w:r w:rsidRPr="00BB53F5">
        <w:t xml:space="preserve">hile we support a system that allows people to access psychotherapy and counselling without the burden of private fees, it is important </w:t>
      </w:r>
      <w:r w:rsidRPr="00BB53F5">
        <w:t xml:space="preserve">to emphasise </w:t>
      </w:r>
      <w:r w:rsidRPr="00BB53F5">
        <w:t>there must not be over-reliance on this sector, and additional support</w:t>
      </w:r>
      <w:r w:rsidRPr="00BB53F5">
        <w:t xml:space="preserve"> should not come at the expense of adequate numbers of</w:t>
      </w:r>
      <w:r w:rsidRPr="00BB53F5">
        <w:t xml:space="preserve"> </w:t>
      </w:r>
      <w:r w:rsidRPr="00BB53F5">
        <w:t>NHS places</w:t>
      </w:r>
      <w:r w:rsidRPr="00BB53F5">
        <w:t>.</w:t>
      </w:r>
    </w:p>
    <w:p w:rsidR="00CA165D" w:rsidRPr="00BB53F5" w:rsidP="005D28C9">
      <w:pPr>
        <w:spacing w:line="240" w:lineRule="auto"/>
      </w:pPr>
      <w:r w:rsidRPr="00BB53F5">
        <w:t xml:space="preserve">The current postcode lottery for accessing services undermines the recognition of </w:t>
      </w:r>
      <w:r w:rsidRPr="00BB53F5">
        <w:t xml:space="preserve">the value of </w:t>
      </w:r>
      <w:r w:rsidRPr="00BB53F5">
        <w:t xml:space="preserve">accessing community-based, varied </w:t>
      </w:r>
      <w:r w:rsidRPr="00BB53F5">
        <w:t>support</w:t>
      </w:r>
      <w:r w:rsidRPr="00BB53F5">
        <w:t xml:space="preserve">. </w:t>
      </w:r>
      <w:r w:rsidRPr="00BB53F5">
        <w:t>Evidence shows that some CYP wait 17 times longer to access support depending on where they live.</w:t>
      </w:r>
      <w:r>
        <w:rPr>
          <w:rStyle w:val="FootnoteReference"/>
        </w:rPr>
        <w:footnoteReference w:id="6"/>
      </w:r>
      <w:r w:rsidRPr="00BB53F5">
        <w:t xml:space="preserve"> These d</w:t>
      </w:r>
      <w:r w:rsidRPr="00BB53F5">
        <w:t xml:space="preserve">isparities widen </w:t>
      </w:r>
      <w:r w:rsidRPr="00BB53F5">
        <w:t>gaps in access</w:t>
      </w:r>
      <w:r w:rsidRPr="00BB53F5">
        <w:t xml:space="preserve">, with those often in the most deprived areas </w:t>
      </w:r>
      <w:r w:rsidRPr="00BB53F5">
        <w:t xml:space="preserve">forced to wait </w:t>
      </w:r>
      <w:r w:rsidRPr="00BB53F5">
        <w:t>for over-subscribed, limited services</w:t>
      </w:r>
      <w:r w:rsidRPr="00BB53F5">
        <w:t xml:space="preserve">. </w:t>
      </w:r>
      <w:r w:rsidRPr="00BB53F5">
        <w:t xml:space="preserve">As a result, CYP and their families can simply fall out of area for the care they </w:t>
      </w:r>
      <w:r w:rsidRPr="00BB53F5">
        <w:t>need or</w:t>
      </w:r>
      <w:r w:rsidRPr="00BB53F5">
        <w:t xml:space="preserve"> may be </w:t>
      </w:r>
      <w:r w:rsidRPr="00BB53F5">
        <w:t xml:space="preserve">prohibited from certain services due to barriers </w:t>
      </w:r>
      <w:r w:rsidRPr="00BB53F5">
        <w:t>like</w:t>
      </w:r>
      <w:r w:rsidRPr="00BB53F5">
        <w:t xml:space="preserve"> cost of transport. </w:t>
      </w:r>
      <w:r w:rsidRPr="00BB53F5">
        <w:t>One</w:t>
      </w:r>
      <w:r w:rsidRPr="00BB53F5">
        <w:t xml:space="preserve"> example of </w:t>
      </w:r>
      <w:r w:rsidRPr="00BB53F5">
        <w:t>this</w:t>
      </w:r>
      <w:r w:rsidRPr="00BB53F5">
        <w:t xml:space="preserve"> </w:t>
      </w:r>
      <w:r w:rsidRPr="00BB53F5">
        <w:t xml:space="preserve">unequal provision </w:t>
      </w:r>
      <w:r w:rsidRPr="00BB53F5">
        <w:t xml:space="preserve">is in preventative and early intervention mental healthcare at all stages of life, which </w:t>
      </w:r>
      <w:r w:rsidRPr="00BB53F5">
        <w:t xml:space="preserve">is an essential </w:t>
      </w:r>
      <w:r w:rsidRPr="00BB53F5">
        <w:t>part of</w:t>
      </w:r>
      <w:r w:rsidRPr="00BB53F5">
        <w:t xml:space="preserve"> high-quality service provision. Currently, there is under-investment as funding is consistently being cut to prioritise crisis care. Family Hubs, for example, </w:t>
      </w:r>
      <w:r w:rsidRPr="00BB53F5">
        <w:t>have</w:t>
      </w:r>
      <w:r w:rsidRPr="00BB53F5">
        <w:t xml:space="preserve"> not </w:t>
      </w:r>
      <w:r w:rsidRPr="00BB53F5">
        <w:t xml:space="preserve">been </w:t>
      </w:r>
      <w:r w:rsidRPr="00BB53F5">
        <w:t>universally provided, despite evidence that early intervention is good value for money</w:t>
      </w:r>
      <w:r w:rsidRPr="00BB53F5">
        <w:t xml:space="preserve">. We welcome </w:t>
      </w:r>
      <w:r w:rsidRPr="00BB53F5">
        <w:t>the commitment to roll out Family Hubs</w:t>
      </w:r>
      <w:r w:rsidRPr="00BB53F5">
        <w:t>, as t</w:t>
      </w:r>
      <w:r w:rsidRPr="00BB53F5">
        <w:t xml:space="preserve">his </w:t>
      </w:r>
      <w:r w:rsidRPr="00BB53F5">
        <w:t>will prevent more</w:t>
      </w:r>
      <w:r w:rsidRPr="00BB53F5">
        <w:t xml:space="preserve"> situation</w:t>
      </w:r>
      <w:r w:rsidRPr="00BB53F5">
        <w:t>s</w:t>
      </w:r>
      <w:r w:rsidRPr="00BB53F5">
        <w:t xml:space="preserve"> where </w:t>
      </w:r>
      <w:r w:rsidRPr="00BB53F5">
        <w:t xml:space="preserve">the </w:t>
      </w:r>
      <w:r w:rsidRPr="00BB53F5">
        <w:t>mental health needs</w:t>
      </w:r>
      <w:r w:rsidRPr="00BB53F5">
        <w:t xml:space="preserve"> of parents or CYP</w:t>
      </w:r>
      <w:r w:rsidRPr="00BB53F5">
        <w:t xml:space="preserve"> </w:t>
      </w:r>
      <w:r w:rsidRPr="00BB53F5">
        <w:t xml:space="preserve">have to </w:t>
      </w:r>
      <w:r w:rsidRPr="00BB53F5">
        <w:t>escalate to</w:t>
      </w:r>
      <w:r w:rsidRPr="00BB53F5">
        <w:t xml:space="preserve"> crisis point before they can</w:t>
      </w:r>
      <w:r w:rsidRPr="00BB53F5">
        <w:t xml:space="preserve"> access the support they need. UKCP advise that the central goal of any mental health service should be ensuring everyone can access timely care and that </w:t>
      </w:r>
      <w:r w:rsidRPr="00BB53F5">
        <w:t>must</w:t>
      </w:r>
      <w:r w:rsidRPr="00BB53F5">
        <w:t xml:space="preserve"> strengthen the </w:t>
      </w:r>
      <w:r w:rsidRPr="00BB53F5">
        <w:t xml:space="preserve">community-based </w:t>
      </w:r>
      <w:r w:rsidRPr="00BB53F5">
        <w:t>services on offer</w:t>
      </w:r>
      <w:r w:rsidRPr="00BB53F5">
        <w:t xml:space="preserve">, particularly those that offer support </w:t>
      </w:r>
      <w:r w:rsidRPr="00BB53F5">
        <w:t>at</w:t>
      </w:r>
      <w:r w:rsidRPr="00BB53F5">
        <w:t xml:space="preserve"> well-established periods </w:t>
      </w:r>
      <w:r w:rsidRPr="00BB53F5">
        <w:t>of high-</w:t>
      </w:r>
      <w:r w:rsidRPr="00BB53F5">
        <w:t xml:space="preserve">risk </w:t>
      </w:r>
      <w:r w:rsidRPr="00BB53F5">
        <w:t>of</w:t>
      </w:r>
      <w:r w:rsidRPr="00BB53F5">
        <w:t xml:space="preserve"> poor mental health to prevent the need for more significant intervention.</w:t>
      </w:r>
    </w:p>
    <w:p w:rsidR="00CA165D" w:rsidRPr="00BB53F5" w:rsidP="00E45607">
      <w:pPr>
        <w:spacing w:line="240" w:lineRule="auto"/>
      </w:pPr>
      <w:r w:rsidRPr="00BB53F5">
        <w:t xml:space="preserve">Moving away from a ‘one size fits all’ approach </w:t>
      </w:r>
      <w:r w:rsidRPr="00BB53F5">
        <w:t xml:space="preserve">should be an important </w:t>
      </w:r>
      <w:r w:rsidRPr="00BB53F5">
        <w:t>tenet</w:t>
      </w:r>
      <w:r w:rsidRPr="00BB53F5">
        <w:t xml:space="preserve"> </w:t>
      </w:r>
      <w:r w:rsidRPr="00BB53F5">
        <w:t xml:space="preserve">of </w:t>
      </w:r>
      <w:r w:rsidRPr="00BB53F5">
        <w:t>support provided to CYP</w:t>
      </w:r>
      <w:r w:rsidRPr="00BB53F5">
        <w:t>, however that can only be achieved if it is</w:t>
      </w:r>
      <w:r w:rsidRPr="00BB53F5">
        <w:t xml:space="preserve"> baked into the way we design the s</w:t>
      </w:r>
      <w:r w:rsidRPr="00BB53F5">
        <w:t>ervices</w:t>
      </w:r>
      <w:r w:rsidRPr="00BB53F5">
        <w:t xml:space="preserve"> they access. UKCP are supportive of </w:t>
      </w:r>
      <w:r w:rsidRPr="00BB53F5">
        <w:t>grounding</w:t>
      </w:r>
      <w:r w:rsidRPr="00BB53F5">
        <w:t xml:space="preserve"> services within communities, </w:t>
      </w:r>
      <w:r w:rsidRPr="00BB53F5">
        <w:t xml:space="preserve">which </w:t>
      </w:r>
      <w:r w:rsidRPr="00BB53F5">
        <w:t>will take</w:t>
      </w:r>
      <w:r w:rsidRPr="00BB53F5">
        <w:t xml:space="preserve"> extensive engagement when designing and commissioning </w:t>
      </w:r>
      <w:r w:rsidRPr="00BB53F5">
        <w:t>to see the pay offs of increased</w:t>
      </w:r>
      <w:r w:rsidRPr="00BB53F5">
        <w:t xml:space="preserve"> attendance and positive outcomes.</w:t>
      </w:r>
      <w:r>
        <w:rPr>
          <w:rStyle w:val="FootnoteReference"/>
        </w:rPr>
        <w:footnoteReference w:id="7"/>
      </w:r>
      <w:r w:rsidRPr="00BB53F5">
        <w:t xml:space="preserve"> In particular, engagement with local leaders to address specific or intersectional barriers is beneficial or creating services where professionals can adapt their offer to suit every CYP and family. </w:t>
      </w:r>
    </w:p>
    <w:p w:rsidR="00CA165D" w:rsidRPr="00BB53F5" w:rsidP="00063A5A">
      <w:pPr>
        <w:pStyle w:val="Heading1"/>
        <w:rPr>
          <w:b/>
          <w:bCs/>
          <w:color w:val="auto"/>
          <w:sz w:val="28"/>
          <w:szCs w:val="28"/>
        </w:rPr>
      </w:pPr>
      <w:r w:rsidRPr="00BB53F5">
        <w:rPr>
          <w:b/>
          <w:bCs/>
          <w:noProof/>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-68610</wp:posOffset>
                </wp:positionH>
                <wp:positionV relativeFrom="paragraph">
                  <wp:posOffset>301186</wp:posOffset>
                </wp:positionV>
                <wp:extent cx="6244247" cy="1266610"/>
                <wp:effectExtent l="0" t="0" r="23495" b="10160"/>
                <wp:wrapNone/>
                <wp:docPr id="1745595298"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244247" cy="1266610"/>
                        </a:xfrm>
                        <a:prstGeom prst="rect">
                          <a:avLst/>
                        </a:prstGeom>
                        <a:noFill/>
                        <a:ln w="190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height:99.75pt;margin-left:-5.4pt;margin-top:23.7pt;mso-height-percent:0;mso-height-relative:margin;mso-width-percent:0;mso-width-relative:margin;mso-wrap-distance-bottom:0;mso-wrap-distance-left:9pt;mso-wrap-distance-right:9pt;mso-wrap-distance-top:0;mso-wrap-style:square;position:absolute;v-text-anchor:middle;visibility:visible;width:491.65pt;z-index:251661312" filled="f" strokecolor="#156082" strokeweight="1.5pt"/>
            </w:pict>
          </mc:Fallback>
        </mc:AlternateContent>
      </w:r>
      <w:r w:rsidRPr="00BB53F5">
        <w:rPr>
          <w:b/>
          <w:bCs/>
          <w:color w:val="auto"/>
          <w:sz w:val="28"/>
          <w:szCs w:val="28"/>
        </w:rPr>
        <w:t xml:space="preserve">The role of NHS and specialist mental health services in support and delivery </w:t>
      </w:r>
    </w:p>
    <w:p w:rsidR="00CA165D" w:rsidRPr="00BB53F5" w:rsidP="00927A00">
      <w:pPr>
        <w:pStyle w:val="ListParagraph"/>
        <w:numPr>
          <w:ilvl w:val="0"/>
          <w:numId w:val="15"/>
        </w:numPr>
        <w:spacing w:line="240" w:lineRule="auto"/>
        <w:rPr>
          <w:sz w:val="20"/>
          <w:szCs w:val="20"/>
        </w:rPr>
      </w:pPr>
      <w:r w:rsidRPr="00BB53F5">
        <w:rPr>
          <w:sz w:val="20"/>
          <w:szCs w:val="20"/>
        </w:rPr>
        <w:t>What reforms to CAMHS would best support timely, equitable and continued access to specialist mental health care for children and young people?</w:t>
      </w:r>
    </w:p>
    <w:p w:rsidR="00CA165D" w:rsidRPr="00BB53F5" w:rsidP="00927A00">
      <w:pPr>
        <w:pStyle w:val="ListParagraph"/>
        <w:numPr>
          <w:ilvl w:val="0"/>
          <w:numId w:val="15"/>
        </w:numPr>
        <w:spacing w:line="240" w:lineRule="auto"/>
        <w:rPr>
          <w:sz w:val="20"/>
          <w:szCs w:val="20"/>
        </w:rPr>
      </w:pPr>
      <w:r w:rsidRPr="00BB53F5">
        <w:rPr>
          <w:sz w:val="20"/>
          <w:szCs w:val="20"/>
        </w:rPr>
        <w:t>Are there models or examples of approaches within CAMHS that have reduced crisis presentations or repeat attendances among children and young people requiring specialist mental health support?</w:t>
      </w:r>
    </w:p>
    <w:p w:rsidR="00CA165D" w:rsidRPr="00BB53F5" w:rsidP="00927A00">
      <w:pPr>
        <w:pStyle w:val="ListParagraph"/>
        <w:numPr>
          <w:ilvl w:val="0"/>
          <w:numId w:val="15"/>
        </w:numPr>
        <w:spacing w:line="240" w:lineRule="auto"/>
        <w:rPr>
          <w:sz w:val="20"/>
          <w:szCs w:val="20"/>
        </w:rPr>
      </w:pPr>
      <w:r w:rsidRPr="00BB53F5">
        <w:rPr>
          <w:sz w:val="20"/>
          <w:szCs w:val="20"/>
        </w:rPr>
        <w:t>What measures are needed to tackle increasing rates of children and young people deteriorating to the point of A&amp;E attendance or acute admission?</w:t>
      </w:r>
    </w:p>
    <w:p w:rsidR="00CA165D" w:rsidRPr="00BB53F5" w:rsidP="00927A00">
      <w:pPr>
        <w:pStyle w:val="ListParagraph"/>
        <w:numPr>
          <w:ilvl w:val="0"/>
          <w:numId w:val="15"/>
        </w:numPr>
        <w:spacing w:line="240" w:lineRule="auto"/>
        <w:rPr>
          <w:sz w:val="20"/>
          <w:szCs w:val="20"/>
        </w:rPr>
      </w:pPr>
      <w:r w:rsidRPr="00BB53F5">
        <w:rPr>
          <w:sz w:val="20"/>
          <w:szCs w:val="20"/>
        </w:rPr>
        <w:t>What does good practice look like in general practice with regard to children and young people’s mental health?</w:t>
      </w:r>
      <w:r w:rsidRPr="00BB53F5">
        <w:rPr>
          <w:b/>
          <w:bCs/>
          <w:noProof/>
          <w:sz w:val="28"/>
          <w:szCs w:val="28"/>
        </w:rPr>
        <w:t xml:space="preserve"> </w:t>
      </w:r>
    </w:p>
    <w:p w:rsidR="00CA165D" w:rsidRPr="00BB53F5" w:rsidP="00927A00">
      <w:pPr>
        <w:spacing w:line="240" w:lineRule="auto"/>
      </w:pPr>
      <w:r w:rsidRPr="00BB53F5">
        <w:t xml:space="preserve">Ensuring that CYP have access to a range of </w:t>
      </w:r>
      <w:r w:rsidRPr="00BB53F5">
        <w:t xml:space="preserve">psychotherapeutic </w:t>
      </w:r>
      <w:r w:rsidRPr="00BB53F5">
        <w:t xml:space="preserve">treatments </w:t>
      </w:r>
      <w:r w:rsidRPr="00BB53F5">
        <w:t>could</w:t>
      </w:r>
      <w:r w:rsidRPr="00BB53F5">
        <w:t xml:space="preserve"> </w:t>
      </w:r>
      <w:r w:rsidRPr="00BB53F5">
        <w:t>reduce time spent on waiting lists</w:t>
      </w:r>
      <w:r w:rsidRPr="00BB53F5">
        <w:t xml:space="preserve"> and </w:t>
      </w:r>
      <w:r w:rsidRPr="00BB53F5">
        <w:t xml:space="preserve">result in more positive treatment outcomes for a broad range of mental health conditions. </w:t>
      </w:r>
      <w:r w:rsidRPr="00BB53F5">
        <w:t xml:space="preserve">Moreover, </w:t>
      </w:r>
      <w:r w:rsidRPr="00BB53F5">
        <w:t xml:space="preserve">it may break down barriers to care when </w:t>
      </w:r>
      <w:r w:rsidRPr="00BB53F5">
        <w:t xml:space="preserve">children </w:t>
      </w:r>
      <w:r w:rsidRPr="00BB53F5">
        <w:t>are</w:t>
      </w:r>
      <w:r w:rsidRPr="00BB53F5">
        <w:t xml:space="preserve"> listened to and involved in decisions about their treatment</w:t>
      </w:r>
      <w:r w:rsidRPr="00BB53F5">
        <w:t>, however this can only genuinely happen if there is a range of treatments on offer.</w:t>
      </w:r>
      <w:r>
        <w:rPr>
          <w:rStyle w:val="FootnoteReference"/>
        </w:rPr>
        <w:footnoteReference w:id="8"/>
      </w:r>
      <w:r w:rsidRPr="00BB53F5">
        <w:t xml:space="preserve"> </w:t>
      </w:r>
      <w:r w:rsidRPr="00BB53F5">
        <w:t xml:space="preserve">There is a </w:t>
      </w:r>
      <w:r w:rsidRPr="00BB53F5">
        <w:t>varied and extensive</w:t>
      </w:r>
      <w:r w:rsidRPr="00BB53F5">
        <w:t xml:space="preserve"> body of evidence that </w:t>
      </w:r>
      <w:r w:rsidRPr="00BB53F5">
        <w:t xml:space="preserve">a range of </w:t>
      </w:r>
      <w:r w:rsidRPr="00BB53F5">
        <w:t>psychotherap</w:t>
      </w:r>
      <w:r w:rsidRPr="00BB53F5">
        <w:t>eutic interventions are</w:t>
      </w:r>
      <w:r w:rsidRPr="00BB53F5">
        <w:t xml:space="preserve"> highly effective for CYP and</w:t>
      </w:r>
      <w:r w:rsidRPr="00BB53F5">
        <w:t xml:space="preserve"> can have substantial impact on individuals and families to change their lives.</w:t>
      </w:r>
      <w:r>
        <w:rPr>
          <w:rStyle w:val="FootnoteReference"/>
        </w:rPr>
        <w:footnoteReference w:id="9"/>
      </w:r>
      <w:r w:rsidRPr="00BB53F5">
        <w:t xml:space="preserve"> A foundational meta-analysis found that children and adolescents receiving psychotherapy were significantly improved across several outcome measures</w:t>
      </w:r>
      <w:r w:rsidRPr="00BB53F5">
        <w:t>,</w:t>
      </w:r>
      <w:r>
        <w:rPr>
          <w:rStyle w:val="FootnoteReference"/>
        </w:rPr>
        <w:footnoteReference w:id="10"/>
      </w:r>
      <w:r w:rsidRPr="00BB53F5">
        <w:t xml:space="preserve"> and benefits have also been found</w:t>
      </w:r>
      <w:r w:rsidRPr="00BB53F5">
        <w:t xml:space="preserve"> for children with different mental health issues and needs, including depression</w:t>
      </w:r>
      <w:r w:rsidRPr="00BB53F5">
        <w:t xml:space="preserve">, </w:t>
      </w:r>
      <w:r w:rsidRPr="00BB53F5">
        <w:t>anxiety, and PTSD.</w:t>
      </w:r>
      <w:r>
        <w:rPr>
          <w:rStyle w:val="FootnoteReference"/>
        </w:rPr>
        <w:footnoteReference w:id="11"/>
      </w:r>
      <w:r w:rsidRPr="00BB53F5">
        <w:t xml:space="preserve"> Adolescents have reported that psychotherapy has helped them navigate family issues, rapidly changing needs, and issues arising from their surrounding environment.</w:t>
      </w:r>
      <w:r>
        <w:rPr>
          <w:rStyle w:val="FootnoteReference"/>
        </w:rPr>
        <w:footnoteReference w:id="12"/>
      </w:r>
      <w:r w:rsidRPr="00BB53F5">
        <w:t xml:space="preserve"> </w:t>
      </w:r>
      <w:r w:rsidRPr="00BB53F5">
        <w:t>There is also evidence for the expansion of s</w:t>
      </w:r>
      <w:r w:rsidRPr="00BB53F5">
        <w:t xml:space="preserve">pecialist perinatal mental health services </w:t>
      </w:r>
      <w:r w:rsidRPr="00BB53F5">
        <w:t>that offer a</w:t>
      </w:r>
      <w:r w:rsidRPr="00BB53F5">
        <w:t xml:space="preserve"> genuine choice of evidence-based psychological therapies, including parent-infant</w:t>
      </w:r>
      <w:r w:rsidRPr="00BB53F5">
        <w:t xml:space="preserve"> psychotherapy (PIP)</w:t>
      </w:r>
      <w:r w:rsidRPr="00BB53F5">
        <w:t xml:space="preserve"> and whole </w:t>
      </w:r>
      <w:r w:rsidRPr="00BB53F5">
        <w:t>family interventions.</w:t>
      </w:r>
      <w:r>
        <w:rPr>
          <w:rStyle w:val="FootnoteReference"/>
        </w:rPr>
        <w:footnoteReference w:id="13"/>
      </w:r>
      <w:r w:rsidRPr="00BB53F5">
        <w:t xml:space="preserve"> While the </w:t>
      </w:r>
      <w:r w:rsidRPr="00BB53F5">
        <w:t>therapeutic support</w:t>
      </w:r>
      <w:r w:rsidRPr="00BB53F5">
        <w:t xml:space="preserve"> offered for CYP, in certain locations, is broader than adult services</w:t>
      </w:r>
      <w:r w:rsidRPr="00BB53F5">
        <w:t>, there is still a preference for Cognitive Behaviour</w:t>
      </w:r>
      <w:r w:rsidRPr="00BB53F5">
        <w:t>al</w:t>
      </w:r>
      <w:r w:rsidRPr="00BB53F5">
        <w:t xml:space="preserve"> Therapy (CBT)</w:t>
      </w:r>
      <w:r w:rsidRPr="00BB53F5">
        <w:t xml:space="preserve">. </w:t>
      </w:r>
      <w:r w:rsidRPr="00BB53F5">
        <w:t xml:space="preserve">Given the extensive evidence for a range of psychotherapeutic interventions, more must be done to facilitate patient choice through expanding treatment pathways and increasing public knowledge in a range of modalities. </w:t>
      </w:r>
    </w:p>
    <w:p w:rsidR="00CA165D" w:rsidRPr="00BB53F5" w:rsidP="00927A00">
      <w:pPr>
        <w:spacing w:line="240" w:lineRule="auto"/>
      </w:pPr>
      <w:r w:rsidRPr="00BB53F5">
        <w:t xml:space="preserve">It is essential that we reduce the time </w:t>
      </w:r>
      <w:r w:rsidRPr="00BB53F5">
        <w:t>CYP spend</w:t>
      </w:r>
      <w:r w:rsidRPr="00BB53F5">
        <w:t xml:space="preserve"> on waiting lists. </w:t>
      </w:r>
      <w:r w:rsidRPr="00BB53F5">
        <w:t xml:space="preserve">In England, 8% of CYP </w:t>
      </w:r>
      <w:r w:rsidRPr="00BB53F5">
        <w:t xml:space="preserve">had active referral to CAMHS, with 50,000 </w:t>
      </w:r>
      <w:r w:rsidRPr="00BB53F5">
        <w:t xml:space="preserve">more than the previous year waiting a year for their treatment to begin </w:t>
      </w:r>
      <w:r w:rsidRPr="00BB53F5">
        <w:t>(320,000 in 2023-24, up from 270,000 in 2022-23).</w:t>
      </w:r>
      <w:r>
        <w:rPr>
          <w:rStyle w:val="FootnoteReference"/>
        </w:rPr>
        <w:footnoteReference w:id="14"/>
      </w:r>
      <w:r w:rsidRPr="00BB53F5">
        <w:t xml:space="preserve"> </w:t>
      </w:r>
      <w:r w:rsidRPr="00BB53F5">
        <w:t>CYP experience a deterioration in their mental health while waiting for treatment</w:t>
      </w:r>
      <w:r w:rsidRPr="00BB53F5">
        <w:t xml:space="preserve"> </w:t>
      </w:r>
      <w:r w:rsidRPr="00BB53F5">
        <w:t>– a trend that continues the longer spent waiting</w:t>
      </w:r>
      <w:r w:rsidRPr="00BB53F5">
        <w:t>.</w:t>
      </w:r>
      <w:r w:rsidRPr="00BB53F5">
        <w:t xml:space="preserve"> It is</w:t>
      </w:r>
      <w:r w:rsidRPr="00BB53F5">
        <w:t xml:space="preserve"> expected that this is contributing to the number of CYP presenting in emergency services</w:t>
      </w:r>
      <w:r w:rsidRPr="00BB53F5">
        <w:t xml:space="preserve"> in a mental health crisis.</w:t>
      </w:r>
      <w:r>
        <w:rPr>
          <w:rStyle w:val="FootnoteReference"/>
        </w:rPr>
        <w:footnoteReference w:id="15"/>
      </w:r>
      <w:r w:rsidRPr="00BB53F5">
        <w:t xml:space="preserve"> </w:t>
      </w:r>
      <w:r w:rsidRPr="00BB53F5">
        <w:t xml:space="preserve">Addressing some of the </w:t>
      </w:r>
      <w:r w:rsidRPr="00BB53F5">
        <w:t xml:space="preserve">waiting list </w:t>
      </w:r>
      <w:r w:rsidRPr="00BB53F5">
        <w:t>challenges in statutory services requires increasing the number of psychotherapists and counsellors</w:t>
      </w:r>
      <w:r w:rsidRPr="00BB53F5">
        <w:t>, particularly those who provide talking and creative therapies other than CBT</w:t>
      </w:r>
      <w:r w:rsidRPr="00BB53F5">
        <w:t xml:space="preserve">. </w:t>
      </w:r>
      <w:r w:rsidRPr="00BB53F5">
        <w:t xml:space="preserve">Over three </w:t>
      </w:r>
      <w:r w:rsidRPr="00BB53F5">
        <w:t>quarters of our members work in private practice</w:t>
      </w:r>
      <w:r w:rsidRPr="00BB53F5">
        <w:t xml:space="preserve">, </w:t>
      </w:r>
      <w:r w:rsidRPr="00BB53F5">
        <w:t>with multiple barriers preventing them from</w:t>
      </w:r>
      <w:r w:rsidRPr="00BB53F5">
        <w:t xml:space="preserve"> working in the </w:t>
      </w:r>
      <w:r w:rsidRPr="00BB53F5">
        <w:t>NHS.</w:t>
      </w:r>
      <w:r>
        <w:rPr>
          <w:rStyle w:val="FootnoteReference"/>
        </w:rPr>
        <w:footnoteReference w:id="16"/>
      </w:r>
      <w:r w:rsidRPr="00BB53F5">
        <w:t xml:space="preserve"> </w:t>
      </w:r>
      <w:r w:rsidRPr="00BB53F5">
        <w:t>In comparison to other mental health professions in the NHS, there is a lack of financial support on offer to therapists other than those wishing to practice</w:t>
      </w:r>
      <w:r w:rsidRPr="00BB53F5">
        <w:t xml:space="preserve"> CBT</w:t>
      </w:r>
      <w:r w:rsidRPr="00BB53F5">
        <w:t xml:space="preserve"> to undertake the training required to work within </w:t>
      </w:r>
      <w:r w:rsidRPr="00BB53F5">
        <w:t xml:space="preserve">CAMHS </w:t>
      </w:r>
      <w:r w:rsidRPr="00BB53F5">
        <w:t xml:space="preserve">or other state-provided services. Paid trainee positions, for example, are rare for those not working with CBT approaches, leaving </w:t>
      </w:r>
      <w:r w:rsidRPr="00BB53F5">
        <w:t>potential</w:t>
      </w:r>
      <w:r w:rsidRPr="00BB53F5">
        <w:t xml:space="preserve"> trainee NHS therapists </w:t>
      </w:r>
      <w:r w:rsidRPr="00BB53F5">
        <w:t>practicing in</w:t>
      </w:r>
      <w:r w:rsidRPr="00BB53F5">
        <w:t xml:space="preserve"> other modalities </w:t>
      </w:r>
      <w:r w:rsidRPr="00BB53F5">
        <w:t>or from poorer</w:t>
      </w:r>
      <w:r w:rsidRPr="00BB53F5">
        <w:t xml:space="preserve"> economic backgrounds unable to enter.</w:t>
      </w:r>
      <w:r w:rsidRPr="00BB53F5">
        <w:t xml:space="preserve"> In addition, there could be more provision made for therapists who are already trained and could undertake short ‘top-up’ training to work in NHS settings. </w:t>
      </w:r>
    </w:p>
    <w:p w:rsidR="00CA165D" w:rsidRPr="00BB53F5" w:rsidP="00927A00">
      <w:pPr>
        <w:spacing w:line="240" w:lineRule="auto"/>
      </w:pPr>
      <w:r w:rsidRPr="00BB53F5">
        <w:t>Making the profession more accessible would foster diversity within the workforce</w:t>
      </w:r>
      <w:r w:rsidRPr="00BB53F5">
        <w:t xml:space="preserve">, </w:t>
      </w:r>
      <w:r w:rsidRPr="00BB53F5">
        <w:t>and we continue to</w:t>
      </w:r>
      <w:r w:rsidRPr="00BB53F5">
        <w:t xml:space="preserve"> work on</w:t>
      </w:r>
      <w:r w:rsidRPr="00BB53F5">
        <w:t xml:space="preserve"> </w:t>
      </w:r>
      <w:r w:rsidRPr="00BB53F5">
        <w:t>improv</w:t>
      </w:r>
      <w:r w:rsidRPr="00BB53F5">
        <w:t>ing</w:t>
      </w:r>
      <w:r w:rsidRPr="00BB53F5">
        <w:t xml:space="preserve"> the diversity in our membership and access to psychotherapy for marginalised groups. </w:t>
      </w:r>
      <w:r w:rsidRPr="00BB53F5">
        <w:t>Changing the demographic make-up of the psychological professions is an important step to ensuring they are more representative of the groups they exist to serve</w:t>
      </w:r>
      <w:r w:rsidRPr="00BB53F5">
        <w:t xml:space="preserve">. Nevertheless, this provides no guarantee of a culturally competent workforce. We see cultural competence as essential to ensuring that there is a thriving workforce capable of supporting every individual. </w:t>
      </w:r>
      <w:r w:rsidRPr="00BB53F5">
        <w:t xml:space="preserve">This must include areas such as how mental health </w:t>
      </w:r>
      <w:r w:rsidRPr="00BB53F5">
        <w:t xml:space="preserve">conditions </w:t>
      </w:r>
      <w:r w:rsidRPr="00BB53F5">
        <w:t xml:space="preserve">present differently, the various and specific life events people experience, and the particular language and methods that are not only appropriate but also most likely to be successful for certain groups. </w:t>
      </w:r>
      <w:r w:rsidRPr="00BB53F5">
        <w:t>The</w:t>
      </w:r>
      <w:r w:rsidRPr="00BB53F5">
        <w:t xml:space="preserve"> current evidence suggests that existing measures to enhance the cultural competency of the health workforce, particularly within the NHS, are inconsistent across the country. We strongly recommend that the Government, NHS and regulatory bodies take proactive steps to promote and fund a consistent model of cultural competency training across the UK for mental health practitioners included, where appropriate, as part of continued professional development (CPD).</w:t>
      </w:r>
    </w:p>
    <w:p w:rsidR="00CA165D" w:rsidRPr="00BB53F5" w:rsidP="00122E3F">
      <w:pPr>
        <w:spacing w:line="240" w:lineRule="auto"/>
      </w:pPr>
      <w:r w:rsidRPr="00BB53F5">
        <w:t xml:space="preserve">GPs are often the initial contact for people experiencing symptoms of poor mental health and may have the earliest opportunity to intervene. GPs must be trained to listen to families in a constructive way, as trust can easily break down if GPs are </w:t>
      </w:r>
      <w:r w:rsidRPr="00BB53F5">
        <w:t xml:space="preserve">trained </w:t>
      </w:r>
      <w:r w:rsidRPr="00BB53F5">
        <w:t>to speak sensitively with CYP</w:t>
      </w:r>
      <w:r w:rsidRPr="00BB53F5">
        <w:t xml:space="preserve"> or cannot signpost to appropriate services due to lack of knowledge or availability.</w:t>
      </w:r>
      <w:r>
        <w:rPr>
          <w:rStyle w:val="FootnoteReference"/>
        </w:rPr>
        <w:footnoteReference w:id="17"/>
      </w:r>
      <w:r w:rsidRPr="00BB53F5">
        <w:t xml:space="preserve"> Investment into robust training for GPs and expanding GP provision is essential to prevent the escalation of non-severe or more complex paternal mental health concerns.</w:t>
      </w:r>
    </w:p>
    <w:p w:rsidR="00CA165D" w:rsidRPr="00BB53F5" w:rsidP="00FE61B9">
      <w:pPr>
        <w:pStyle w:val="Heading1"/>
        <w:rPr>
          <w:b/>
          <w:bCs/>
          <w:color w:val="auto"/>
          <w:sz w:val="28"/>
          <w:szCs w:val="28"/>
        </w:rPr>
      </w:pPr>
      <w:r w:rsidRPr="00BB53F5">
        <w:rPr>
          <w:b/>
          <w:bCs/>
          <w:noProof/>
          <w:color w:val="auto"/>
          <w:sz w:val="28"/>
          <w:szCs w:val="28"/>
        </w:rPr>
        <mc:AlternateContent>
          <mc:Choice Requires="wps">
            <w:drawing>
              <wp:anchor distT="0" distB="0" distL="114300" distR="114300" simplePos="0" relativeHeight="251662336" behindDoc="0" locked="0" layoutInCell="1" allowOverlap="1">
                <wp:simplePos x="0" y="0"/>
                <wp:positionH relativeFrom="column">
                  <wp:posOffset>-59902</wp:posOffset>
                </wp:positionH>
                <wp:positionV relativeFrom="paragraph">
                  <wp:posOffset>288925</wp:posOffset>
                </wp:positionV>
                <wp:extent cx="6244247" cy="1139868"/>
                <wp:effectExtent l="0" t="0" r="23495" b="22225"/>
                <wp:wrapNone/>
                <wp:docPr id="1852204012"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244247" cy="1139868"/>
                        </a:xfrm>
                        <a:prstGeom prst="rect">
                          <a:avLst/>
                        </a:prstGeom>
                        <a:noFill/>
                        <a:ln w="1905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7" style="height:89.75pt;margin-left:-4.7pt;margin-top:22.75pt;mso-height-percent:0;mso-height-relative:margin;mso-width-percent:0;mso-width-relative:margin;mso-wrap-distance-bottom:0;mso-wrap-distance-left:9pt;mso-wrap-distance-right:9pt;mso-wrap-distance-top:0;mso-wrap-style:square;position:absolute;v-text-anchor:middle;visibility:visible;width:491.65pt;z-index:251663360" filled="f" strokecolor="#156082" strokeweight="1.5pt"/>
            </w:pict>
          </mc:Fallback>
        </mc:AlternateContent>
      </w:r>
      <w:r w:rsidRPr="00BB53F5">
        <w:rPr>
          <w:b/>
          <w:bCs/>
          <w:color w:val="auto"/>
          <w:sz w:val="28"/>
          <w:szCs w:val="28"/>
        </w:rPr>
        <w:t xml:space="preserve">Integration between education, NHS and community provision   </w:t>
      </w:r>
    </w:p>
    <w:p w:rsidR="00CA165D" w:rsidRPr="00BB53F5" w:rsidP="00A169A7">
      <w:pPr>
        <w:pStyle w:val="ListParagraph"/>
        <w:numPr>
          <w:ilvl w:val="0"/>
          <w:numId w:val="15"/>
        </w:numPr>
        <w:spacing w:line="240" w:lineRule="auto"/>
        <w:rPr>
          <w:sz w:val="20"/>
          <w:szCs w:val="20"/>
        </w:rPr>
      </w:pPr>
      <w:r w:rsidRPr="00BB53F5">
        <w:rPr>
          <w:sz w:val="20"/>
          <w:szCs w:val="20"/>
        </w:rPr>
        <w:t xml:space="preserve">What factors are driving recent trends in children and young people’s mental health, and how have changes in service thresholds influenced both the presentation of need and access to early support? </w:t>
      </w:r>
    </w:p>
    <w:p w:rsidR="00CA165D" w:rsidRPr="00BB53F5" w:rsidP="00A169A7">
      <w:pPr>
        <w:pStyle w:val="ListParagraph"/>
        <w:numPr>
          <w:ilvl w:val="0"/>
          <w:numId w:val="15"/>
        </w:numPr>
        <w:spacing w:line="240" w:lineRule="auto"/>
        <w:rPr>
          <w:sz w:val="20"/>
          <w:szCs w:val="20"/>
        </w:rPr>
      </w:pPr>
      <w:r w:rsidRPr="00BB53F5">
        <w:rPr>
          <w:sz w:val="20"/>
          <w:szCs w:val="20"/>
        </w:rPr>
        <w:t>What evidence is there that effective delivery of mental health support for children and young people in education settings and open-access provision reduces demand on CAMHS and acute NHS services?</w:t>
      </w:r>
    </w:p>
    <w:p w:rsidR="00CA165D" w:rsidRPr="00BB53F5" w:rsidP="00A169A7">
      <w:pPr>
        <w:pStyle w:val="ListParagraph"/>
        <w:numPr>
          <w:ilvl w:val="0"/>
          <w:numId w:val="15"/>
        </w:numPr>
        <w:spacing w:line="240" w:lineRule="auto"/>
        <w:rPr>
          <w:sz w:val="20"/>
          <w:szCs w:val="20"/>
        </w:rPr>
      </w:pPr>
      <w:r w:rsidRPr="00BB53F5">
        <w:rPr>
          <w:sz w:val="20"/>
          <w:szCs w:val="20"/>
        </w:rPr>
        <w:t>How are online services and digital interventions being used to support young people’s mental health? Is there are strong enough evidence base for the use of these services, and how should they be regulated and deployed?</w:t>
      </w:r>
    </w:p>
    <w:p w:rsidR="00CA165D" w:rsidRPr="00BB53F5" w:rsidP="00A169A7">
      <w:pPr>
        <w:spacing w:line="240" w:lineRule="auto"/>
      </w:pPr>
      <w:r w:rsidRPr="00BB53F5">
        <w:t xml:space="preserve">A growing number of CYP </w:t>
      </w:r>
      <w:r w:rsidRPr="00BB53F5">
        <w:t>– around 1 in 5 –</w:t>
      </w:r>
      <w:r w:rsidRPr="00BB53F5">
        <w:t xml:space="preserve"> have a probable mental health condition</w:t>
      </w:r>
      <w:r w:rsidRPr="00BB53F5">
        <w:t xml:space="preserve">, </w:t>
      </w:r>
      <w:r w:rsidRPr="00BB53F5">
        <w:t xml:space="preserve">up from </w:t>
      </w:r>
      <w:r w:rsidRPr="00BB53F5">
        <w:t>1 in 8 less than 10 years ago</w:t>
      </w:r>
      <w:r w:rsidRPr="00BB53F5">
        <w:t>.</w:t>
      </w:r>
      <w:r>
        <w:rPr>
          <w:rStyle w:val="FootnoteReference"/>
        </w:rPr>
        <w:footnoteReference w:id="18"/>
      </w:r>
      <w:r w:rsidRPr="00BB53F5">
        <w:t xml:space="preserve"> </w:t>
      </w:r>
      <w:r w:rsidRPr="00BB53F5">
        <w:t xml:space="preserve">This has led to a huge </w:t>
      </w:r>
      <w:r w:rsidRPr="00BB53F5">
        <w:t>increase in the demand for services, found to be up 27% in a 3-year period.</w:t>
      </w:r>
      <w:r>
        <w:rPr>
          <w:rStyle w:val="FootnoteReference"/>
        </w:rPr>
        <w:footnoteReference w:id="19"/>
      </w:r>
      <w:r w:rsidRPr="00BB53F5">
        <w:t xml:space="preserve"> </w:t>
      </w:r>
      <w:r w:rsidRPr="00BB53F5">
        <w:t xml:space="preserve">There are a number of factors that have driven this increase in the need for support. </w:t>
      </w:r>
      <w:r w:rsidRPr="00BB53F5">
        <w:t xml:space="preserve">Since the pandemic, there has been an increasing number of children who are struggling to engage with the education system, in part due to rising numbers of pupils </w:t>
      </w:r>
      <w:r w:rsidRPr="00BB53F5">
        <w:t>with behavioural challenges or social, emotional or mental health needs.</w:t>
      </w:r>
      <w:r>
        <w:rPr>
          <w:rStyle w:val="FootnoteReference"/>
        </w:rPr>
        <w:footnoteReference w:id="20"/>
      </w:r>
      <w:r w:rsidRPr="00BB53F5">
        <w:t xml:space="preserve"> </w:t>
      </w:r>
      <w:r w:rsidRPr="00BB53F5">
        <w:t>In addition,</w:t>
      </w:r>
      <w:r w:rsidRPr="00BB53F5">
        <w:t xml:space="preserve"> increased time spent on social media is contributing </w:t>
      </w:r>
      <w:r w:rsidRPr="00BB53F5">
        <w:t>to poor CYP.</w:t>
      </w:r>
      <w:r>
        <w:rPr>
          <w:rStyle w:val="FootnoteReference"/>
        </w:rPr>
        <w:footnoteReference w:id="21"/>
      </w:r>
      <w:r w:rsidRPr="00BB53F5">
        <w:t xml:space="preserve"> B</w:t>
      </w:r>
      <w:r w:rsidRPr="00BB53F5">
        <w:t>etween 10 and 15% of teenagers experience loneliness or social isolation, and young people who already experience mental health issues are more likely to be unhappy with the number of online friends they have, and are also less likely to be honest about their emotional state online.</w:t>
      </w:r>
      <w:r>
        <w:rPr>
          <w:rStyle w:val="FootnoteReference"/>
        </w:rPr>
        <w:footnoteReference w:id="22"/>
      </w:r>
      <w:r w:rsidRPr="00BB53F5">
        <w:t xml:space="preserve"> Moreover, 70% of children have witnessed real-world violence online and a third of teenagers had also seen content on social media that promoted violence against women and girls.</w:t>
      </w:r>
      <w:r>
        <w:rPr>
          <w:rStyle w:val="FootnoteReference"/>
        </w:rPr>
        <w:footnoteReference w:id="23"/>
      </w:r>
      <w:r w:rsidRPr="00BB53F5">
        <w:t xml:space="preserve"> </w:t>
      </w:r>
      <w:r w:rsidRPr="00BB53F5">
        <w:t xml:space="preserve">It is important that we have the infrastructure to act </w:t>
      </w:r>
      <w:r w:rsidRPr="00BB53F5">
        <w:t xml:space="preserve">either preventatively or intervene early to prevent the exacerbation of poor mental health </w:t>
      </w:r>
      <w:r w:rsidRPr="00BB53F5">
        <w:t xml:space="preserve">and the need for more intensive treatment. </w:t>
      </w:r>
      <w:r w:rsidRPr="00BB53F5">
        <w:t>Currently, there is an under-investment in preventative and early intervention services, with funding consistently being cut to prioritise other services.</w:t>
      </w:r>
      <w:r>
        <w:rPr>
          <w:rStyle w:val="FootnoteReference"/>
        </w:rPr>
        <w:footnoteReference w:id="24"/>
      </w:r>
      <w:r w:rsidRPr="00BB53F5">
        <w:t xml:space="preserve"> We would welcome ring-fenced funding for preventative mental health services to ensure that funding is not redirected to provision that intervenes in more serious or immediate issues. </w:t>
      </w:r>
      <w:r w:rsidRPr="00BB53F5">
        <w:t xml:space="preserve">We </w:t>
      </w:r>
      <w:r w:rsidRPr="00BB53F5">
        <w:t>recognise</w:t>
      </w:r>
      <w:r w:rsidRPr="00BB53F5">
        <w:t xml:space="preserve"> that improving mental health services will take more than money, however it is concerning that the share of funding for mental health is decreasing, despite the acute and growing need.</w:t>
      </w:r>
      <w:r>
        <w:rPr>
          <w:rStyle w:val="FootnoteReference"/>
        </w:rPr>
        <w:footnoteReference w:id="25"/>
      </w:r>
      <w:r w:rsidRPr="00BB53F5">
        <w:t xml:space="preserve"> </w:t>
      </w:r>
      <w:r w:rsidRPr="00BB53F5">
        <w:t>Achieving a system of preventative mental healthcare can only be achieved using a person-centred approach, starting from perinatal and antenatal care, that offers a range of treatment over individualistic, one-size-fits-all pathways.</w:t>
      </w:r>
      <w:r>
        <w:rPr>
          <w:rStyle w:val="FootnoteReference"/>
        </w:rPr>
        <w:footnoteReference w:id="26"/>
      </w:r>
    </w:p>
    <w:p w:rsidR="00CA165D" w:rsidRPr="00BB53F5" w:rsidP="00A169A7">
      <w:pPr>
        <w:spacing w:line="240" w:lineRule="auto"/>
      </w:pPr>
      <w:r w:rsidRPr="00BB53F5">
        <w:t>While community-based services are vital, digital therapies have the potential to expand access to mental health services, particularly for those who live in remote or less accessible areas of the UK.</w:t>
      </w:r>
      <w:r>
        <w:rPr>
          <w:rStyle w:val="FootnoteReference"/>
        </w:rPr>
        <w:footnoteReference w:id="27"/>
      </w:r>
      <w:r w:rsidRPr="00BB53F5">
        <w:t xml:space="preserve"> Remote therapy also allows mental health practitioners to provide support based on their capacity and not their location, thereby reducing postcode lotteries and location-based support. Whilst acknowledging the value of technology in expanding productivity and access to services, it is important to recognise that mental health technologies, such as remote therapeutic support, are not always the right fit for everyone.</w:t>
      </w:r>
      <w:r>
        <w:rPr>
          <w:rStyle w:val="FootnoteReference"/>
        </w:rPr>
        <w:footnoteReference w:id="28"/>
      </w:r>
      <w:r w:rsidRPr="00BB53F5">
        <w:t xml:space="preserve"> Access to devices that enable digital mental health support, privacy concerns, and data protection are all factors that may influence a service user’s or practitioner’s ability to utilise an online service.</w:t>
      </w:r>
      <w:r>
        <w:rPr>
          <w:rStyle w:val="FootnoteReference"/>
        </w:rPr>
        <w:footnoteReference w:id="29"/>
      </w:r>
      <w:r w:rsidRPr="00BB53F5">
        <w:t xml:space="preserve"> These factors need to be taken into account when investing further in digital support, and in-person services should still be a priority area for funding.</w:t>
      </w:r>
    </w:p>
    <w:p w:rsidR="00CA165D" w:rsidRPr="00BB53F5" w:rsidP="00A169A7">
      <w:pPr>
        <w:spacing w:line="240" w:lineRule="auto"/>
      </w:pPr>
      <w:r w:rsidRPr="00BB53F5">
        <w:t>The i</w:t>
      </w:r>
      <w:r w:rsidRPr="00BB53F5">
        <w:t xml:space="preserve">ssues </w:t>
      </w:r>
      <w:r w:rsidRPr="00BB53F5">
        <w:t xml:space="preserve">that CYP face </w:t>
      </w:r>
      <w:r w:rsidRPr="00BB53F5">
        <w:t xml:space="preserve">often </w:t>
      </w:r>
      <w:r w:rsidRPr="00BB53F5">
        <w:t xml:space="preserve">do not present singularly or exist in a vacuum. </w:t>
      </w:r>
      <w:r w:rsidRPr="00BB53F5">
        <w:t>It is well-established</w:t>
      </w:r>
      <w:r w:rsidRPr="00BB53F5">
        <w:t xml:space="preserve"> </w:t>
      </w:r>
      <w:r w:rsidRPr="00BB53F5">
        <w:t xml:space="preserve">that socioeconomic status </w:t>
      </w:r>
      <w:r w:rsidRPr="00BB53F5">
        <w:t xml:space="preserve">puts </w:t>
      </w:r>
      <w:r w:rsidRPr="00BB53F5">
        <w:t>CYP</w:t>
      </w:r>
      <w:r w:rsidRPr="00BB53F5">
        <w:t xml:space="preserve"> at different levels of risk of experiencing poor mental health and that</w:t>
      </w:r>
      <w:r w:rsidRPr="00BB53F5">
        <w:t xml:space="preserve">, without the correct support, this can have a determinative influence across the life course. </w:t>
      </w:r>
      <w:r w:rsidRPr="00BB53F5">
        <w:t xml:space="preserve">Only 20% of </w:t>
      </w:r>
      <w:r w:rsidRPr="00BB53F5">
        <w:t xml:space="preserve">a person’s </w:t>
      </w:r>
      <w:r w:rsidRPr="00BB53F5">
        <w:t xml:space="preserve">health is determined by healthcare, so tackling systemic and generational determinants of health must be a priority. </w:t>
      </w:r>
      <w:r w:rsidRPr="00BB53F5">
        <w:t>Children from more disadvantaged backgrounds are at risk of experiencing more adverse childhood experiences (ACEs) or additional challenges that cause or contribute to traumatic events</w:t>
      </w:r>
      <w:r w:rsidRPr="00BB53F5">
        <w:t xml:space="preserve">, </w:t>
      </w:r>
      <w:r w:rsidRPr="00BB53F5">
        <w:t xml:space="preserve">such as </w:t>
      </w:r>
      <w:r w:rsidRPr="00BB53F5">
        <w:t>experiencing financial and food poverty and housing instability</w:t>
      </w:r>
      <w:r w:rsidRPr="00BB53F5">
        <w:t>.</w:t>
      </w:r>
      <w:r>
        <w:rPr>
          <w:rStyle w:val="FootnoteReference"/>
        </w:rPr>
        <w:footnoteReference w:id="30"/>
      </w:r>
      <w:r w:rsidRPr="00BB53F5">
        <w:t xml:space="preserve"> </w:t>
      </w:r>
      <w:r w:rsidRPr="00BB53F5">
        <w:t xml:space="preserve">4.5m children currently live in poverty and a further 400,000 will be by the end of the </w:t>
      </w:r>
      <w:r w:rsidRPr="00BB53F5">
        <w:t>decade, exemplifying</w:t>
      </w:r>
      <w:r w:rsidRPr="00BB53F5">
        <w:t xml:space="preserve"> the urgency to address barriers to support people from deprived or marginalised backgrounds. </w:t>
      </w:r>
      <w:r w:rsidRPr="00BB53F5">
        <w:t>By the time children begin school, there can be stark differences in their health and development that track along well-established lines of inequality.</w:t>
      </w:r>
      <w:r w:rsidRPr="00BB53F5">
        <w:t xml:space="preserve"> </w:t>
      </w:r>
      <w:r w:rsidRPr="00BB53F5">
        <w:t xml:space="preserve">Exposure to ACEs </w:t>
      </w:r>
      <w:r w:rsidRPr="00BB53F5">
        <w:t>or other challenges</w:t>
      </w:r>
      <w:r w:rsidRPr="00BB53F5">
        <w:t xml:space="preserve"> have long-lasting impacts</w:t>
      </w:r>
      <w:r w:rsidRPr="00BB53F5">
        <w:t xml:space="preserve"> on CYP mental health</w:t>
      </w:r>
      <w:r w:rsidRPr="00BB53F5">
        <w:t xml:space="preserve">, meaning that our health and education systems must create </w:t>
      </w:r>
      <w:r w:rsidRPr="00BB53F5">
        <w:t xml:space="preserve">foundational positive childhood experiences </w:t>
      </w:r>
      <w:r w:rsidRPr="00BB53F5">
        <w:t>that will deliver benefits</w:t>
      </w:r>
      <w:r w:rsidRPr="00BB53F5">
        <w:t xml:space="preserve"> </w:t>
      </w:r>
      <w:r w:rsidRPr="00BB53F5">
        <w:t>across</w:t>
      </w:r>
      <w:r w:rsidRPr="00BB53F5">
        <w:t xml:space="preserve"> the life course. </w:t>
      </w:r>
    </w:p>
    <w:p w:rsidR="00CA165D" w:rsidRPr="00BB53F5" w:rsidP="00A169A7">
      <w:pPr>
        <w:spacing w:line="240" w:lineRule="auto"/>
      </w:pPr>
      <w:r w:rsidRPr="00BB53F5">
        <w:t>Socioeconomic inequality is a</w:t>
      </w:r>
      <w:r w:rsidRPr="00BB53F5">
        <w:t xml:space="preserve">n intersectional and </w:t>
      </w:r>
      <w:r w:rsidRPr="00BB53F5">
        <w:t>multi-faceted problem, requiring a whole systems approach</w:t>
      </w:r>
      <w:r w:rsidRPr="00BB53F5">
        <w:t xml:space="preserve">. Carefully designed services that are accessible and embedded in communities are more critical than ever, given the link between socioeconomic factors as determinants of health and the growing number of children experiencing disadvantage. </w:t>
      </w:r>
      <w:r w:rsidRPr="00BB53F5">
        <w:t xml:space="preserve">Trauma-informed therapeutic practices that understand how childhood trauma can manifest in both child and adult mental health is, therefore, </w:t>
      </w:r>
      <w:r w:rsidRPr="00BB53F5">
        <w:t>necessary</w:t>
      </w:r>
      <w:r w:rsidRPr="00BB53F5">
        <w:t>.</w:t>
      </w:r>
      <w:r>
        <w:rPr>
          <w:rStyle w:val="FootnoteReference"/>
        </w:rPr>
        <w:footnoteReference w:id="31"/>
      </w:r>
      <w:r w:rsidRPr="00BB53F5">
        <w:t xml:space="preserve"> This would result in less punitive measures being used by schools, the police, and healthcare staff to deal with problematic behaviours</w:t>
      </w:r>
      <w:r w:rsidRPr="00BB53F5">
        <w:t xml:space="preserve">, which in turn will lead to </w:t>
      </w:r>
      <w:r w:rsidRPr="00BB53F5">
        <w:t>improved behaviour, attendance and wellbeing</w:t>
      </w:r>
      <w:r w:rsidRPr="00BB53F5">
        <w:t>.</w:t>
      </w:r>
      <w:r>
        <w:rPr>
          <w:rStyle w:val="FootnoteReference"/>
        </w:rPr>
        <w:footnoteReference w:id="32"/>
      </w:r>
      <w:r w:rsidRPr="00BB53F5">
        <w:t xml:space="preserve"> Appropriate, accessible, and timely therapeutic interventions must be teamed with other support, such as</w:t>
      </w:r>
      <w:r w:rsidRPr="00BB53F5">
        <w:t xml:space="preserve"> social prescribing,</w:t>
      </w:r>
      <w:r w:rsidRPr="00BB53F5">
        <w:t xml:space="preserve"> </w:t>
      </w:r>
      <w:r w:rsidRPr="00BB53F5">
        <w:t xml:space="preserve">increasing </w:t>
      </w:r>
      <w:r w:rsidRPr="00BB53F5">
        <w:t xml:space="preserve">well-paid and meaningful </w:t>
      </w:r>
      <w:r w:rsidRPr="00BB53F5">
        <w:t>training pathways or improving access to youth services</w:t>
      </w:r>
      <w:r w:rsidRPr="00BB53F5">
        <w:t xml:space="preserve"> to </w:t>
      </w:r>
      <w:r w:rsidRPr="00BB53F5">
        <w:t>facilitate play and social connection</w:t>
      </w:r>
      <w:r w:rsidRPr="00BB53F5">
        <w:t>.</w:t>
      </w:r>
      <w:r>
        <w:rPr>
          <w:rStyle w:val="FootnoteReference"/>
        </w:rPr>
        <w:footnoteReference w:id="33"/>
      </w:r>
    </w:p>
    <w:p w:rsidR="00CA165D" w:rsidP="00D155F7">
      <w:pPr>
        <w:spacing w:line="240" w:lineRule="auto"/>
      </w:pPr>
      <w:r w:rsidRPr="00BB53F5">
        <w:t xml:space="preserve">Without intervening early and tackling inequalities in access and outcomes, </w:t>
      </w:r>
      <w:r w:rsidRPr="00BB53F5">
        <w:t xml:space="preserve">we will continue to expose CYP to potentially </w:t>
      </w:r>
      <w:r w:rsidRPr="00BB53F5">
        <w:t>life-long consequences</w:t>
      </w:r>
      <w:r w:rsidRPr="00BB53F5">
        <w:t xml:space="preserve">, from increasing the risk of physical and mental illness or substance abuse, to reducing academic and employment performance or quality of life. </w:t>
      </w:r>
      <w:r w:rsidRPr="00BB53F5">
        <w:t>To make a meaningful difference in improving the mental health of all CYP, we need to commit to tackling these factors together.</w:t>
      </w:r>
      <w:r w:rsidRPr="00BB53F5">
        <w:t xml:space="preserve"> </w:t>
      </w:r>
    </w:p>
    <w:p w:rsidR="00BB53F5" w:rsidP="00D155F7">
      <w:pPr>
        <w:spacing w:line="240" w:lineRule="auto"/>
      </w:pPr>
    </w:p>
    <w:p w:rsidR="00BB53F5" w:rsidP="00D155F7">
      <w:pPr>
        <w:spacing w:line="240" w:lineRule="auto"/>
      </w:pPr>
    </w:p>
    <w:p w:rsidR="00BB53F5" w:rsidRPr="00BB53F5" w:rsidP="00D155F7">
      <w:pPr>
        <w:spacing w:line="240" w:lineRule="auto"/>
        <w:rPr>
          <w:i/>
          <w:iCs/>
        </w:rPr>
      </w:pPr>
      <w:r w:rsidRPr="00BB53F5">
        <w:rPr>
          <w:i/>
          <w:iCs/>
        </w:rPr>
        <w:t>March 2026</w:t>
      </w:r>
    </w:p>
    <w:sectPr w:rsidSect="006844A7">
      <w:pgSz w:w="11906" w:h="16838"/>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Light">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A165D" w:rsidP="00BF13BD">
      <w:pPr>
        <w:spacing w:after="0" w:line="240" w:lineRule="auto"/>
      </w:pPr>
      <w:r>
        <w:separator/>
      </w:r>
    </w:p>
  </w:footnote>
  <w:footnote w:type="continuationSeparator" w:id="1">
    <w:p w:rsidR="00CA165D" w:rsidP="00BF13BD">
      <w:pPr>
        <w:spacing w:after="0" w:line="240" w:lineRule="auto"/>
      </w:pPr>
      <w:r>
        <w:continuationSeparator/>
      </w:r>
    </w:p>
  </w:footnote>
  <w:footnote w:id="2">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 xml:space="preserve">Spencer et al, ‘Selective and indicated UK school-based mental health interventions: a systematic review and narrative synthesis’ </w:t>
      </w:r>
      <w:r w:rsidRPr="00EE5200">
        <w:rPr>
          <w:rFonts w:ascii="Aptos Light" w:hAnsi="Aptos Light" w:cs="Arial"/>
          <w:i/>
          <w:iCs/>
          <w:color w:val="3A3A3A" w:themeColor="background2" w:themeShade="40"/>
          <w:sz w:val="16"/>
          <w:szCs w:val="16"/>
        </w:rPr>
        <w:t>Journal of Mental Health</w:t>
      </w:r>
      <w:r w:rsidRPr="00EE5200">
        <w:rPr>
          <w:rFonts w:ascii="Aptos Light" w:hAnsi="Aptos Light" w:cs="Arial"/>
          <w:color w:val="3A3A3A" w:themeColor="background2" w:themeShade="40"/>
          <w:sz w:val="16"/>
          <w:szCs w:val="16"/>
        </w:rPr>
        <w:t xml:space="preserve">, 34(4), 2025. </w:t>
      </w:r>
    </w:p>
  </w:footnote>
  <w:footnote w:id="3">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Centre for Mental Health, ‘</w:t>
      </w:r>
      <w:r w:rsidRPr="00EE5200">
        <w:rPr>
          <w:rFonts w:ascii="Aptos Light" w:hAnsi="Aptos Light" w:cs="Arial"/>
          <w:i/>
          <w:iCs/>
          <w:color w:val="3A3A3A" w:themeColor="background2" w:themeShade="40"/>
          <w:sz w:val="16"/>
          <w:szCs w:val="16"/>
        </w:rPr>
        <w:t>Future Minds: A roadmap to transform children and young people’s mental health by 2035</w:t>
      </w:r>
      <w:r w:rsidRPr="00EE5200">
        <w:rPr>
          <w:rFonts w:ascii="Aptos Light" w:hAnsi="Aptos Light" w:cs="Arial"/>
          <w:i/>
          <w:iCs/>
          <w:color w:val="3A3A3A" w:themeColor="background2" w:themeShade="40"/>
          <w:sz w:val="16"/>
          <w:szCs w:val="16"/>
        </w:rPr>
        <w:t>’</w:t>
      </w:r>
      <w:r w:rsidRPr="00EE5200">
        <w:rPr>
          <w:rFonts w:ascii="Aptos Light" w:hAnsi="Aptos Light" w:cs="Arial"/>
          <w:color w:val="3A3A3A" w:themeColor="background2" w:themeShade="40"/>
          <w:sz w:val="16"/>
          <w:szCs w:val="16"/>
        </w:rPr>
        <w:t xml:space="preserve">, Jan 2026. </w:t>
      </w:r>
    </w:p>
  </w:footnote>
  <w:footnote w:id="4">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UKCP</w:t>
      </w:r>
      <w:r w:rsidRPr="00EE5200">
        <w:rPr>
          <w:rFonts w:ascii="Aptos Light" w:hAnsi="Aptos Light" w:cs="Arial"/>
          <w:color w:val="3A3A3A" w:themeColor="background2" w:themeShade="40"/>
          <w:sz w:val="16"/>
          <w:szCs w:val="16"/>
        </w:rPr>
        <w:t>, ‘</w:t>
      </w:r>
      <w:r w:rsidRPr="00EE5200">
        <w:rPr>
          <w:rFonts w:ascii="Aptos Light" w:hAnsi="Aptos Light" w:cs="Arial"/>
          <w:i/>
          <w:iCs/>
          <w:color w:val="3A3A3A" w:themeColor="background2" w:themeShade="40"/>
          <w:sz w:val="16"/>
          <w:szCs w:val="16"/>
        </w:rPr>
        <w:t>UKCP 2024 member survey report’</w:t>
      </w:r>
      <w:r w:rsidRPr="00EE5200">
        <w:rPr>
          <w:rFonts w:ascii="Aptos Light" w:hAnsi="Aptos Light" w:cs="Arial"/>
          <w:color w:val="3A3A3A" w:themeColor="background2" w:themeShade="40"/>
          <w:sz w:val="16"/>
          <w:szCs w:val="16"/>
        </w:rPr>
        <w:t xml:space="preserve">, 2024. </w:t>
      </w:r>
      <w:r w:rsidRPr="00EE5200">
        <w:rPr>
          <w:rFonts w:ascii="Aptos Light" w:hAnsi="Aptos Light" w:cs="Arial"/>
          <w:color w:val="3A3A3A" w:themeColor="background2" w:themeShade="40"/>
          <w:sz w:val="16"/>
          <w:szCs w:val="16"/>
        </w:rPr>
        <w:t xml:space="preserve"> </w:t>
      </w:r>
    </w:p>
  </w:footnote>
  <w:footnote w:id="5">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Irvine et al, ‘</w:t>
      </w:r>
      <w:r w:rsidRPr="00EE5200">
        <w:rPr>
          <w:rFonts w:ascii="Aptos Light" w:hAnsi="Aptos Light" w:cs="Arial"/>
          <w:color w:val="3A3A3A" w:themeColor="background2" w:themeShade="40"/>
          <w:sz w:val="16"/>
          <w:szCs w:val="16"/>
        </w:rPr>
        <w:t xml:space="preserve">‘Less Money, Less Time, More Complex Clients’: The Impacts of Short-Term Funding for Third Sector Employability Programmes and Potential for Moral Distress’, </w:t>
      </w:r>
      <w:r w:rsidRPr="00EE5200">
        <w:rPr>
          <w:rFonts w:ascii="Aptos Light" w:hAnsi="Aptos Light" w:cs="Arial"/>
          <w:i/>
          <w:iCs/>
          <w:color w:val="3A3A3A" w:themeColor="background2" w:themeShade="40"/>
          <w:sz w:val="16"/>
          <w:szCs w:val="16"/>
        </w:rPr>
        <w:t>Social Policy &amp; Administration</w:t>
      </w:r>
      <w:r w:rsidRPr="00EE5200">
        <w:rPr>
          <w:rFonts w:ascii="Aptos Light" w:hAnsi="Aptos Light" w:cs="Arial"/>
          <w:color w:val="3A3A3A" w:themeColor="background2" w:themeShade="40"/>
          <w:sz w:val="16"/>
          <w:szCs w:val="16"/>
        </w:rPr>
        <w:t xml:space="preserve">, 59(5), 2024. </w:t>
      </w:r>
    </w:p>
  </w:footnote>
  <w:footnote w:id="6">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Children’s Commissioner, ‘</w:t>
      </w:r>
      <w:r w:rsidRPr="00EE5200">
        <w:rPr>
          <w:rFonts w:ascii="Aptos Light" w:hAnsi="Aptos Light" w:cs="Arial"/>
          <w:i/>
          <w:iCs/>
          <w:color w:val="3A3A3A" w:themeColor="background2" w:themeShade="40"/>
          <w:sz w:val="16"/>
          <w:szCs w:val="16"/>
        </w:rPr>
        <w:t>Children’s Commissioner calls for urgent action to tackle waiting times and inequality in mental health care for children’</w:t>
      </w:r>
      <w:r w:rsidRPr="00EE5200">
        <w:rPr>
          <w:rFonts w:ascii="Aptos Light" w:hAnsi="Aptos Light" w:cs="Arial"/>
          <w:color w:val="3A3A3A" w:themeColor="background2" w:themeShade="40"/>
          <w:sz w:val="16"/>
          <w:szCs w:val="16"/>
        </w:rPr>
        <w:t xml:space="preserve">, May 2025. </w:t>
      </w:r>
    </w:p>
  </w:footnote>
  <w:footnote w:id="7">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Rothon</w:t>
      </w:r>
      <w:r w:rsidRPr="00EE5200">
        <w:rPr>
          <w:rFonts w:ascii="Aptos Light" w:hAnsi="Aptos Light" w:cs="Arial"/>
          <w:color w:val="3A3A3A" w:themeColor="background2" w:themeShade="40"/>
          <w:sz w:val="16"/>
          <w:szCs w:val="16"/>
        </w:rPr>
        <w:t xml:space="preserve"> et al, ‘Family social support, community "social capital" and adolescents' mental health and educational outcomes: a longitudinal study in England’, </w:t>
      </w:r>
      <w:r w:rsidRPr="00EE5200">
        <w:rPr>
          <w:rFonts w:ascii="Aptos Light" w:hAnsi="Aptos Light" w:cs="Arial"/>
          <w:i/>
          <w:iCs/>
          <w:color w:val="3A3A3A" w:themeColor="background2" w:themeShade="40"/>
          <w:sz w:val="16"/>
          <w:szCs w:val="16"/>
        </w:rPr>
        <w:t>Social Psychiatry &amp; Psychiatric Epidemiology</w:t>
      </w:r>
      <w:r w:rsidRPr="00EE5200">
        <w:rPr>
          <w:rFonts w:ascii="Aptos Light" w:hAnsi="Aptos Light" w:cs="Arial"/>
          <w:color w:val="3A3A3A" w:themeColor="background2" w:themeShade="40"/>
          <w:sz w:val="16"/>
          <w:szCs w:val="16"/>
        </w:rPr>
        <w:t xml:space="preserve">, 47(5), 2012. </w:t>
      </w:r>
      <w:r w:rsidRPr="00EE5200">
        <w:rPr>
          <w:rFonts w:ascii="Aptos Light" w:hAnsi="Aptos Light" w:cs="Arial"/>
          <w:color w:val="3A3A3A" w:themeColor="background2" w:themeShade="40"/>
          <w:sz w:val="16"/>
          <w:szCs w:val="16"/>
        </w:rPr>
        <w:t xml:space="preserve">Centre for Mental Health, ‘Future Minds: A roadmap to transform children and young people’s mental health by 2035’, Jan 2026. </w:t>
      </w:r>
    </w:p>
  </w:footnote>
  <w:footnote w:id="8">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Care Quality Commission, ‘</w:t>
      </w:r>
      <w:r w:rsidRPr="00EE5200">
        <w:rPr>
          <w:rFonts w:ascii="Aptos Light" w:hAnsi="Aptos Light" w:cs="Arial"/>
          <w:i/>
          <w:iCs/>
          <w:color w:val="3A3A3A" w:themeColor="background2" w:themeShade="40"/>
          <w:sz w:val="16"/>
          <w:szCs w:val="16"/>
        </w:rPr>
        <w:t>Children and young people’s survey 2024’</w:t>
      </w:r>
      <w:r w:rsidRPr="00EE5200">
        <w:rPr>
          <w:rFonts w:ascii="Aptos Light" w:hAnsi="Aptos Light" w:cs="Arial"/>
          <w:color w:val="3A3A3A" w:themeColor="background2" w:themeShade="40"/>
          <w:sz w:val="16"/>
          <w:szCs w:val="16"/>
        </w:rPr>
        <w:t xml:space="preserve">, May 2025. </w:t>
      </w:r>
      <w:r w:rsidRPr="00EE5200">
        <w:rPr>
          <w:rFonts w:ascii="Aptos Light" w:hAnsi="Aptos Light" w:cs="Arial"/>
          <w:color w:val="3A3A3A" w:themeColor="background2" w:themeShade="40"/>
          <w:sz w:val="16"/>
          <w:szCs w:val="16"/>
        </w:rPr>
        <w:t>National Children’s Bureau, ‘</w:t>
      </w:r>
      <w:r w:rsidRPr="00EE5200">
        <w:rPr>
          <w:rFonts w:ascii="Aptos Light" w:hAnsi="Aptos Light" w:cs="Arial"/>
          <w:i/>
          <w:iCs/>
          <w:color w:val="3A3A3A" w:themeColor="background2" w:themeShade="40"/>
          <w:sz w:val="16"/>
          <w:szCs w:val="16"/>
        </w:rPr>
        <w:t>Children and Young People’s Opinions and Experiences of Healthcare</w:t>
      </w:r>
      <w:r w:rsidRPr="00EE5200">
        <w:rPr>
          <w:rFonts w:ascii="Aptos Light" w:hAnsi="Aptos Light" w:cs="Arial"/>
          <w:color w:val="3A3A3A" w:themeColor="background2" w:themeShade="40"/>
          <w:sz w:val="16"/>
          <w:szCs w:val="16"/>
        </w:rPr>
        <w:t xml:space="preserve">’, May 2021. </w:t>
      </w:r>
    </w:p>
  </w:footnote>
  <w:footnote w:id="9">
    <w:p w:rsidR="00CA165D" w:rsidRPr="00EE5200">
      <w:pPr>
        <w:pStyle w:val="FootnoteText"/>
        <w:rPr>
          <w:rFonts w:ascii="Aptos Light" w:hAnsi="Aptos Light"/>
          <w:color w:val="3A3A3A" w:themeColor="background2" w:themeShade="40"/>
          <w:sz w:val="16"/>
          <w:szCs w:val="16"/>
        </w:rPr>
      </w:pPr>
      <w:r w:rsidRPr="00EE5200">
        <w:rPr>
          <w:rStyle w:val="FootnoteReference"/>
          <w:rFonts w:ascii="Aptos Light" w:hAnsi="Aptos Light"/>
          <w:color w:val="3A3A3A" w:themeColor="background2" w:themeShade="40"/>
          <w:sz w:val="16"/>
          <w:szCs w:val="16"/>
        </w:rPr>
        <w:footnoteRef/>
      </w:r>
      <w:r w:rsidRPr="00EE5200">
        <w:rPr>
          <w:rFonts w:ascii="Aptos Light" w:hAnsi="Aptos Light"/>
          <w:color w:val="3A3A3A" w:themeColor="background2" w:themeShade="40"/>
          <w:sz w:val="16"/>
          <w:szCs w:val="16"/>
        </w:rPr>
        <w:t xml:space="preserve"> Cheung et al, ‘The Effects of the Arts and Arts Therapies on Mental Health Outcomes of Children and Young People: A Systematic Review and Meta-Analysis’, </w:t>
      </w:r>
      <w:r w:rsidRPr="00EE5200">
        <w:rPr>
          <w:rFonts w:ascii="Aptos Light" w:hAnsi="Aptos Light"/>
          <w:i/>
          <w:iCs/>
          <w:color w:val="3A3A3A" w:themeColor="background2" w:themeShade="40"/>
          <w:sz w:val="16"/>
          <w:szCs w:val="16"/>
        </w:rPr>
        <w:t>Preprint in the Lancet</w:t>
      </w:r>
      <w:r w:rsidRPr="00EE5200">
        <w:rPr>
          <w:rFonts w:ascii="Aptos Light" w:hAnsi="Aptos Light"/>
          <w:color w:val="3A3A3A" w:themeColor="background2" w:themeShade="40"/>
          <w:sz w:val="16"/>
          <w:szCs w:val="16"/>
        </w:rPr>
        <w:t xml:space="preserve">, 2026. </w:t>
      </w:r>
    </w:p>
  </w:footnote>
  <w:footnote w:id="10">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 xml:space="preserve">Weisz et al, </w:t>
      </w:r>
      <w:r w:rsidRPr="00EE5200">
        <w:rPr>
          <w:rFonts w:ascii="Aptos Light" w:hAnsi="Aptos Light" w:cs="Arial"/>
          <w:color w:val="3A3A3A" w:themeColor="background2" w:themeShade="40"/>
          <w:sz w:val="16"/>
          <w:szCs w:val="16"/>
        </w:rPr>
        <w:t xml:space="preserve">‘Effectiveness of psychotherapy with children and adolescents: A meta-analysis for clinicians’, </w:t>
      </w:r>
      <w:r w:rsidRPr="00EE5200">
        <w:rPr>
          <w:rFonts w:ascii="Aptos Light" w:hAnsi="Aptos Light" w:cs="Arial"/>
          <w:i/>
          <w:iCs/>
          <w:color w:val="3A3A3A" w:themeColor="background2" w:themeShade="40"/>
          <w:sz w:val="16"/>
          <w:szCs w:val="16"/>
        </w:rPr>
        <w:t>Journal of Consulting and Clinical Psychology</w:t>
      </w:r>
      <w:r w:rsidRPr="00EE5200">
        <w:rPr>
          <w:rFonts w:ascii="Aptos Light" w:hAnsi="Aptos Light" w:cs="Arial"/>
          <w:color w:val="3A3A3A" w:themeColor="background2" w:themeShade="40"/>
          <w:sz w:val="16"/>
          <w:szCs w:val="16"/>
        </w:rPr>
        <w:t xml:space="preserve">, 55(4), 1987. </w:t>
      </w:r>
    </w:p>
  </w:footnote>
  <w:footnote w:id="11">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Wata</w:t>
      </w:r>
      <w:r w:rsidRPr="00EE5200">
        <w:rPr>
          <w:rFonts w:ascii="Aptos Light" w:hAnsi="Aptos Light" w:cs="Arial"/>
          <w:color w:val="3A3A3A" w:themeColor="background2" w:themeShade="40"/>
          <w:sz w:val="16"/>
          <w:szCs w:val="16"/>
        </w:rPr>
        <w:t xml:space="preserve">nabe et al, ‘Psychotherapy for depression among children and adolescents: a systematic review’, </w:t>
      </w:r>
      <w:r w:rsidRPr="00EE5200">
        <w:rPr>
          <w:rFonts w:ascii="Aptos Light" w:hAnsi="Aptos Light" w:cs="Arial"/>
          <w:i/>
          <w:iCs/>
          <w:color w:val="3A3A3A" w:themeColor="background2" w:themeShade="40"/>
          <w:sz w:val="16"/>
          <w:szCs w:val="16"/>
        </w:rPr>
        <w:t xml:space="preserve">Acta </w:t>
      </w:r>
      <w:r w:rsidRPr="00EE5200">
        <w:rPr>
          <w:rFonts w:ascii="Aptos Light" w:hAnsi="Aptos Light" w:cs="Arial"/>
          <w:i/>
          <w:iCs/>
          <w:color w:val="3A3A3A" w:themeColor="background2" w:themeShade="40"/>
          <w:sz w:val="16"/>
          <w:szCs w:val="16"/>
        </w:rPr>
        <w:t>Psychiatrica Scandinavica</w:t>
      </w:r>
      <w:r w:rsidRPr="00EE5200">
        <w:rPr>
          <w:rFonts w:ascii="Aptos Light" w:hAnsi="Aptos Light" w:cs="Arial"/>
          <w:color w:val="3A3A3A" w:themeColor="background2" w:themeShade="40"/>
          <w:sz w:val="16"/>
          <w:szCs w:val="16"/>
        </w:rPr>
        <w:t>, 116(2)</w:t>
      </w:r>
      <w:r w:rsidRPr="00EE5200">
        <w:rPr>
          <w:rFonts w:ascii="Aptos Light" w:hAnsi="Aptos Light" w:cs="Arial"/>
          <w:color w:val="3A3A3A" w:themeColor="background2" w:themeShade="40"/>
          <w:sz w:val="16"/>
          <w:szCs w:val="16"/>
        </w:rPr>
        <w:t xml:space="preserve">, 2007. </w:t>
      </w:r>
      <w:r w:rsidRPr="00EE5200">
        <w:rPr>
          <w:rFonts w:ascii="Aptos Light" w:hAnsi="Aptos Light" w:cs="Arial"/>
          <w:color w:val="3A3A3A" w:themeColor="background2" w:themeShade="40"/>
          <w:sz w:val="16"/>
          <w:szCs w:val="16"/>
        </w:rPr>
        <w:t xml:space="preserve">Dickson et al, </w:t>
      </w:r>
      <w:r w:rsidRPr="00EE5200">
        <w:rPr>
          <w:rFonts w:ascii="Aptos Light" w:hAnsi="Aptos Light" w:cs="Arial"/>
          <w:color w:val="3A3A3A" w:themeColor="background2" w:themeShade="40"/>
          <w:sz w:val="16"/>
          <w:szCs w:val="16"/>
        </w:rPr>
        <w:t xml:space="preserve">‘Impact of Psychotherapy for Children and Adolescents with Anxiety Disorders on Global and Domain-Specific Functioning: A Systematic Review and Meta-analysis’, </w:t>
      </w:r>
      <w:r w:rsidRPr="00EE5200">
        <w:rPr>
          <w:rFonts w:ascii="Aptos Light" w:hAnsi="Aptos Light" w:cs="Arial"/>
          <w:i/>
          <w:iCs/>
          <w:color w:val="3A3A3A" w:themeColor="background2" w:themeShade="40"/>
          <w:sz w:val="16"/>
          <w:szCs w:val="16"/>
        </w:rPr>
        <w:t>Clinical Child and Family Psychology Review</w:t>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 xml:space="preserve">2022. </w:t>
      </w:r>
      <w:r w:rsidRPr="00EE5200">
        <w:rPr>
          <w:rFonts w:ascii="Aptos Light" w:hAnsi="Aptos Light" w:cs="Arial"/>
          <w:color w:val="3A3A3A" w:themeColor="background2" w:themeShade="40"/>
          <w:sz w:val="16"/>
          <w:szCs w:val="16"/>
        </w:rPr>
        <w:t>Gillies et al</w:t>
      </w:r>
      <w:r w:rsidRPr="00EE5200">
        <w:rPr>
          <w:rFonts w:ascii="Aptos Light" w:hAnsi="Aptos Light" w:cs="Arial"/>
          <w:color w:val="3A3A3A" w:themeColor="background2" w:themeShade="40"/>
          <w:sz w:val="16"/>
          <w:szCs w:val="16"/>
        </w:rPr>
        <w:t xml:space="preserve">, ‘Psychological therapies for the treatment of post-traumatic stress disorder in children and adolescents (Review)’, </w:t>
      </w:r>
      <w:r w:rsidRPr="00EE5200">
        <w:rPr>
          <w:rFonts w:ascii="Aptos Light" w:hAnsi="Aptos Light" w:cs="Arial"/>
          <w:i/>
          <w:iCs/>
          <w:color w:val="3A3A3A" w:themeColor="background2" w:themeShade="40"/>
          <w:sz w:val="16"/>
          <w:szCs w:val="16"/>
        </w:rPr>
        <w:t>Evidence-based Child Health: A Cochrane Review Journal</w:t>
      </w:r>
      <w:r w:rsidRPr="00EE5200">
        <w:rPr>
          <w:rFonts w:ascii="Aptos Light" w:hAnsi="Aptos Light" w:cs="Arial"/>
          <w:color w:val="3A3A3A" w:themeColor="background2" w:themeShade="40"/>
          <w:sz w:val="16"/>
          <w:szCs w:val="16"/>
        </w:rPr>
        <w:t>, 8(3)</w:t>
      </w:r>
      <w:r w:rsidRPr="00EE5200">
        <w:rPr>
          <w:rFonts w:ascii="Aptos Light" w:hAnsi="Aptos Light" w:cs="Arial"/>
          <w:color w:val="3A3A3A" w:themeColor="background2" w:themeShade="40"/>
          <w:sz w:val="16"/>
          <w:szCs w:val="16"/>
        </w:rPr>
        <w:t>, 2013</w:t>
      </w:r>
      <w:r w:rsidRPr="00EE5200">
        <w:rPr>
          <w:rFonts w:ascii="Aptos Light" w:hAnsi="Aptos Light" w:cs="Arial"/>
          <w:color w:val="3A3A3A" w:themeColor="background2" w:themeShade="40"/>
          <w:sz w:val="16"/>
          <w:szCs w:val="16"/>
        </w:rPr>
        <w:t xml:space="preserve">. </w:t>
      </w:r>
    </w:p>
  </w:footnote>
  <w:footnote w:id="12">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Cassera et</w:t>
      </w:r>
      <w:r w:rsidRPr="00EE5200">
        <w:rPr>
          <w:rFonts w:ascii="Aptos Light" w:hAnsi="Aptos Light" w:cs="Arial"/>
          <w:color w:val="3A3A3A" w:themeColor="background2" w:themeShade="40"/>
          <w:sz w:val="16"/>
          <w:szCs w:val="16"/>
        </w:rPr>
        <w:t xml:space="preserve"> al, ‘Positive events in psychotherapy: What do adolescents and young adults say is helpful?’, </w:t>
      </w:r>
      <w:r w:rsidRPr="00EE5200">
        <w:rPr>
          <w:rFonts w:ascii="Aptos Light" w:hAnsi="Aptos Light" w:cs="Arial"/>
          <w:i/>
          <w:iCs/>
          <w:color w:val="3A3A3A" w:themeColor="background2" w:themeShade="40"/>
          <w:sz w:val="16"/>
          <w:szCs w:val="16"/>
        </w:rPr>
        <w:t>F1000Research</w:t>
      </w:r>
      <w:r w:rsidRPr="00EE5200">
        <w:rPr>
          <w:rFonts w:ascii="Aptos Light" w:hAnsi="Aptos Light" w:cs="Arial"/>
          <w:color w:val="3A3A3A" w:themeColor="background2" w:themeShade="40"/>
          <w:sz w:val="16"/>
          <w:szCs w:val="16"/>
        </w:rPr>
        <w:t xml:space="preserve">, 17(13), 2025. </w:t>
      </w:r>
    </w:p>
  </w:footnote>
  <w:footnote w:id="13">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 xml:space="preserve">Carr, ‘Family therapy and systemic interventions for child-focused problems: the current evidence base’, </w:t>
      </w:r>
      <w:r w:rsidRPr="00EE5200">
        <w:rPr>
          <w:rFonts w:ascii="Aptos Light" w:hAnsi="Aptos Light" w:cs="Arial"/>
          <w:i/>
          <w:iCs/>
          <w:color w:val="3A3A3A" w:themeColor="background2" w:themeShade="40"/>
          <w:sz w:val="16"/>
          <w:szCs w:val="16"/>
        </w:rPr>
        <w:t>Journal of Family Therapy</w:t>
      </w:r>
      <w:r w:rsidRPr="00EE5200">
        <w:rPr>
          <w:rFonts w:ascii="Aptos Light" w:hAnsi="Aptos Light" w:cs="Arial"/>
          <w:color w:val="3A3A3A" w:themeColor="background2" w:themeShade="40"/>
          <w:sz w:val="16"/>
          <w:szCs w:val="16"/>
        </w:rPr>
        <w:t xml:space="preserve">, 47(1), </w:t>
      </w:r>
      <w:r w:rsidRPr="00EE5200">
        <w:rPr>
          <w:rFonts w:ascii="Aptos Light" w:hAnsi="Aptos Light" w:cs="Arial"/>
          <w:color w:val="3A3A3A" w:themeColor="background2" w:themeShade="40"/>
          <w:sz w:val="16"/>
          <w:szCs w:val="16"/>
        </w:rPr>
        <w:t>2018.</w:t>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 xml:space="preserve">Georg et al, ‘Stability of improvements: follow-up data on focused parent–infant psychotherapy (fPIP) for treating regulatory disorders in infancy’, </w:t>
      </w:r>
      <w:r w:rsidRPr="00EE5200">
        <w:rPr>
          <w:rFonts w:ascii="Aptos Light" w:hAnsi="Aptos Light" w:cs="Arial"/>
          <w:i/>
          <w:iCs/>
          <w:color w:val="3A3A3A" w:themeColor="background2" w:themeShade="40"/>
          <w:sz w:val="16"/>
          <w:szCs w:val="16"/>
        </w:rPr>
        <w:t>European Child and Adolescent Psychiatry</w:t>
      </w:r>
      <w:r w:rsidRPr="00EE5200">
        <w:rPr>
          <w:rFonts w:ascii="Aptos Light" w:hAnsi="Aptos Light" w:cs="Arial"/>
          <w:color w:val="3A3A3A" w:themeColor="background2" w:themeShade="40"/>
          <w:sz w:val="16"/>
          <w:szCs w:val="16"/>
        </w:rPr>
        <w:t>,</w:t>
      </w:r>
      <w:r w:rsidRPr="00EE5200">
        <w:rPr>
          <w:rFonts w:ascii="Aptos Light" w:hAnsi="Aptos Light" w:cs="Arial"/>
          <w:color w:val="3A3A3A" w:themeColor="background2" w:themeShade="40"/>
          <w:sz w:val="16"/>
          <w:szCs w:val="16"/>
        </w:rPr>
        <w:t xml:space="preserve"> 32,</w:t>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2022.</w:t>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 xml:space="preserve">Cucciniello and Melia, ‘Effectiveness of parent–infant psychotherapy for infant development, parenting, parental mental health, and the attachment relationship: a review of the literature’, </w:t>
      </w:r>
      <w:r w:rsidRPr="00EE5200">
        <w:rPr>
          <w:rFonts w:ascii="Aptos Light" w:hAnsi="Aptos Light" w:cs="Arial"/>
          <w:i/>
          <w:iCs/>
          <w:color w:val="3A3A3A" w:themeColor="background2" w:themeShade="40"/>
          <w:sz w:val="16"/>
          <w:szCs w:val="16"/>
        </w:rPr>
        <w:t>Journal of Public and Child Welfare</w:t>
      </w:r>
      <w:r w:rsidRPr="00EE5200">
        <w:rPr>
          <w:rFonts w:ascii="Aptos Light" w:hAnsi="Aptos Light" w:cs="Arial"/>
          <w:color w:val="3A3A3A" w:themeColor="background2" w:themeShade="40"/>
          <w:sz w:val="16"/>
          <w:szCs w:val="16"/>
        </w:rPr>
        <w:t xml:space="preserve">, 19(3), </w:t>
      </w:r>
      <w:r w:rsidRPr="00EE5200">
        <w:rPr>
          <w:rFonts w:ascii="Aptos Light" w:hAnsi="Aptos Light" w:cs="Arial"/>
          <w:color w:val="3A3A3A" w:themeColor="background2" w:themeShade="40"/>
          <w:sz w:val="16"/>
          <w:szCs w:val="16"/>
        </w:rPr>
        <w:t>2023.</w:t>
      </w:r>
    </w:p>
  </w:footnote>
  <w:footnote w:id="14">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Children’s Commissioner, ‘Children’s Commissioner calls for urgent action to tackle waiting times and inequality in mental health care for children’, May 2025.</w:t>
      </w:r>
    </w:p>
  </w:footnote>
  <w:footnote w:id="15">
    <w:p w:rsidR="00CA165D" w:rsidRPr="00EE5200" w:rsidP="00396882">
      <w:pPr>
        <w:pStyle w:val="FootnoteText"/>
        <w:rPr>
          <w:rFonts w:ascii="Aptos Light" w:hAnsi="Aptos Light"/>
          <w:color w:val="3A3A3A" w:themeColor="background2" w:themeShade="40"/>
          <w:sz w:val="16"/>
          <w:szCs w:val="16"/>
        </w:rPr>
      </w:pPr>
      <w:r w:rsidRPr="00EE5200">
        <w:rPr>
          <w:rStyle w:val="FootnoteReference"/>
          <w:rFonts w:ascii="Aptos Light" w:hAnsi="Aptos Light"/>
          <w:color w:val="3A3A3A" w:themeColor="background2" w:themeShade="40"/>
          <w:sz w:val="16"/>
          <w:szCs w:val="16"/>
        </w:rPr>
        <w:footnoteRef/>
      </w:r>
      <w:r w:rsidRPr="00EE5200">
        <w:rPr>
          <w:rFonts w:ascii="Aptos Light" w:hAnsi="Aptos Light"/>
          <w:color w:val="3A3A3A" w:themeColor="background2" w:themeShade="40"/>
          <w:sz w:val="16"/>
          <w:szCs w:val="16"/>
        </w:rPr>
        <w:t xml:space="preserve"> RCPsych, </w:t>
      </w:r>
      <w:r w:rsidRPr="00EE5200">
        <w:rPr>
          <w:rFonts w:ascii="Aptos Light" w:hAnsi="Aptos Light"/>
          <w:color w:val="3A3A3A" w:themeColor="background2" w:themeShade="40"/>
          <w:sz w:val="16"/>
          <w:szCs w:val="16"/>
        </w:rPr>
        <w:t>‘“</w:t>
      </w:r>
      <w:r w:rsidRPr="00EE5200">
        <w:rPr>
          <w:rFonts w:ascii="Aptos Light" w:hAnsi="Aptos Light"/>
          <w:i/>
          <w:iCs/>
          <w:color w:val="3A3A3A" w:themeColor="background2" w:themeShade="40"/>
          <w:sz w:val="16"/>
          <w:szCs w:val="16"/>
        </w:rPr>
        <w:t>We cannot allow childhood mental illness to become the new norm” – RCPsych’</w:t>
      </w:r>
      <w:r w:rsidRPr="00EE5200">
        <w:rPr>
          <w:rFonts w:ascii="Aptos Light" w:hAnsi="Aptos Light"/>
          <w:color w:val="3A3A3A" w:themeColor="background2" w:themeShade="40"/>
          <w:sz w:val="16"/>
          <w:szCs w:val="16"/>
        </w:rPr>
        <w:t xml:space="preserve">, 2024. </w:t>
      </w:r>
    </w:p>
  </w:footnote>
  <w:footnote w:id="16">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UKCP, ‘</w:t>
      </w:r>
      <w:r w:rsidRPr="00EE5200">
        <w:rPr>
          <w:rFonts w:ascii="Aptos Light" w:hAnsi="Aptos Light" w:cs="Arial"/>
          <w:i/>
          <w:iCs/>
          <w:color w:val="3A3A3A" w:themeColor="background2" w:themeShade="40"/>
          <w:sz w:val="16"/>
          <w:szCs w:val="16"/>
        </w:rPr>
        <w:t>UKCP 2024 member survey report’</w:t>
      </w:r>
      <w:r w:rsidRPr="00EE5200">
        <w:rPr>
          <w:rFonts w:ascii="Aptos Light" w:hAnsi="Aptos Light" w:cs="Arial"/>
          <w:color w:val="3A3A3A" w:themeColor="background2" w:themeShade="40"/>
          <w:sz w:val="16"/>
          <w:szCs w:val="16"/>
        </w:rPr>
        <w:t xml:space="preserve">, 2024. </w:t>
      </w:r>
    </w:p>
  </w:footnote>
  <w:footnote w:id="17">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Royal College of General Practitioners, ‘</w:t>
      </w:r>
      <w:r w:rsidRPr="00EE5200">
        <w:rPr>
          <w:rFonts w:ascii="Aptos Light" w:hAnsi="Aptos Light" w:cs="Arial"/>
          <w:i/>
          <w:iCs/>
          <w:color w:val="3A3A3A" w:themeColor="background2" w:themeShade="40"/>
          <w:sz w:val="16"/>
          <w:szCs w:val="16"/>
        </w:rPr>
        <w:t>The power of relationships: what is relationship-based care and why is it important?</w:t>
      </w:r>
      <w:r w:rsidRPr="00EE5200">
        <w:rPr>
          <w:rFonts w:ascii="Aptos Light" w:hAnsi="Aptos Light" w:cs="Arial"/>
          <w:color w:val="3A3A3A" w:themeColor="background2" w:themeShade="40"/>
          <w:sz w:val="16"/>
          <w:szCs w:val="16"/>
        </w:rPr>
        <w:t xml:space="preserve">’, 2021. </w:t>
      </w:r>
    </w:p>
  </w:footnote>
  <w:footnote w:id="18">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NHS Digital, ‘</w:t>
      </w:r>
      <w:r w:rsidRPr="00EE5200">
        <w:rPr>
          <w:rFonts w:ascii="Aptos Light" w:hAnsi="Aptos Light" w:cs="Arial"/>
          <w:i/>
          <w:iCs/>
          <w:color w:val="3A3A3A" w:themeColor="background2" w:themeShade="40"/>
          <w:sz w:val="16"/>
          <w:szCs w:val="16"/>
        </w:rPr>
        <w:t>Mental Health of Children and Young People in England 2022 - follow up to the 2017 survey’</w:t>
      </w:r>
      <w:r w:rsidRPr="00EE5200">
        <w:rPr>
          <w:rFonts w:ascii="Aptos Light" w:hAnsi="Aptos Light" w:cs="Arial"/>
          <w:color w:val="3A3A3A" w:themeColor="background2" w:themeShade="40"/>
          <w:sz w:val="16"/>
          <w:szCs w:val="16"/>
        </w:rPr>
        <w:t xml:space="preserve">, 2022. </w:t>
      </w:r>
    </w:p>
  </w:footnote>
  <w:footnote w:id="19">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RCPsych, ‘</w:t>
      </w:r>
      <w:r w:rsidRPr="00EE5200">
        <w:rPr>
          <w:rFonts w:ascii="Aptos Light" w:hAnsi="Aptos Light" w:cs="Arial"/>
          <w:i/>
          <w:iCs/>
          <w:color w:val="3A3A3A" w:themeColor="background2" w:themeShade="40"/>
          <w:sz w:val="16"/>
          <w:szCs w:val="16"/>
        </w:rPr>
        <w:t>Children’s mental health crisis deepens: severe shortage of psychiatrists to meet growing demand’</w:t>
      </w:r>
      <w:r w:rsidRPr="00EE5200">
        <w:rPr>
          <w:rFonts w:ascii="Aptos Light" w:hAnsi="Aptos Light" w:cs="Arial"/>
          <w:color w:val="3A3A3A" w:themeColor="background2" w:themeShade="40"/>
          <w:sz w:val="16"/>
          <w:szCs w:val="16"/>
        </w:rPr>
        <w:t xml:space="preserve">, 2024. </w:t>
      </w:r>
    </w:p>
  </w:footnote>
  <w:footnote w:id="20">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nurtureuk</w:t>
      </w:r>
      <w:r w:rsidRPr="00EE5200">
        <w:rPr>
          <w:rFonts w:ascii="Aptos Light" w:hAnsi="Aptos Light" w:cs="Arial"/>
          <w:color w:val="3A3A3A" w:themeColor="background2" w:themeShade="40"/>
          <w:sz w:val="16"/>
          <w:szCs w:val="16"/>
        </w:rPr>
        <w:t>,</w:t>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w:t>
      </w:r>
      <w:r w:rsidRPr="00EE5200">
        <w:rPr>
          <w:rFonts w:ascii="Aptos Light" w:hAnsi="Aptos Light" w:cs="Arial"/>
          <w:i/>
          <w:iCs/>
          <w:color w:val="3A3A3A" w:themeColor="background2" w:themeShade="40"/>
          <w:sz w:val="16"/>
          <w:szCs w:val="16"/>
        </w:rPr>
        <w:t xml:space="preserve">Time to </w:t>
      </w:r>
      <w:r w:rsidRPr="00EE5200">
        <w:rPr>
          <w:rFonts w:ascii="Aptos Light" w:hAnsi="Aptos Light" w:cs="Arial"/>
          <w:i/>
          <w:iCs/>
          <w:color w:val="3A3A3A" w:themeColor="background2" w:themeShade="40"/>
          <w:sz w:val="16"/>
          <w:szCs w:val="16"/>
        </w:rPr>
        <w:t>nurture</w:t>
      </w:r>
      <w:r w:rsidRPr="00EE5200">
        <w:rPr>
          <w:rFonts w:ascii="Aptos Light" w:hAnsi="Aptos Light" w:cs="Arial"/>
          <w:i/>
          <w:iCs/>
          <w:color w:val="3A3A3A" w:themeColor="background2" w:themeShade="40"/>
          <w:sz w:val="16"/>
          <w:szCs w:val="16"/>
        </w:rPr>
        <w:t>: responding to the social-emotional development crisis in our schools</w:t>
      </w:r>
      <w:r w:rsidRPr="00EE5200">
        <w:rPr>
          <w:rFonts w:ascii="Aptos Light" w:hAnsi="Aptos Light" w:cs="Arial"/>
          <w:i/>
          <w:iCs/>
          <w:color w:val="3A3A3A" w:themeColor="background2" w:themeShade="40"/>
          <w:sz w:val="16"/>
          <w:szCs w:val="16"/>
        </w:rPr>
        <w:t>’</w:t>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 xml:space="preserve">Nov </w:t>
      </w:r>
      <w:r w:rsidRPr="00EE5200">
        <w:rPr>
          <w:rFonts w:ascii="Aptos Light" w:hAnsi="Aptos Light" w:cs="Arial"/>
          <w:color w:val="3A3A3A" w:themeColor="background2" w:themeShade="40"/>
          <w:sz w:val="16"/>
          <w:szCs w:val="16"/>
        </w:rPr>
        <w:t xml:space="preserve">2025. </w:t>
      </w:r>
    </w:p>
  </w:footnote>
  <w:footnote w:id="21">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Molly Rose Foundation</w:t>
      </w:r>
      <w:r w:rsidRPr="00EE5200">
        <w:rPr>
          <w:rFonts w:ascii="Aptos Light" w:hAnsi="Aptos Light" w:cs="Arial"/>
          <w:color w:val="3A3A3A" w:themeColor="background2" w:themeShade="40"/>
          <w:sz w:val="16"/>
          <w:szCs w:val="16"/>
        </w:rPr>
        <w:t>,</w:t>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w:t>
      </w:r>
      <w:r w:rsidRPr="00EE5200">
        <w:rPr>
          <w:rFonts w:ascii="Aptos Light" w:hAnsi="Aptos Light" w:cs="Arial"/>
          <w:i/>
          <w:iCs/>
          <w:color w:val="3A3A3A" w:themeColor="background2" w:themeShade="40"/>
          <w:sz w:val="16"/>
          <w:szCs w:val="16"/>
        </w:rPr>
        <w:t xml:space="preserve">Pervasive-by-design: </w:t>
      </w:r>
      <w:r w:rsidRPr="00EE5200">
        <w:rPr>
          <w:rFonts w:ascii="Aptos Light" w:hAnsi="Aptos Light" w:cs="Arial"/>
          <w:i/>
          <w:iCs/>
          <w:color w:val="3A3A3A" w:themeColor="background2" w:themeShade="40"/>
          <w:sz w:val="16"/>
          <w:szCs w:val="16"/>
        </w:rPr>
        <w:t>Suicide, self-harm and intense depression content on TikTok and Instagram</w:t>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 xml:space="preserve">Aug </w:t>
      </w:r>
      <w:r w:rsidRPr="00EE5200">
        <w:rPr>
          <w:rFonts w:ascii="Aptos Light" w:hAnsi="Aptos Light" w:cs="Arial"/>
          <w:color w:val="3A3A3A" w:themeColor="background2" w:themeShade="40"/>
          <w:sz w:val="16"/>
          <w:szCs w:val="16"/>
        </w:rPr>
        <w:t xml:space="preserve">2025. </w:t>
      </w:r>
      <w:r w:rsidRPr="00EE5200">
        <w:rPr>
          <w:rFonts w:ascii="Aptos Light" w:hAnsi="Aptos Light" w:cs="Arial"/>
          <w:color w:val="3A3A3A" w:themeColor="background2" w:themeShade="40"/>
          <w:sz w:val="16"/>
          <w:szCs w:val="16"/>
        </w:rPr>
        <w:t xml:space="preserve"> </w:t>
      </w:r>
    </w:p>
  </w:footnote>
  <w:footnote w:id="22">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 xml:space="preserve">Fassi et al, ‘Social media use in adolescents with and without mental health conditions’, </w:t>
      </w:r>
      <w:r w:rsidRPr="00EE5200">
        <w:rPr>
          <w:rFonts w:ascii="Aptos Light" w:hAnsi="Aptos Light" w:cs="Arial"/>
          <w:i/>
          <w:iCs/>
          <w:color w:val="3A3A3A" w:themeColor="background2" w:themeShade="40"/>
          <w:sz w:val="16"/>
          <w:szCs w:val="16"/>
        </w:rPr>
        <w:t>Nature Human Behaviour</w:t>
      </w:r>
      <w:r w:rsidRPr="00EE5200">
        <w:rPr>
          <w:rFonts w:ascii="Aptos Light" w:hAnsi="Aptos Light" w:cs="Arial"/>
          <w:color w:val="3A3A3A" w:themeColor="background2" w:themeShade="40"/>
          <w:sz w:val="16"/>
          <w:szCs w:val="16"/>
        </w:rPr>
        <w:t>, 2025, 2025.</w:t>
      </w:r>
    </w:p>
  </w:footnote>
  <w:footnote w:id="23">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Youth Select Committee, ‘</w:t>
      </w:r>
      <w:r w:rsidRPr="00EE5200">
        <w:rPr>
          <w:rFonts w:ascii="Aptos Light" w:hAnsi="Aptos Light" w:cs="Arial"/>
          <w:i/>
          <w:iCs/>
          <w:color w:val="3A3A3A" w:themeColor="background2" w:themeShade="40"/>
          <w:sz w:val="16"/>
          <w:szCs w:val="16"/>
        </w:rPr>
        <w:t>Youth Violence and Social Media’</w:t>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 xml:space="preserve">Mar 2025. </w:t>
      </w:r>
    </w:p>
  </w:footnote>
  <w:footnote w:id="24">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McAdam</w:t>
      </w:r>
      <w:r w:rsidRPr="00EE5200">
        <w:rPr>
          <w:rFonts w:ascii="Aptos Light" w:hAnsi="Aptos Light" w:cs="Arial"/>
          <w:color w:val="3A3A3A" w:themeColor="background2" w:themeShade="40"/>
          <w:sz w:val="16"/>
          <w:szCs w:val="16"/>
        </w:rPr>
        <w:t>, ‘</w:t>
      </w:r>
      <w:r w:rsidRPr="00EE5200">
        <w:rPr>
          <w:rFonts w:ascii="Aptos Light" w:hAnsi="Aptos Light" w:cs="Arial"/>
          <w:i/>
          <w:iCs/>
          <w:color w:val="3A3A3A" w:themeColor="background2" w:themeShade="40"/>
          <w:sz w:val="16"/>
          <w:szCs w:val="16"/>
        </w:rPr>
        <w:t>Now is the time to get behind mental health crisis prevention</w:t>
      </w:r>
      <w:r w:rsidRPr="00EE5200">
        <w:rPr>
          <w:rFonts w:ascii="Aptos Light" w:hAnsi="Aptos Light" w:cs="Arial"/>
          <w:i/>
          <w:iCs/>
          <w:color w:val="3A3A3A" w:themeColor="background2" w:themeShade="40"/>
          <w:sz w:val="16"/>
          <w:szCs w:val="16"/>
        </w:rPr>
        <w:t>’</w:t>
      </w:r>
      <w:r w:rsidRPr="00EE5200">
        <w:rPr>
          <w:rFonts w:ascii="Aptos Light" w:hAnsi="Aptos Light" w:cs="Arial"/>
          <w:color w:val="3A3A3A" w:themeColor="background2" w:themeShade="40"/>
          <w:sz w:val="16"/>
          <w:szCs w:val="16"/>
        </w:rPr>
        <w:t xml:space="preserve">, 2023. </w:t>
      </w:r>
    </w:p>
  </w:footnote>
  <w:footnote w:id="25">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UK Parliament, ‘</w:t>
      </w:r>
      <w:r w:rsidRPr="00EE5200">
        <w:rPr>
          <w:rFonts w:ascii="Aptos Light" w:hAnsi="Aptos Light" w:cs="Arial"/>
          <w:i/>
          <w:iCs/>
          <w:color w:val="3A3A3A" w:themeColor="background2" w:themeShade="40"/>
          <w:sz w:val="16"/>
          <w:szCs w:val="16"/>
        </w:rPr>
        <w:t>Health Investment: Statement made on 12 March 2026’</w:t>
      </w:r>
      <w:r w:rsidRPr="00EE5200">
        <w:rPr>
          <w:rFonts w:ascii="Aptos Light" w:hAnsi="Aptos Light" w:cs="Arial"/>
          <w:color w:val="3A3A3A" w:themeColor="background2" w:themeShade="40"/>
          <w:sz w:val="16"/>
          <w:szCs w:val="16"/>
        </w:rPr>
        <w:t xml:space="preserve">, 2026. </w:t>
      </w:r>
    </w:p>
  </w:footnote>
  <w:footnote w:id="26">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Health and Social Care Committee, </w:t>
      </w:r>
      <w:r w:rsidRPr="00EE5200">
        <w:rPr>
          <w:rFonts w:ascii="Aptos Light" w:hAnsi="Aptos Light" w:cs="Arial"/>
          <w:color w:val="3A3A3A" w:themeColor="background2" w:themeShade="40"/>
          <w:sz w:val="16"/>
          <w:szCs w:val="16"/>
        </w:rPr>
        <w:t>‘</w:t>
      </w:r>
      <w:r w:rsidRPr="00EE5200">
        <w:rPr>
          <w:rFonts w:ascii="Aptos Light" w:hAnsi="Aptos Light" w:cs="Arial"/>
          <w:i/>
          <w:iCs/>
          <w:color w:val="3A3A3A" w:themeColor="background2" w:themeShade="40"/>
          <w:sz w:val="16"/>
          <w:szCs w:val="16"/>
        </w:rPr>
        <w:t>First 1000 days of life</w:t>
      </w:r>
      <w:r w:rsidRPr="00EE5200">
        <w:rPr>
          <w:rFonts w:ascii="Aptos Light" w:hAnsi="Aptos Light" w:cs="Arial"/>
          <w:i/>
          <w:iCs/>
          <w:color w:val="3A3A3A" w:themeColor="background2" w:themeShade="40"/>
          <w:sz w:val="16"/>
          <w:szCs w:val="16"/>
        </w:rPr>
        <w:t>: a renewed focus</w:t>
      </w:r>
      <w:r w:rsidRPr="00EE5200">
        <w:rPr>
          <w:rFonts w:ascii="Aptos Light" w:hAnsi="Aptos Light" w:cs="Arial"/>
          <w:i/>
          <w:iCs/>
          <w:color w:val="3A3A3A" w:themeColor="background2" w:themeShade="40"/>
          <w:sz w:val="16"/>
          <w:szCs w:val="16"/>
        </w:rPr>
        <w:t>’</w:t>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2019</w:t>
      </w:r>
      <w:r w:rsidRPr="00EE5200">
        <w:rPr>
          <w:rFonts w:ascii="Aptos Light" w:hAnsi="Aptos Light" w:cs="Arial"/>
          <w:color w:val="3A3A3A" w:themeColor="background2" w:themeShade="40"/>
          <w:sz w:val="16"/>
          <w:szCs w:val="16"/>
        </w:rPr>
        <w:t xml:space="preserve">. </w:t>
      </w:r>
    </w:p>
  </w:footnote>
  <w:footnote w:id="27">
    <w:p w:rsidR="00CA165D" w:rsidRPr="00EE5200" w:rsidP="002F7A19">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Capobianco et al, ‘Improving access to psychological therapies: Analysis of effects associated with remote provision during COVID</w:t>
      </w:r>
      <w:r w:rsidRPr="00EE5200">
        <w:rPr>
          <w:rFonts w:ascii="Cambria Math" w:hAnsi="Cambria Math" w:cs="Cambria Math"/>
          <w:color w:val="3A3A3A" w:themeColor="background2" w:themeShade="40"/>
          <w:sz w:val="16"/>
          <w:szCs w:val="16"/>
        </w:rPr>
        <w:t>‐</w:t>
      </w:r>
      <w:r w:rsidRPr="00EE5200">
        <w:rPr>
          <w:rFonts w:ascii="Aptos Light" w:hAnsi="Aptos Light" w:cs="Arial"/>
          <w:color w:val="3A3A3A" w:themeColor="background2" w:themeShade="40"/>
          <w:sz w:val="16"/>
          <w:szCs w:val="16"/>
        </w:rPr>
        <w:t xml:space="preserve">19’, </w:t>
      </w:r>
      <w:r w:rsidRPr="00EE5200">
        <w:rPr>
          <w:rFonts w:ascii="Aptos Light" w:hAnsi="Aptos Light" w:cs="Arial"/>
          <w:i/>
          <w:iCs/>
          <w:color w:val="3A3A3A" w:themeColor="background2" w:themeShade="40"/>
          <w:sz w:val="16"/>
          <w:szCs w:val="16"/>
        </w:rPr>
        <w:t>British Journal of Clinical Psychology</w:t>
      </w:r>
      <w:r w:rsidRPr="00EE5200">
        <w:rPr>
          <w:rFonts w:ascii="Aptos Light" w:hAnsi="Aptos Light" w:cs="Arial"/>
          <w:color w:val="3A3A3A" w:themeColor="background2" w:themeShade="40"/>
          <w:sz w:val="16"/>
          <w:szCs w:val="16"/>
        </w:rPr>
        <w:t xml:space="preserve">, 62(1), 2023. </w:t>
      </w:r>
    </w:p>
  </w:footnote>
  <w:footnote w:id="28">
    <w:p w:rsidR="00CA165D" w:rsidRPr="00EE5200" w:rsidP="002F7A19">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Erlandsson et al, ‘Accessibility at What Price? Therapists’ Experiences of Remote Psychotherapy with Children and Adolescents During the COVID-19 Pandemic,’ </w:t>
      </w:r>
      <w:r w:rsidRPr="00EE5200">
        <w:rPr>
          <w:rFonts w:ascii="Aptos Light" w:hAnsi="Aptos Light" w:cs="Arial"/>
          <w:i/>
          <w:iCs/>
          <w:color w:val="3A3A3A" w:themeColor="background2" w:themeShade="40"/>
          <w:sz w:val="16"/>
          <w:szCs w:val="16"/>
        </w:rPr>
        <w:t>Journal of Infant, Child, and Adolescent Psychotherapy</w:t>
      </w:r>
      <w:r w:rsidRPr="00EE5200">
        <w:rPr>
          <w:rFonts w:ascii="Aptos Light" w:hAnsi="Aptos Light" w:cs="Arial"/>
          <w:color w:val="3A3A3A" w:themeColor="background2" w:themeShade="40"/>
          <w:sz w:val="16"/>
          <w:szCs w:val="16"/>
        </w:rPr>
        <w:t xml:space="preserve">, 21(4), 2022. </w:t>
      </w:r>
    </w:p>
  </w:footnote>
  <w:footnote w:id="29">
    <w:p w:rsidR="00CA165D" w:rsidRPr="00EE5200" w:rsidP="002F7A19">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Digital Poverty Alliance, ‘</w:t>
      </w:r>
      <w:r w:rsidRPr="00EE5200">
        <w:rPr>
          <w:rFonts w:ascii="Aptos Light" w:hAnsi="Aptos Light" w:cs="Arial"/>
          <w:i/>
          <w:iCs/>
          <w:color w:val="3A3A3A" w:themeColor="background2" w:themeShade="40"/>
          <w:sz w:val="16"/>
          <w:szCs w:val="16"/>
        </w:rPr>
        <w:t>UK Digital Poverty Evidence Review 2022’</w:t>
      </w:r>
      <w:r w:rsidRPr="00EE5200">
        <w:rPr>
          <w:rFonts w:ascii="Aptos Light" w:hAnsi="Aptos Light" w:cs="Arial"/>
          <w:color w:val="3A3A3A" w:themeColor="background2" w:themeShade="40"/>
          <w:sz w:val="16"/>
          <w:szCs w:val="16"/>
        </w:rPr>
        <w:t xml:space="preserve">, 2022. </w:t>
      </w:r>
    </w:p>
  </w:footnote>
  <w:footnote w:id="30">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Bellis et al, ‘Relative and combined contributions of adverse childhood experiences and self-reported child poverty to health and economic outcomes in adults – a retrospective study in a UK region’, </w:t>
      </w:r>
      <w:r w:rsidRPr="00EE5200">
        <w:rPr>
          <w:rFonts w:ascii="Aptos Light" w:hAnsi="Aptos Light" w:cs="Arial"/>
          <w:i/>
          <w:iCs/>
          <w:color w:val="3A3A3A" w:themeColor="background2" w:themeShade="40"/>
          <w:sz w:val="16"/>
          <w:szCs w:val="16"/>
        </w:rPr>
        <w:t>BMC Public Health</w:t>
      </w:r>
      <w:r w:rsidRPr="00EE5200">
        <w:rPr>
          <w:rFonts w:ascii="Aptos Light" w:hAnsi="Aptos Light" w:cs="Arial"/>
          <w:color w:val="3A3A3A" w:themeColor="background2" w:themeShade="40"/>
          <w:sz w:val="16"/>
          <w:szCs w:val="16"/>
        </w:rPr>
        <w:t xml:space="preserve">, 25, 2025. </w:t>
      </w:r>
    </w:p>
  </w:footnote>
  <w:footnote w:id="31">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Public Health England, ‘</w:t>
      </w:r>
      <w:r w:rsidRPr="00EE5200">
        <w:rPr>
          <w:rFonts w:ascii="Aptos Light" w:hAnsi="Aptos Light" w:cs="Arial"/>
          <w:i/>
          <w:iCs/>
          <w:color w:val="3A3A3A" w:themeColor="background2" w:themeShade="40"/>
          <w:sz w:val="16"/>
          <w:szCs w:val="16"/>
        </w:rPr>
        <w:t>The effectiveness of trauma informed approaches to prevent adverse outcomes in mental health and wellbeing’</w:t>
      </w:r>
      <w:r w:rsidRPr="00EE5200">
        <w:rPr>
          <w:rFonts w:ascii="Aptos Light" w:hAnsi="Aptos Light" w:cs="Arial"/>
          <w:color w:val="3A3A3A" w:themeColor="background2" w:themeShade="40"/>
          <w:sz w:val="16"/>
          <w:szCs w:val="16"/>
        </w:rPr>
        <w:t xml:space="preserve">, 2021. </w:t>
      </w:r>
    </w:p>
  </w:footnote>
  <w:footnote w:id="32">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nurtureuk, ‘</w:t>
      </w:r>
      <w:r w:rsidRPr="00EE5200">
        <w:rPr>
          <w:rFonts w:ascii="Aptos Light" w:hAnsi="Aptos Light" w:cs="Arial"/>
          <w:i/>
          <w:iCs/>
          <w:color w:val="3A3A3A" w:themeColor="background2" w:themeShade="40"/>
          <w:sz w:val="16"/>
          <w:szCs w:val="16"/>
        </w:rPr>
        <w:t>Time to nurture:</w:t>
      </w:r>
      <w:r w:rsidRPr="00EE5200">
        <w:rPr>
          <w:rFonts w:ascii="Aptos Light" w:hAnsi="Aptos Light" w:cs="Arial"/>
          <w:i/>
          <w:iCs/>
          <w:color w:val="3A3A3A" w:themeColor="background2" w:themeShade="40"/>
          <w:sz w:val="16"/>
          <w:szCs w:val="16"/>
        </w:rPr>
        <w:t xml:space="preserve"> responding to the social-emotional development crisis in our schools’</w:t>
      </w:r>
      <w:r w:rsidRPr="00EE5200">
        <w:rPr>
          <w:rFonts w:ascii="Aptos Light" w:hAnsi="Aptos Light" w:cs="Arial"/>
          <w:color w:val="3A3A3A" w:themeColor="background2" w:themeShade="40"/>
          <w:sz w:val="16"/>
          <w:szCs w:val="16"/>
        </w:rPr>
        <w:t>, Nov 2025.</w:t>
      </w:r>
    </w:p>
  </w:footnote>
  <w:footnote w:id="33">
    <w:p w:rsidR="00CA165D" w:rsidRPr="00EE5200" w:rsidP="00396882">
      <w:pPr>
        <w:pStyle w:val="FootnoteText"/>
        <w:rPr>
          <w:rFonts w:ascii="Aptos Light" w:hAnsi="Aptos Light" w:cs="Arial"/>
          <w:color w:val="3A3A3A" w:themeColor="background2" w:themeShade="40"/>
          <w:sz w:val="16"/>
          <w:szCs w:val="16"/>
        </w:rPr>
      </w:pPr>
      <w:r w:rsidRPr="00EE5200">
        <w:rPr>
          <w:rStyle w:val="FootnoteReference"/>
          <w:rFonts w:ascii="Aptos Light" w:hAnsi="Aptos Light" w:cs="Arial"/>
          <w:color w:val="3A3A3A" w:themeColor="background2" w:themeShade="40"/>
          <w:sz w:val="16"/>
          <w:szCs w:val="16"/>
        </w:rPr>
        <w:footnoteRef/>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National Academy for Social Prescribing, ‘</w:t>
      </w:r>
      <w:r w:rsidRPr="00EE5200">
        <w:rPr>
          <w:rFonts w:ascii="Aptos Light" w:hAnsi="Aptos Light" w:cs="Arial"/>
          <w:i/>
          <w:iCs/>
          <w:color w:val="3A3A3A" w:themeColor="background2" w:themeShade="40"/>
          <w:sz w:val="16"/>
          <w:szCs w:val="16"/>
        </w:rPr>
        <w:t>Connected to Thrive: A vision for social prescribing for children and young people’s mental health and wellbeing’</w:t>
      </w:r>
      <w:r w:rsidRPr="00EE5200">
        <w:rPr>
          <w:rFonts w:ascii="Aptos Light" w:hAnsi="Aptos Light" w:cs="Arial"/>
          <w:color w:val="3A3A3A" w:themeColor="background2" w:themeShade="40"/>
          <w:sz w:val="16"/>
          <w:szCs w:val="16"/>
        </w:rPr>
        <w:t xml:space="preserve">, Mar 2025. </w:t>
      </w:r>
      <w:r w:rsidRPr="00EE5200">
        <w:rPr>
          <w:rFonts w:ascii="Aptos Light" w:hAnsi="Aptos Light" w:cs="Arial"/>
          <w:color w:val="3A3A3A" w:themeColor="background2" w:themeShade="40"/>
          <w:sz w:val="16"/>
          <w:szCs w:val="16"/>
        </w:rPr>
        <w:t>Youth Futures Foundation</w:t>
      </w:r>
      <w:r w:rsidRPr="00EE5200">
        <w:rPr>
          <w:rFonts w:ascii="Aptos Light" w:hAnsi="Aptos Light" w:cs="Arial"/>
          <w:color w:val="3A3A3A" w:themeColor="background2" w:themeShade="40"/>
          <w:sz w:val="16"/>
          <w:szCs w:val="16"/>
        </w:rPr>
        <w:t>, ‘</w:t>
      </w:r>
      <w:r w:rsidRPr="00EE5200">
        <w:rPr>
          <w:rFonts w:ascii="Aptos Light" w:hAnsi="Aptos Light" w:cs="Arial"/>
          <w:i/>
          <w:iCs/>
          <w:color w:val="3A3A3A" w:themeColor="background2" w:themeShade="40"/>
          <w:sz w:val="16"/>
          <w:szCs w:val="16"/>
        </w:rPr>
        <w:t>Understanding the drivers of recent trends in young people’s mental health</w:t>
      </w:r>
      <w:r w:rsidRPr="00EE5200">
        <w:rPr>
          <w:rFonts w:ascii="Aptos Light" w:hAnsi="Aptos Light" w:cs="Arial"/>
          <w:color w:val="3A3A3A" w:themeColor="background2" w:themeShade="40"/>
          <w:sz w:val="16"/>
          <w:szCs w:val="16"/>
        </w:rPr>
        <w:t xml:space="preserve">’, Jul 2025. </w:t>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Centre for Young Lives</w:t>
      </w:r>
      <w:r w:rsidRPr="00EE5200">
        <w:rPr>
          <w:rFonts w:ascii="Aptos Light" w:hAnsi="Aptos Light" w:cs="Arial"/>
          <w:color w:val="3A3A3A" w:themeColor="background2" w:themeShade="40"/>
          <w:sz w:val="16"/>
          <w:szCs w:val="16"/>
        </w:rPr>
        <w:t>, ‘</w:t>
      </w:r>
      <w:r w:rsidRPr="00EE5200">
        <w:rPr>
          <w:rFonts w:ascii="Aptos Light" w:hAnsi="Aptos Light" w:cs="Arial"/>
          <w:i/>
          <w:iCs/>
          <w:color w:val="3A3A3A" w:themeColor="background2" w:themeShade="40"/>
          <w:sz w:val="16"/>
          <w:szCs w:val="16"/>
        </w:rPr>
        <w:t>Everything to play for: A plan to ensure every child in England can play</w:t>
      </w:r>
      <w:r w:rsidRPr="00EE5200">
        <w:rPr>
          <w:rFonts w:ascii="Aptos Light" w:hAnsi="Aptos Light" w:cs="Arial"/>
          <w:i/>
          <w:iCs/>
          <w:color w:val="3A3A3A" w:themeColor="background2" w:themeShade="40"/>
          <w:sz w:val="16"/>
          <w:szCs w:val="16"/>
        </w:rPr>
        <w:t>’</w:t>
      </w:r>
      <w:r w:rsidRPr="00EE5200">
        <w:rPr>
          <w:rFonts w:ascii="Aptos Light" w:hAnsi="Aptos Light" w:cs="Arial"/>
          <w:color w:val="3A3A3A" w:themeColor="background2" w:themeShade="40"/>
          <w:sz w:val="16"/>
          <w:szCs w:val="16"/>
        </w:rPr>
        <w:t xml:space="preserve">, </w:t>
      </w:r>
      <w:r w:rsidRPr="00EE5200">
        <w:rPr>
          <w:rFonts w:ascii="Aptos Light" w:hAnsi="Aptos Light" w:cs="Arial"/>
          <w:color w:val="3A3A3A" w:themeColor="background2" w:themeShade="40"/>
          <w:sz w:val="16"/>
          <w:szCs w:val="16"/>
        </w:rPr>
        <w:t xml:space="preserve">Jun 2025.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872263"/>
    <w:multiLevelType w:val="hybridMultilevel"/>
    <w:tmpl w:val="CB46B432"/>
    <w:lvl w:ilvl="0">
      <w:start w:val="0"/>
      <w:numFmt w:val="bullet"/>
      <w:lvlText w:val="-"/>
      <w:lvlJc w:val="left"/>
      <w:pPr>
        <w:ind w:left="720" w:hanging="360"/>
      </w:pPr>
      <w:rPr>
        <w:rFonts w:ascii="Aptos" w:hAnsi="Aptos"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F3F07"/>
    <w:multiLevelType w:val="hybridMultilevel"/>
    <w:tmpl w:val="450677A6"/>
    <w:lvl w:ilvl="0">
      <w:start w:val="1"/>
      <w:numFmt w:val="bullet"/>
      <w:lvlText w:val=""/>
      <w:lvlJc w:val="left"/>
      <w:pPr>
        <w:ind w:left="1145" w:hanging="360"/>
      </w:pPr>
      <w:rPr>
        <w:rFonts w:ascii="Symbol" w:hAnsi="Symbol" w:hint="default"/>
      </w:rPr>
    </w:lvl>
    <w:lvl w:ilvl="1" w:tentative="1">
      <w:start w:val="1"/>
      <w:numFmt w:val="bullet"/>
      <w:lvlText w:val="o"/>
      <w:lvlJc w:val="left"/>
      <w:pPr>
        <w:ind w:left="1865" w:hanging="360"/>
      </w:pPr>
      <w:rPr>
        <w:rFonts w:ascii="Courier New" w:hAnsi="Courier New" w:cs="Courier New" w:hint="default"/>
      </w:rPr>
    </w:lvl>
    <w:lvl w:ilvl="2" w:tentative="1">
      <w:start w:val="1"/>
      <w:numFmt w:val="bullet"/>
      <w:lvlText w:val=""/>
      <w:lvlJc w:val="left"/>
      <w:pPr>
        <w:ind w:left="2585" w:hanging="360"/>
      </w:pPr>
      <w:rPr>
        <w:rFonts w:ascii="Wingdings" w:hAnsi="Wingdings" w:hint="default"/>
      </w:rPr>
    </w:lvl>
    <w:lvl w:ilvl="3" w:tentative="1">
      <w:start w:val="1"/>
      <w:numFmt w:val="bullet"/>
      <w:lvlText w:val=""/>
      <w:lvlJc w:val="left"/>
      <w:pPr>
        <w:ind w:left="3305" w:hanging="360"/>
      </w:pPr>
      <w:rPr>
        <w:rFonts w:ascii="Symbol" w:hAnsi="Symbol" w:hint="default"/>
      </w:rPr>
    </w:lvl>
    <w:lvl w:ilvl="4" w:tentative="1">
      <w:start w:val="1"/>
      <w:numFmt w:val="bullet"/>
      <w:lvlText w:val="o"/>
      <w:lvlJc w:val="left"/>
      <w:pPr>
        <w:ind w:left="4025" w:hanging="360"/>
      </w:pPr>
      <w:rPr>
        <w:rFonts w:ascii="Courier New" w:hAnsi="Courier New" w:cs="Courier New" w:hint="default"/>
      </w:rPr>
    </w:lvl>
    <w:lvl w:ilvl="5" w:tentative="1">
      <w:start w:val="1"/>
      <w:numFmt w:val="bullet"/>
      <w:lvlText w:val=""/>
      <w:lvlJc w:val="left"/>
      <w:pPr>
        <w:ind w:left="4745" w:hanging="360"/>
      </w:pPr>
      <w:rPr>
        <w:rFonts w:ascii="Wingdings" w:hAnsi="Wingdings" w:hint="default"/>
      </w:rPr>
    </w:lvl>
    <w:lvl w:ilvl="6" w:tentative="1">
      <w:start w:val="1"/>
      <w:numFmt w:val="bullet"/>
      <w:lvlText w:val=""/>
      <w:lvlJc w:val="left"/>
      <w:pPr>
        <w:ind w:left="5465" w:hanging="360"/>
      </w:pPr>
      <w:rPr>
        <w:rFonts w:ascii="Symbol" w:hAnsi="Symbol" w:hint="default"/>
      </w:rPr>
    </w:lvl>
    <w:lvl w:ilvl="7" w:tentative="1">
      <w:start w:val="1"/>
      <w:numFmt w:val="bullet"/>
      <w:lvlText w:val="o"/>
      <w:lvlJc w:val="left"/>
      <w:pPr>
        <w:ind w:left="6185" w:hanging="360"/>
      </w:pPr>
      <w:rPr>
        <w:rFonts w:ascii="Courier New" w:hAnsi="Courier New" w:cs="Courier New" w:hint="default"/>
      </w:rPr>
    </w:lvl>
    <w:lvl w:ilvl="8" w:tentative="1">
      <w:start w:val="1"/>
      <w:numFmt w:val="bullet"/>
      <w:lvlText w:val=""/>
      <w:lvlJc w:val="left"/>
      <w:pPr>
        <w:ind w:left="6905" w:hanging="360"/>
      </w:pPr>
      <w:rPr>
        <w:rFonts w:ascii="Wingdings" w:hAnsi="Wingdings" w:hint="default"/>
      </w:rPr>
    </w:lvl>
  </w:abstractNum>
  <w:abstractNum w:abstractNumId="2">
    <w:nsid w:val="152B46E6"/>
    <w:multiLevelType w:val="hybridMultilevel"/>
    <w:tmpl w:val="22C438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B7003A5"/>
    <w:multiLevelType w:val="hybridMultilevel"/>
    <w:tmpl w:val="E80CA7DE"/>
    <w:lvl w:ilvl="0">
      <w:start w:val="1"/>
      <w:numFmt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496E4387"/>
    <w:multiLevelType w:val="hybridMultilevel"/>
    <w:tmpl w:val="8A461B22"/>
    <w:lvl w:ilvl="0">
      <w:start w:val="1"/>
      <w:numFmt w:val="bullet"/>
      <w:lvlText w:val=""/>
      <w:lvlJc w:val="left"/>
      <w:pPr>
        <w:ind w:left="1145" w:hanging="360"/>
      </w:pPr>
      <w:rPr>
        <w:rFonts w:ascii="Symbol" w:hAnsi="Symbol" w:hint="default"/>
      </w:rPr>
    </w:lvl>
    <w:lvl w:ilvl="1" w:tentative="1">
      <w:start w:val="1"/>
      <w:numFmt w:val="bullet"/>
      <w:lvlText w:val="o"/>
      <w:lvlJc w:val="left"/>
      <w:pPr>
        <w:ind w:left="1865" w:hanging="360"/>
      </w:pPr>
      <w:rPr>
        <w:rFonts w:ascii="Courier New" w:hAnsi="Courier New" w:cs="Courier New" w:hint="default"/>
      </w:rPr>
    </w:lvl>
    <w:lvl w:ilvl="2" w:tentative="1">
      <w:start w:val="1"/>
      <w:numFmt w:val="bullet"/>
      <w:lvlText w:val=""/>
      <w:lvlJc w:val="left"/>
      <w:pPr>
        <w:ind w:left="2585" w:hanging="360"/>
      </w:pPr>
      <w:rPr>
        <w:rFonts w:ascii="Wingdings" w:hAnsi="Wingdings" w:hint="default"/>
      </w:rPr>
    </w:lvl>
    <w:lvl w:ilvl="3" w:tentative="1">
      <w:start w:val="1"/>
      <w:numFmt w:val="bullet"/>
      <w:lvlText w:val=""/>
      <w:lvlJc w:val="left"/>
      <w:pPr>
        <w:ind w:left="3305" w:hanging="360"/>
      </w:pPr>
      <w:rPr>
        <w:rFonts w:ascii="Symbol" w:hAnsi="Symbol" w:hint="default"/>
      </w:rPr>
    </w:lvl>
    <w:lvl w:ilvl="4" w:tentative="1">
      <w:start w:val="1"/>
      <w:numFmt w:val="bullet"/>
      <w:lvlText w:val="o"/>
      <w:lvlJc w:val="left"/>
      <w:pPr>
        <w:ind w:left="4025" w:hanging="360"/>
      </w:pPr>
      <w:rPr>
        <w:rFonts w:ascii="Courier New" w:hAnsi="Courier New" w:cs="Courier New" w:hint="default"/>
      </w:rPr>
    </w:lvl>
    <w:lvl w:ilvl="5" w:tentative="1">
      <w:start w:val="1"/>
      <w:numFmt w:val="bullet"/>
      <w:lvlText w:val=""/>
      <w:lvlJc w:val="left"/>
      <w:pPr>
        <w:ind w:left="4745" w:hanging="360"/>
      </w:pPr>
      <w:rPr>
        <w:rFonts w:ascii="Wingdings" w:hAnsi="Wingdings" w:hint="default"/>
      </w:rPr>
    </w:lvl>
    <w:lvl w:ilvl="6" w:tentative="1">
      <w:start w:val="1"/>
      <w:numFmt w:val="bullet"/>
      <w:lvlText w:val=""/>
      <w:lvlJc w:val="left"/>
      <w:pPr>
        <w:ind w:left="5465" w:hanging="360"/>
      </w:pPr>
      <w:rPr>
        <w:rFonts w:ascii="Symbol" w:hAnsi="Symbol" w:hint="default"/>
      </w:rPr>
    </w:lvl>
    <w:lvl w:ilvl="7" w:tentative="1">
      <w:start w:val="1"/>
      <w:numFmt w:val="bullet"/>
      <w:lvlText w:val="o"/>
      <w:lvlJc w:val="left"/>
      <w:pPr>
        <w:ind w:left="6185" w:hanging="360"/>
      </w:pPr>
      <w:rPr>
        <w:rFonts w:ascii="Courier New" w:hAnsi="Courier New" w:cs="Courier New" w:hint="default"/>
      </w:rPr>
    </w:lvl>
    <w:lvl w:ilvl="8" w:tentative="1">
      <w:start w:val="1"/>
      <w:numFmt w:val="bullet"/>
      <w:lvlText w:val=""/>
      <w:lvlJc w:val="left"/>
      <w:pPr>
        <w:ind w:left="6905" w:hanging="360"/>
      </w:pPr>
      <w:rPr>
        <w:rFonts w:ascii="Wingdings" w:hAnsi="Wingdings" w:hint="default"/>
      </w:rPr>
    </w:lvl>
  </w:abstractNum>
  <w:abstractNum w:abstractNumId="5">
    <w:nsid w:val="4EAD0A4D"/>
    <w:multiLevelType w:val="hybridMultilevel"/>
    <w:tmpl w:val="84C4F9FA"/>
    <w:lvl w:ilvl="0">
      <w:start w:val="1"/>
      <w:numFmt w:val="bullet"/>
      <w:lvlText w:val=""/>
      <w:lvlJc w:val="left"/>
      <w:pPr>
        <w:ind w:left="1145" w:hanging="360"/>
      </w:pPr>
      <w:rPr>
        <w:rFonts w:ascii="Symbol" w:hAnsi="Symbol" w:hint="default"/>
      </w:rPr>
    </w:lvl>
    <w:lvl w:ilvl="1">
      <w:start w:val="1"/>
      <w:numFmt w:val="bullet"/>
      <w:lvlText w:val="o"/>
      <w:lvlJc w:val="left"/>
      <w:pPr>
        <w:ind w:left="1865" w:hanging="360"/>
      </w:pPr>
      <w:rPr>
        <w:rFonts w:ascii="Courier New" w:hAnsi="Courier New" w:cs="Courier New" w:hint="default"/>
      </w:rPr>
    </w:lvl>
    <w:lvl w:ilvl="2" w:tentative="1">
      <w:start w:val="1"/>
      <w:numFmt w:val="bullet"/>
      <w:lvlText w:val=""/>
      <w:lvlJc w:val="left"/>
      <w:pPr>
        <w:ind w:left="2585" w:hanging="360"/>
      </w:pPr>
      <w:rPr>
        <w:rFonts w:ascii="Wingdings" w:hAnsi="Wingdings" w:hint="default"/>
      </w:rPr>
    </w:lvl>
    <w:lvl w:ilvl="3" w:tentative="1">
      <w:start w:val="1"/>
      <w:numFmt w:val="bullet"/>
      <w:lvlText w:val=""/>
      <w:lvlJc w:val="left"/>
      <w:pPr>
        <w:ind w:left="3305" w:hanging="360"/>
      </w:pPr>
      <w:rPr>
        <w:rFonts w:ascii="Symbol" w:hAnsi="Symbol" w:hint="default"/>
      </w:rPr>
    </w:lvl>
    <w:lvl w:ilvl="4" w:tentative="1">
      <w:start w:val="1"/>
      <w:numFmt w:val="bullet"/>
      <w:lvlText w:val="o"/>
      <w:lvlJc w:val="left"/>
      <w:pPr>
        <w:ind w:left="4025" w:hanging="360"/>
      </w:pPr>
      <w:rPr>
        <w:rFonts w:ascii="Courier New" w:hAnsi="Courier New" w:cs="Courier New" w:hint="default"/>
      </w:rPr>
    </w:lvl>
    <w:lvl w:ilvl="5" w:tentative="1">
      <w:start w:val="1"/>
      <w:numFmt w:val="bullet"/>
      <w:lvlText w:val=""/>
      <w:lvlJc w:val="left"/>
      <w:pPr>
        <w:ind w:left="4745" w:hanging="360"/>
      </w:pPr>
      <w:rPr>
        <w:rFonts w:ascii="Wingdings" w:hAnsi="Wingdings" w:hint="default"/>
      </w:rPr>
    </w:lvl>
    <w:lvl w:ilvl="6" w:tentative="1">
      <w:start w:val="1"/>
      <w:numFmt w:val="bullet"/>
      <w:lvlText w:val=""/>
      <w:lvlJc w:val="left"/>
      <w:pPr>
        <w:ind w:left="5465" w:hanging="360"/>
      </w:pPr>
      <w:rPr>
        <w:rFonts w:ascii="Symbol" w:hAnsi="Symbol" w:hint="default"/>
      </w:rPr>
    </w:lvl>
    <w:lvl w:ilvl="7" w:tentative="1">
      <w:start w:val="1"/>
      <w:numFmt w:val="bullet"/>
      <w:lvlText w:val="o"/>
      <w:lvlJc w:val="left"/>
      <w:pPr>
        <w:ind w:left="6185" w:hanging="360"/>
      </w:pPr>
      <w:rPr>
        <w:rFonts w:ascii="Courier New" w:hAnsi="Courier New" w:cs="Courier New" w:hint="default"/>
      </w:rPr>
    </w:lvl>
    <w:lvl w:ilvl="8" w:tentative="1">
      <w:start w:val="1"/>
      <w:numFmt w:val="bullet"/>
      <w:lvlText w:val=""/>
      <w:lvlJc w:val="left"/>
      <w:pPr>
        <w:ind w:left="6905" w:hanging="360"/>
      </w:pPr>
      <w:rPr>
        <w:rFonts w:ascii="Wingdings" w:hAnsi="Wingdings" w:hint="default"/>
      </w:rPr>
    </w:lvl>
  </w:abstractNum>
  <w:abstractNum w:abstractNumId="6">
    <w:nsid w:val="4FAD6328"/>
    <w:multiLevelType w:val="hybridMultilevel"/>
    <w:tmpl w:val="05303C62"/>
    <w:lvl w:ilvl="0">
      <w:start w:val="1"/>
      <w:numFmt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54CE3C9F"/>
    <w:multiLevelType w:val="hybridMultilevel"/>
    <w:tmpl w:val="26202630"/>
    <w:lvl w:ilvl="0">
      <w:start w:val="1"/>
      <w:numFmt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5D4737AF"/>
    <w:multiLevelType w:val="hybridMultilevel"/>
    <w:tmpl w:val="CA2440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38A0278"/>
    <w:multiLevelType w:val="hybridMultilevel"/>
    <w:tmpl w:val="D416E0A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653C05A1"/>
    <w:multiLevelType w:val="hybridMultilevel"/>
    <w:tmpl w:val="CBE4A5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7B13E06"/>
    <w:multiLevelType w:val="hybridMultilevel"/>
    <w:tmpl w:val="0540BF56"/>
    <w:lvl w:ilvl="0">
      <w:start w:val="0"/>
      <w:numFmt w:val="bullet"/>
      <w:lvlText w:val="-"/>
      <w:lvlJc w:val="left"/>
      <w:pPr>
        <w:ind w:left="360" w:hanging="360"/>
      </w:pPr>
      <w:rPr>
        <w:rFonts w:ascii="Aptos" w:hAnsi="Aptos" w:eastAsiaTheme="minorEastAsia"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683808E6"/>
    <w:multiLevelType w:val="hybridMultilevel"/>
    <w:tmpl w:val="3DAEB23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9F1002"/>
    <w:multiLevelType w:val="hybridMultilevel"/>
    <w:tmpl w:val="00F2BA90"/>
    <w:lvl w:ilvl="0">
      <w:start w:val="3"/>
      <w:numFmt w:val="bullet"/>
      <w:lvlText w:val=""/>
      <w:lvlJc w:val="left"/>
      <w:pPr>
        <w:ind w:left="720" w:hanging="360"/>
      </w:pPr>
      <w:rPr>
        <w:rFonts w:ascii="Wingdings" w:hAnsi="Wingdings"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6741B5F"/>
    <w:multiLevelType w:val="hybridMultilevel"/>
    <w:tmpl w:val="992234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3"/>
  </w:num>
  <w:num w:numId="4">
    <w:abstractNumId w:val="6"/>
  </w:num>
  <w:num w:numId="5">
    <w:abstractNumId w:val="7"/>
  </w:num>
  <w:num w:numId="6">
    <w:abstractNumId w:val="13"/>
  </w:num>
  <w:num w:numId="7">
    <w:abstractNumId w:val="2"/>
  </w:num>
  <w:num w:numId="8">
    <w:abstractNumId w:val="5"/>
  </w:num>
  <w:num w:numId="9">
    <w:abstractNumId w:val="8"/>
  </w:num>
  <w:num w:numId="10">
    <w:abstractNumId w:val="10"/>
  </w:num>
  <w:num w:numId="11">
    <w:abstractNumId w:val="1"/>
  </w:num>
  <w:num w:numId="12">
    <w:abstractNumId w:val="14"/>
  </w:num>
  <w:num w:numId="13">
    <w:abstractNumId w:val="4"/>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FE61B9"/>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459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9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4A7"/>
    <w:pPr>
      <w:numPr>
        <w:ilvl w:val="1"/>
      </w:numPr>
    </w:pPr>
    <w:rPr>
      <w:color w:val="5A5A5A" w:themeColor="text1" w:themeTint="A5"/>
      <w:spacing w:val="15"/>
      <w:sz w:val="22"/>
      <w:szCs w:val="22"/>
    </w:rPr>
  </w:style>
  <w:style w:type="character" w:customStyle="1" w:styleId="SubtitleChar">
    <w:name w:val="Subtitle Char"/>
    <w:basedOn w:val="DefaultParagraphFont"/>
    <w:link w:val="Subtitle"/>
    <w:uiPriority w:val="11"/>
    <w:rsid w:val="006844A7"/>
    <w:rPr>
      <w:color w:val="5A5A5A" w:themeColor="text1" w:themeTint="A5"/>
      <w:spacing w:val="15"/>
      <w:sz w:val="22"/>
      <w:szCs w:val="22"/>
    </w:rPr>
  </w:style>
  <w:style w:type="paragraph" w:styleId="ListParagraph">
    <w:name w:val="List Paragraph"/>
    <w:basedOn w:val="Normal"/>
    <w:uiPriority w:val="34"/>
    <w:qFormat/>
    <w:rsid w:val="001E0D32"/>
    <w:pPr>
      <w:ind w:left="720"/>
      <w:contextualSpacing/>
    </w:pPr>
  </w:style>
  <w:style w:type="character" w:styleId="Hyperlink">
    <w:name w:val="Hyperlink"/>
    <w:basedOn w:val="DefaultParagraphFont"/>
    <w:uiPriority w:val="99"/>
    <w:unhideWhenUsed/>
    <w:rsid w:val="006D00C2"/>
    <w:rPr>
      <w:color w:val="467886" w:themeColor="hyperlink"/>
      <w:u w:val="single"/>
    </w:rPr>
  </w:style>
  <w:style w:type="character" w:customStyle="1" w:styleId="UnresolvedMention1">
    <w:name w:val="Unresolved Mention1"/>
    <w:basedOn w:val="DefaultParagraphFont"/>
    <w:uiPriority w:val="99"/>
    <w:semiHidden/>
    <w:unhideWhenUsed/>
    <w:rsid w:val="006D00C2"/>
    <w:rPr>
      <w:color w:val="605E5C"/>
      <w:shd w:val="clear" w:color="auto" w:fill="E1DFDD"/>
    </w:rPr>
  </w:style>
  <w:style w:type="character" w:customStyle="1" w:styleId="Heading1Char">
    <w:name w:val="Heading 1 Char"/>
    <w:basedOn w:val="DefaultParagraphFont"/>
    <w:link w:val="Heading1"/>
    <w:uiPriority w:val="9"/>
    <w:rsid w:val="00FE61B9"/>
    <w:rPr>
      <w:rFonts w:asciiTheme="majorHAnsi" w:eastAsiaTheme="majorEastAsia" w:hAnsiTheme="majorHAnsi" w:cstheme="majorBidi"/>
      <w:color w:val="0F4761" w:themeColor="accent1" w:themeShade="BF"/>
      <w:sz w:val="32"/>
      <w:szCs w:val="32"/>
    </w:rPr>
  </w:style>
  <w:style w:type="paragraph" w:styleId="FootnoteText">
    <w:name w:val="footnote text"/>
    <w:basedOn w:val="Normal"/>
    <w:link w:val="FootnoteTextChar"/>
    <w:uiPriority w:val="99"/>
    <w:semiHidden/>
    <w:unhideWhenUsed/>
    <w:rsid w:val="00807E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7E45"/>
    <w:rPr>
      <w:sz w:val="20"/>
      <w:szCs w:val="20"/>
    </w:rPr>
  </w:style>
  <w:style w:type="character" w:styleId="FootnoteReference">
    <w:name w:val="footnote reference"/>
    <w:basedOn w:val="DefaultParagraphFont"/>
    <w:uiPriority w:val="99"/>
    <w:semiHidden/>
    <w:unhideWhenUsed/>
    <w:rsid w:val="00807E45"/>
    <w:rPr>
      <w:vertAlign w:val="superscript"/>
    </w:rPr>
  </w:style>
  <w:style w:type="character" w:styleId="FollowedHyperlink">
    <w:name w:val="FollowedHyperlink"/>
    <w:basedOn w:val="DefaultParagraphFont"/>
    <w:uiPriority w:val="99"/>
    <w:semiHidden/>
    <w:unhideWhenUsed/>
    <w:rsid w:val="00881B05"/>
    <w:rPr>
      <w:color w:val="96607D" w:themeColor="followedHyperlink"/>
      <w:u w:val="single"/>
    </w:rPr>
  </w:style>
  <w:style w:type="paragraph" w:styleId="Header">
    <w:name w:val="header"/>
    <w:basedOn w:val="Normal"/>
    <w:link w:val="HeaderChar"/>
    <w:uiPriority w:val="99"/>
    <w:unhideWhenUsed/>
    <w:rsid w:val="00B843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31F"/>
  </w:style>
  <w:style w:type="paragraph" w:styleId="Footer">
    <w:name w:val="footer"/>
    <w:basedOn w:val="Normal"/>
    <w:link w:val="FooterChar"/>
    <w:uiPriority w:val="99"/>
    <w:unhideWhenUsed/>
    <w:rsid w:val="00B843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CYM0184</dc:title>
  <cp:revision>0</cp:revision>
</cp:coreProperties>
</file>