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57D94" w:rsidRPr="00657D94" w:rsidP="00657D94">
      <w:pPr>
        <w:pStyle w:val="Level1heading"/>
        <w:widowControl w:val="0"/>
        <w:spacing w:line="259" w:lineRule="auto"/>
        <w:jc w:val="center"/>
        <w:rPr>
          <w:sz w:val="30"/>
          <w:szCs w:val="30"/>
        </w:rPr>
      </w:pPr>
      <w:r w:rsidRPr="00657D94">
        <w:rPr>
          <w:sz w:val="30"/>
          <w:szCs w:val="30"/>
        </w:rPr>
        <w:t>Written Evidence Submitted by UNISON (CYM018</w:t>
      </w:r>
      <w:r>
        <w:rPr>
          <w:sz w:val="30"/>
          <w:szCs w:val="30"/>
        </w:rPr>
        <w:t>3</w:t>
      </w:r>
      <w:r w:rsidRPr="00657D94">
        <w:rPr>
          <w:sz w:val="30"/>
          <w:szCs w:val="30"/>
        </w:rPr>
        <w:t>)</w:t>
      </w:r>
    </w:p>
    <w:p w:rsidR="00657D94" w:rsidP="00186B07">
      <w:pPr>
        <w:pStyle w:val="Level1heading"/>
        <w:keepNext w:val="0"/>
        <w:widowControl w:val="0"/>
        <w:spacing w:line="259" w:lineRule="auto"/>
        <w:rPr>
          <w:sz w:val="30"/>
          <w:szCs w:val="30"/>
        </w:rPr>
      </w:pPr>
    </w:p>
    <w:p w:rsidR="00657D94" w:rsidP="00186B07">
      <w:pPr>
        <w:pStyle w:val="Level1heading"/>
        <w:keepNext w:val="0"/>
        <w:widowControl w:val="0"/>
        <w:spacing w:line="259" w:lineRule="auto"/>
        <w:rPr>
          <w:sz w:val="30"/>
          <w:szCs w:val="30"/>
        </w:rPr>
      </w:pPr>
    </w:p>
    <w:p w:rsidR="00657D94" w:rsidP="00186B07">
      <w:pPr>
        <w:pStyle w:val="Level1heading"/>
        <w:keepNext w:val="0"/>
        <w:widowControl w:val="0"/>
        <w:spacing w:line="259" w:lineRule="auto"/>
        <w:rPr>
          <w:sz w:val="30"/>
          <w:szCs w:val="30"/>
        </w:rPr>
      </w:pPr>
    </w:p>
    <w:p w:rsidR="00657D94" w:rsidP="00186B07">
      <w:pPr>
        <w:pStyle w:val="Level1heading"/>
        <w:keepNext w:val="0"/>
        <w:widowControl w:val="0"/>
        <w:spacing w:line="259" w:lineRule="auto"/>
        <w:rPr>
          <w:sz w:val="30"/>
          <w:szCs w:val="30"/>
        </w:rPr>
      </w:pPr>
    </w:p>
    <w:p w:rsidR="00A07B78" w:rsidRPr="00186B07" w:rsidP="00186B07">
      <w:pPr>
        <w:pStyle w:val="Level1heading"/>
        <w:keepNext w:val="0"/>
        <w:widowControl w:val="0"/>
        <w:spacing w:line="259" w:lineRule="auto"/>
        <w:rPr>
          <w:sz w:val="30"/>
          <w:szCs w:val="30"/>
        </w:rPr>
      </w:pPr>
      <w:r w:rsidRPr="00186B07">
        <w:rPr>
          <w:sz w:val="30"/>
          <w:szCs w:val="30"/>
        </w:rPr>
        <w:t>Children &amp; Young People’s Mental Health: UNISON response</w:t>
      </w:r>
    </w:p>
    <w:p w:rsidR="00A07B78" w:rsidP="000D2502">
      <w:pPr>
        <w:pStyle w:val="Bodycopy"/>
        <w:rPr>
          <w:b/>
          <w:bCs/>
          <w:u w:val="single"/>
        </w:rPr>
      </w:pPr>
      <w:r w:rsidRPr="00123E12">
        <w:rPr>
          <w:b/>
          <w:bCs/>
          <w:u w:val="single"/>
        </w:rPr>
        <w:t>About UNISON</w:t>
      </w:r>
    </w:p>
    <w:p w:rsidR="00A07B78" w:rsidP="000D2502">
      <w:pPr>
        <w:pStyle w:val="Bodycopy"/>
        <w:rPr>
          <w:b/>
          <w:bCs/>
          <w:u w:val="single"/>
        </w:rPr>
      </w:pPr>
    </w:p>
    <w:p w:rsidR="00A07B78" w:rsidP="00123E12">
      <w:pPr>
        <w:pStyle w:val="Bodycopy"/>
      </w:pPr>
      <w:r w:rsidRPr="00123E12">
        <w:t>With more than 350,000 members, UNISON represents more education staff than any other trade union in the UK.</w:t>
      </w:r>
      <w:r>
        <w:t xml:space="preserve"> Members undertake roles such as teaching assistant, school office staff, early years practitioner, lab technicians, caretakers, catering staff and administrative staff</w:t>
      </w:r>
      <w:r>
        <w:t xml:space="preserve">, and work in early years, primary and secondary schools, SEND and specialist </w:t>
      </w:r>
      <w:r>
        <w:t>schools, further education and higher education.</w:t>
      </w:r>
    </w:p>
    <w:p w:rsidR="00A07B78" w:rsidP="00123E12">
      <w:pPr>
        <w:pStyle w:val="Bodycopy"/>
      </w:pPr>
    </w:p>
    <w:p w:rsidR="00A07B78" w:rsidRPr="00123E12" w:rsidP="00123E12">
      <w:pPr>
        <w:pStyle w:val="Bodycopy"/>
      </w:pPr>
      <w:r w:rsidRPr="00526EA0">
        <w:t>UNISON is </w:t>
      </w:r>
      <w:r>
        <w:t xml:space="preserve">also </w:t>
      </w:r>
      <w:r w:rsidRPr="00526EA0">
        <w:t xml:space="preserve">the UK's largest health union, representing over 500,000 members across the NHS and private healthcare providers. They represent </w:t>
      </w:r>
      <w:r>
        <w:t>the whole NHS and healthcare team</w:t>
      </w:r>
      <w:r w:rsidRPr="00526EA0">
        <w:t>, including nurses, paramedics, cleaners, and professionals, focusing on pay negotiations, safe staffing, and workplace safety. </w:t>
      </w:r>
    </w:p>
    <w:p w:rsidR="00A07B78" w:rsidRPr="00123E12" w:rsidP="000D2502">
      <w:pPr>
        <w:pStyle w:val="Bodycopy"/>
      </w:pPr>
    </w:p>
    <w:p w:rsidR="00A07B78" w:rsidP="000D2502">
      <w:pPr>
        <w:pStyle w:val="Bodycopy"/>
        <w:rPr>
          <w:b/>
          <w:bCs/>
          <w:u w:val="single"/>
        </w:rPr>
      </w:pPr>
      <w:r w:rsidRPr="00123E12">
        <w:rPr>
          <w:b/>
          <w:bCs/>
          <w:u w:val="single"/>
        </w:rPr>
        <w:t>Introduction</w:t>
      </w:r>
    </w:p>
    <w:p w:rsidR="00A07B78" w:rsidRPr="00123E12" w:rsidP="000D2502">
      <w:pPr>
        <w:pStyle w:val="Bodycopy"/>
        <w:rPr>
          <w:b/>
          <w:bCs/>
          <w:u w:val="single"/>
        </w:rPr>
      </w:pPr>
    </w:p>
    <w:p w:rsidR="00A07B78" w:rsidRPr="00123E12" w:rsidP="00186B07">
      <w:pPr>
        <w:widowControl w:val="0"/>
        <w:rPr>
          <w:rFonts w:ascii="Helvetica Now Text Light" w:eastAsia="Aptos" w:hAnsi="Helvetica Now Text Light" w:cs="Aptos"/>
          <w:sz w:val="20"/>
          <w:szCs w:val="20"/>
        </w:rPr>
      </w:pPr>
      <w:r w:rsidRPr="00123E12">
        <w:rPr>
          <w:rFonts w:ascii="Helvetica Now Text Light" w:eastAsia="Aptos" w:hAnsi="Helvetica Now Text Light" w:cs="Aptos"/>
          <w:sz w:val="20"/>
          <w:szCs w:val="20"/>
        </w:rPr>
        <w:t>UNISON welcomes the opportunity to contribute to this inquiry. Our members work across education, local government and the NHS, and include many of the staff who support children and young people in schools and colleges on a daily basis. This perspective provides insight into both the growing levels of need among children and young people</w:t>
      </w:r>
      <w:r>
        <w:rPr>
          <w:rFonts w:ascii="Helvetica Now Text Light" w:eastAsia="Aptos" w:hAnsi="Helvetica Now Text Light" w:cs="Aptos"/>
          <w:sz w:val="20"/>
          <w:szCs w:val="20"/>
        </w:rPr>
        <w:t xml:space="preserve">, </w:t>
      </w:r>
      <w:r w:rsidRPr="00123E12">
        <w:rPr>
          <w:rFonts w:ascii="Helvetica Now Text Light" w:eastAsia="Aptos" w:hAnsi="Helvetica Now Text Light" w:cs="Aptos"/>
          <w:sz w:val="20"/>
          <w:szCs w:val="20"/>
        </w:rPr>
        <w:t>and the practical challenges involved in supporting them effectively.</w:t>
      </w:r>
    </w:p>
    <w:p w:rsidR="00A07B78" w:rsidRPr="00123E12" w:rsidP="000D2502">
      <w:pPr>
        <w:pStyle w:val="Bodycopy"/>
      </w:pPr>
    </w:p>
    <w:p w:rsidR="00A07B78" w:rsidRPr="00123E12" w:rsidP="00186B07">
      <w:pPr>
        <w:pStyle w:val="Bodycopy"/>
        <w:keepNext w:val="0"/>
        <w:widowControl w:val="0"/>
        <w:rPr>
          <w:b/>
          <w:bCs/>
          <w:u w:val="single"/>
        </w:rPr>
      </w:pPr>
      <w:r w:rsidRPr="00123E12">
        <w:rPr>
          <w:b/>
          <w:bCs/>
          <w:u w:val="single"/>
        </w:rPr>
        <w:t>The role of education and community settings in support and delivery</w:t>
      </w:r>
    </w:p>
    <w:p w:rsidR="00A07B78" w:rsidRPr="00123E12" w:rsidP="00186B07">
      <w:pPr>
        <w:pStyle w:val="Bodycopy"/>
        <w:keepNext w:val="0"/>
        <w:widowControl w:val="0"/>
        <w:rPr>
          <w:color w:val="FF0000"/>
        </w:rPr>
      </w:pPr>
    </w:p>
    <w:p w:rsidR="00A07B78" w:rsidRPr="00123E12" w:rsidP="000D2502">
      <w:pPr>
        <w:pStyle w:val="Bodycopy"/>
        <w:rPr>
          <w:b/>
          <w:bCs/>
          <w:i/>
          <w:iCs/>
        </w:rPr>
      </w:pPr>
      <w:r w:rsidRPr="00123E12">
        <w:rPr>
          <w:b/>
          <w:bCs/>
          <w:i/>
          <w:iCs/>
        </w:rPr>
        <w:t xml:space="preserve">How effectively are education and community providers identifying and responding to children and young people’s mental health needs? </w:t>
      </w:r>
    </w:p>
    <w:p w:rsidR="00A07B78" w:rsidRPr="00123E12" w:rsidP="00123E12">
      <w:pPr>
        <w:pStyle w:val="Bullets"/>
        <w:rPr>
          <w:b/>
          <w:bCs/>
          <w:i/>
          <w:iCs/>
        </w:rPr>
      </w:pPr>
      <w:r w:rsidRPr="00123E12">
        <w:rPr>
          <w:b/>
          <w:bCs/>
          <w:i/>
          <w:iCs/>
        </w:rPr>
        <w:t>What role should staff in early years settings, schools, colleges and universities play in supporting the mental health of children and young people, what support and training do they need to enable them to take on this role?</w:t>
      </w:r>
    </w:p>
    <w:p w:rsidR="00A07B78" w:rsidRPr="00123E12" w:rsidP="00123E12">
      <w:pPr>
        <w:pStyle w:val="Bodycopy"/>
      </w:pPr>
    </w:p>
    <w:p w:rsidR="00A07B78" w:rsidRPr="00123E12" w:rsidP="00123E12">
      <w:pPr>
        <w:widowControl w:val="0"/>
        <w:spacing w:after="180"/>
        <w:rPr>
          <w:rFonts w:ascii="Helvetica Now Text Light" w:eastAsia="Aptos" w:hAnsi="Helvetica Now Text Light" w:cs="Aptos"/>
          <w:sz w:val="20"/>
          <w:szCs w:val="20"/>
        </w:rPr>
      </w:pPr>
      <w:r w:rsidRPr="00123E12">
        <w:rPr>
          <w:rFonts w:ascii="Helvetica Now Text Light" w:eastAsia="Aptos" w:hAnsi="Helvetica Now Text Light" w:cs="Aptos"/>
          <w:sz w:val="20"/>
          <w:szCs w:val="20"/>
        </w:rPr>
        <w:t>Education settings play an important role in identifying mental health needs and supporting pupils’ wellbeing. Staff in schools and colleges often develop close day-to-day relationships with pupils and are well placed to notice changes in behaviour, mood or engagement that may suggest a child is struggling. Support staff, including teaching assistants and pastoral staff, are frequently the people providing this frontline support.</w:t>
      </w:r>
    </w:p>
    <w:p w:rsidR="00A07B78" w:rsidRPr="00123E12" w:rsidP="00123E12">
      <w:pPr>
        <w:widowControl w:val="0"/>
        <w:spacing w:after="180"/>
        <w:rPr>
          <w:rFonts w:ascii="Helvetica Now Text Light" w:eastAsia="Aptos" w:hAnsi="Helvetica Now Text Light" w:cs="Aptos"/>
          <w:sz w:val="20"/>
          <w:szCs w:val="20"/>
        </w:rPr>
      </w:pPr>
      <w:r w:rsidRPr="00123E12">
        <w:rPr>
          <w:rFonts w:ascii="Helvetica Now Text Light" w:eastAsia="Aptos" w:hAnsi="Helvetica Now Text Light" w:cs="Aptos"/>
          <w:sz w:val="20"/>
          <w:szCs w:val="20"/>
        </w:rPr>
        <w:t>However, many schools report difficulties securing referrals to CAMHS or other NHS services, particularly where children do not meet high clinical thresholds. As a result, schools supporting pupils with significant needs without timely access to specialist services.</w:t>
      </w:r>
    </w:p>
    <w:p w:rsidR="00A07B78" w:rsidRPr="00123E12" w:rsidP="00123E12">
      <w:pPr>
        <w:widowControl w:val="0"/>
        <w:spacing w:after="180"/>
        <w:rPr>
          <w:rFonts w:ascii="Helvetica Now Text Light" w:eastAsia="Aptos" w:hAnsi="Helvetica Now Text Light" w:cs="Aptos"/>
          <w:sz w:val="20"/>
          <w:szCs w:val="20"/>
        </w:rPr>
      </w:pPr>
      <w:r w:rsidRPr="00123E12">
        <w:rPr>
          <w:rFonts w:ascii="Helvetica Now Text Light" w:eastAsia="Aptos" w:hAnsi="Helvetica Now Text Light" w:cs="Aptos"/>
          <w:sz w:val="20"/>
          <w:szCs w:val="20"/>
        </w:rPr>
        <w:t>Education staff can play a valuable role in promoting wellbeing and recognising when a pupil may need help. However, they are not clinically trained professionals and should not be expected to provide therapeutic or clinical interventions. In many schools, pastoral support has expanded in response to rising levels of need rather than through formal workforce p</w:t>
      </w:r>
      <w:r w:rsidRPr="00123E12">
        <w:rPr>
          <w:rFonts w:ascii="Helvetica Now Text Light" w:hAnsi="Helvetica Now Text Light" w:eastAsiaTheme="minorEastAsia"/>
          <w:sz w:val="20"/>
          <w:szCs w:val="20"/>
        </w:rPr>
        <w:t xml:space="preserve">lanning. This can leave staff managing complex situations without clear role </w:t>
      </w:r>
      <w:r w:rsidRPr="00123E12">
        <w:rPr>
          <w:rFonts w:ascii="Helvetica Now Text Light" w:hAnsi="Helvetica Now Text Light" w:eastAsiaTheme="minorEastAsia"/>
          <w:sz w:val="20"/>
          <w:szCs w:val="20"/>
        </w:rPr>
        <w:t xml:space="preserve">definitions or the time and training needed to carry out these responsibilities safely. </w:t>
      </w:r>
    </w:p>
    <w:p w:rsidR="00A07B78" w:rsidRPr="00123E12" w:rsidP="00123E12">
      <w:pPr>
        <w:widowControl w:val="0"/>
        <w:spacing w:after="180"/>
        <w:rPr>
          <w:rFonts w:ascii="Helvetica Now Text Light" w:eastAsia="Aptos" w:hAnsi="Helvetica Now Text Light" w:cs="Aptos"/>
          <w:sz w:val="20"/>
          <w:szCs w:val="20"/>
        </w:rPr>
      </w:pPr>
      <w:r>
        <w:fldChar w:fldCharType="begin"/>
      </w:r>
      <w:r>
        <w:instrText xml:space="preserve"> HYPERLINK "https://www.unison.org.uk/content/uploads/2025/06/Pupils-at-school-with-health-needs-June-2025.pdf" </w:instrText>
      </w:r>
      <w:r>
        <w:fldChar w:fldCharType="separate"/>
      </w:r>
      <w:r w:rsidRPr="00123E12">
        <w:rPr>
          <w:rStyle w:val="Hyperlink"/>
          <w:rFonts w:ascii="Helvetica Now Text Light" w:hAnsi="Helvetica Now Text Light" w:eastAsiaTheme="minorEastAsia"/>
          <w:sz w:val="20"/>
          <w:szCs w:val="20"/>
        </w:rPr>
        <w:t>A UNISON survey in 2025</w:t>
      </w:r>
      <w:r>
        <w:fldChar w:fldCharType="end"/>
      </w:r>
      <w:r w:rsidRPr="00123E12">
        <w:rPr>
          <w:rFonts w:ascii="Helvetica Now Text Light" w:hAnsi="Helvetica Now Text Light" w:eastAsiaTheme="minorEastAsia"/>
          <w:color w:val="FF0000"/>
          <w:sz w:val="20"/>
          <w:szCs w:val="20"/>
        </w:rPr>
        <w:t xml:space="preserve"> </w:t>
      </w:r>
      <w:r w:rsidRPr="00123E12">
        <w:rPr>
          <w:rFonts w:ascii="Helvetica Now Text Light" w:hAnsi="Helvetica Now Text Light" w:eastAsiaTheme="minorEastAsia"/>
          <w:sz w:val="20"/>
          <w:szCs w:val="20"/>
        </w:rPr>
        <w:t>found that while many staff undertake significant healthcare tasks, only 61% said they had received sufficient training and just 42% reported that their training had been signed off by a healthcare professional. Only 38% believed their school had enough trained staff to meet pupils’ health needs.</w:t>
      </w:r>
    </w:p>
    <w:p w:rsidR="00A07B78" w:rsidRPr="00123E12" w:rsidP="00123E12">
      <w:pPr>
        <w:widowControl w:val="0"/>
        <w:spacing w:after="180"/>
        <w:rPr>
          <w:rFonts w:ascii="Helvetica Now Text Light" w:eastAsia="Aptos" w:hAnsi="Helvetica Now Text Light" w:cs="Aptos"/>
          <w:sz w:val="20"/>
          <w:szCs w:val="20"/>
        </w:rPr>
      </w:pPr>
      <w:r w:rsidRPr="00123E12">
        <w:rPr>
          <w:rFonts w:ascii="Helvetica Now Text Light" w:eastAsia="Aptos" w:hAnsi="Helvetica Now Text Light" w:cs="Aptos"/>
          <w:sz w:val="20"/>
          <w:szCs w:val="20"/>
        </w:rPr>
        <w:t>Any expansion of mental health support in education settings therefore needs to consider workforce capacity, role clarity and the support available to staff working closely with vulnerable pupils, alongside improving access to specialist health services.</w:t>
      </w:r>
    </w:p>
    <w:p w:rsidR="00A07B78" w:rsidRPr="00123E12" w:rsidP="00123E12">
      <w:pPr>
        <w:widowControl w:val="0"/>
        <w:spacing w:after="180"/>
        <w:rPr>
          <w:rFonts w:ascii="Helvetica Now Text Light" w:eastAsia="Aptos" w:hAnsi="Helvetica Now Text Light" w:cs="Aptos"/>
          <w:sz w:val="20"/>
          <w:szCs w:val="20"/>
        </w:rPr>
      </w:pPr>
    </w:p>
    <w:p w:rsidR="00A07B78" w:rsidP="00123E12">
      <w:pPr>
        <w:pStyle w:val="Bodycopy"/>
        <w:keepNext w:val="0"/>
        <w:widowControl w:val="0"/>
        <w:rPr>
          <w:b/>
          <w:bCs/>
          <w:i/>
          <w:iCs/>
        </w:rPr>
      </w:pPr>
      <w:r w:rsidRPr="00123E12">
        <w:rPr>
          <w:b/>
          <w:bCs/>
          <w:i/>
          <w:iCs/>
        </w:rPr>
        <w:t>How do inspection and accountability frameworks such as Ofsted, the Office for Students or DfE guidance support or hinder education settings in prioritising mental health provision and should any changes be made? </w:t>
      </w:r>
    </w:p>
    <w:p w:rsidR="00A07B78" w:rsidRPr="00123E12" w:rsidP="00123E12">
      <w:pPr>
        <w:pStyle w:val="Bodycopy"/>
        <w:keepNext w:val="0"/>
        <w:widowControl w:val="0"/>
        <w:rPr>
          <w:b/>
          <w:bCs/>
          <w:i/>
          <w:iCs/>
        </w:rPr>
      </w:pPr>
    </w:p>
    <w:p w:rsidR="00A07B78" w:rsidRPr="00123E12" w:rsidP="00123E12">
      <w:pPr>
        <w:widowControl w:val="0"/>
        <w:rPr>
          <w:rFonts w:ascii="Helvetica Now Text Light" w:hAnsi="Helvetica Now Text Light" w:eastAsiaTheme="minorEastAsia"/>
          <w:sz w:val="20"/>
          <w:szCs w:val="20"/>
        </w:rPr>
      </w:pPr>
      <w:r w:rsidRPr="00123E12">
        <w:rPr>
          <w:rFonts w:ascii="Helvetica Now Text Light" w:hAnsi="Helvetica Now Text Light" w:eastAsiaTheme="minorEastAsia"/>
          <w:sz w:val="20"/>
          <w:szCs w:val="20"/>
        </w:rPr>
        <w:t>Inspection and accountability frameworks increasingly expect schools to demonstrate how they support pupils’ wellbeing and mental health. While this focus is welcome, it can create an imbalance if education settings are held accountable for outcomes that depend on the availability of external health services. Where schools are identifying significant levels of need but are unable to secure timely access to specialist support, inspection frameworks should recognise the limits of what education settings can r</w:t>
      </w:r>
      <w:r w:rsidRPr="00123E12">
        <w:rPr>
          <w:rFonts w:ascii="Helvetica Now Text Light" w:hAnsi="Helvetica Now Text Light" w:eastAsiaTheme="minorEastAsia"/>
          <w:sz w:val="20"/>
          <w:szCs w:val="20"/>
        </w:rPr>
        <w:t>easonably deliver. Greater alignment between inspection expectations and the availability of NHS services would help create a more balanced and realistic accountability framework.</w:t>
      </w:r>
    </w:p>
    <w:p w:rsidR="00A07B78" w:rsidRPr="00123E12" w:rsidP="00123E12">
      <w:pPr>
        <w:pStyle w:val="Bodycopy"/>
        <w:keepNext w:val="0"/>
        <w:widowControl w:val="0"/>
        <w:rPr>
          <w:b/>
          <w:bCs/>
        </w:rPr>
      </w:pPr>
    </w:p>
    <w:p w:rsidR="00A07B78" w:rsidRPr="00123E12" w:rsidP="00123E12">
      <w:pPr>
        <w:pStyle w:val="Bodycopy"/>
      </w:pPr>
    </w:p>
    <w:p w:rsidR="00A07B78" w:rsidRPr="00123E12" w:rsidP="00123E12">
      <w:pPr>
        <w:pStyle w:val="Bodycopy"/>
        <w:keepNext w:val="0"/>
        <w:widowControl w:val="0"/>
        <w:rPr>
          <w:b/>
          <w:bCs/>
          <w:i/>
          <w:iCs/>
        </w:rPr>
      </w:pPr>
      <w:r w:rsidRPr="00123E12">
        <w:rPr>
          <w:b/>
          <w:bCs/>
          <w:i/>
          <w:iCs/>
        </w:rPr>
        <w:t>What is required to achieve the Government’s manifesto commitments on provision of mental health support in schools and colleges? </w:t>
      </w:r>
    </w:p>
    <w:p w:rsidR="00A07B78" w:rsidRPr="00123E12" w:rsidP="00123E12">
      <w:pPr>
        <w:pStyle w:val="Bullets"/>
        <w:rPr>
          <w:b/>
          <w:bCs/>
          <w:i/>
          <w:iCs/>
        </w:rPr>
      </w:pPr>
      <w:r w:rsidRPr="00123E12">
        <w:rPr>
          <w:b/>
          <w:bCs/>
          <w:i/>
          <w:iCs/>
        </w:rPr>
        <w:t>To what extent does the rollout of Education Mental Health Practitioners and Mental Health Support Teams support in delivering on this commitment?  </w:t>
      </w:r>
    </w:p>
    <w:p w:rsidR="00A07B78" w:rsidRPr="00123E12" w:rsidP="00123E12">
      <w:pPr>
        <w:pStyle w:val="Bodycopy"/>
      </w:pPr>
    </w:p>
    <w:p w:rsidR="00A07B78" w:rsidRPr="00123E12" w:rsidP="00123E12">
      <w:pPr>
        <w:widowControl w:val="0"/>
        <w:rPr>
          <w:rFonts w:ascii="Helvetica Now Text Light" w:eastAsia="Aptos" w:hAnsi="Helvetica Now Text Light" w:cs="Aptos"/>
          <w:sz w:val="20"/>
          <w:szCs w:val="20"/>
        </w:rPr>
      </w:pPr>
      <w:r w:rsidRPr="00123E12">
        <w:rPr>
          <w:rFonts w:ascii="Helvetica Now Text Light" w:eastAsia="Aptos" w:hAnsi="Helvetica Now Text Light" w:cs="Aptos"/>
          <w:sz w:val="20"/>
          <w:szCs w:val="20"/>
        </w:rPr>
        <w:t>Mental Health Support Teams can play a useful role in strengthening early intervention and improving links between schools and NHS mental health services. Their presence can support staff confidence in responding to lower-level concerns and facilitate access to advice and guidance.</w:t>
      </w:r>
    </w:p>
    <w:p w:rsidR="00A07B78" w:rsidRPr="00123E12" w:rsidP="00123E12">
      <w:pPr>
        <w:widowControl w:val="0"/>
        <w:rPr>
          <w:rFonts w:ascii="Helvetica Now Text Light" w:eastAsia="Aptos" w:hAnsi="Helvetica Now Text Light" w:cs="Aptos"/>
          <w:sz w:val="20"/>
          <w:szCs w:val="20"/>
        </w:rPr>
      </w:pPr>
      <w:r w:rsidRPr="00123E12">
        <w:rPr>
          <w:rFonts w:ascii="Helvetica Now Text Light" w:eastAsia="Aptos" w:hAnsi="Helvetica Now Text Light" w:cs="Aptos"/>
          <w:sz w:val="20"/>
          <w:szCs w:val="20"/>
        </w:rPr>
        <w:t xml:space="preserve"> </w:t>
      </w:r>
    </w:p>
    <w:p w:rsidR="00A07B78" w:rsidRPr="00123E12" w:rsidP="00123E12">
      <w:pPr>
        <w:widowControl w:val="0"/>
        <w:rPr>
          <w:rFonts w:ascii="Helvetica Now Text Light" w:eastAsia="Aptos" w:hAnsi="Helvetica Now Text Light" w:cs="Aptos"/>
          <w:sz w:val="20"/>
          <w:szCs w:val="20"/>
        </w:rPr>
      </w:pPr>
      <w:r w:rsidRPr="00123E12">
        <w:rPr>
          <w:rFonts w:ascii="Helvetica Now Text Light" w:eastAsia="Aptos" w:hAnsi="Helvetica Now Text Light" w:cs="Aptos"/>
          <w:sz w:val="20"/>
          <w:szCs w:val="20"/>
        </w:rPr>
        <w:t>However, coverage remains incomplete across England, meaning that many schools do not yet have access to this support. In addition, the scope of these teams is limited</w:t>
      </w:r>
      <w:r w:rsidRPr="00123E12">
        <w:rPr>
          <w:rFonts w:ascii="Helvetica Now Text Light" w:eastAsia="Aptos" w:hAnsi="Helvetica Now Text Light" w:cs="Aptos"/>
          <w:sz w:val="20"/>
          <w:szCs w:val="20"/>
        </w:rPr>
        <w:t xml:space="preserve"> and they cannot substitute for adequately resourced specialist services where children require more intensive clinical intervention.</w:t>
      </w:r>
    </w:p>
    <w:p w:rsidR="00A07B78" w:rsidRPr="00123E12" w:rsidP="00123E12">
      <w:pPr>
        <w:widowControl w:val="0"/>
        <w:rPr>
          <w:rFonts w:ascii="Helvetica Now Text Light" w:eastAsia="Aptos" w:hAnsi="Helvetica Now Text Light" w:cs="Aptos"/>
          <w:sz w:val="20"/>
          <w:szCs w:val="20"/>
        </w:rPr>
      </w:pPr>
      <w:r w:rsidRPr="00123E12">
        <w:rPr>
          <w:rFonts w:ascii="Helvetica Now Text Light" w:eastAsia="Aptos" w:hAnsi="Helvetica Now Text Light" w:cs="Aptos"/>
          <w:sz w:val="20"/>
          <w:szCs w:val="20"/>
        </w:rPr>
        <w:t xml:space="preserve"> </w:t>
      </w:r>
    </w:p>
    <w:p w:rsidR="00A07B78" w:rsidRPr="00123E12" w:rsidP="00123E12">
      <w:pPr>
        <w:widowControl w:val="0"/>
        <w:rPr>
          <w:rFonts w:ascii="Helvetica Now Text Light" w:eastAsia="Aptos" w:hAnsi="Helvetica Now Text Light" w:cs="Aptos"/>
          <w:sz w:val="20"/>
          <w:szCs w:val="20"/>
        </w:rPr>
      </w:pPr>
      <w:r w:rsidRPr="00123E12">
        <w:rPr>
          <w:rFonts w:ascii="Helvetica Now Text Light" w:eastAsia="Aptos" w:hAnsi="Helvetica Now Text Light" w:cs="Aptos"/>
          <w:sz w:val="20"/>
          <w:szCs w:val="20"/>
        </w:rPr>
        <w:t>For this model to deliver its intended impact, it must be supported by sufficient CAMHS capacity and clear referral pathways so that children whose needs escalate can access appropriate care without delay.</w:t>
      </w:r>
    </w:p>
    <w:p w:rsidR="00A07B78" w:rsidRPr="00123E12" w:rsidP="00123E12">
      <w:pPr>
        <w:pStyle w:val="Bodycopy"/>
        <w:rPr>
          <w:color w:val="auto"/>
        </w:rPr>
      </w:pPr>
    </w:p>
    <w:p w:rsidR="00A07B78" w:rsidRPr="00123E12" w:rsidP="00123E12">
      <w:pPr>
        <w:pStyle w:val="Bodycopy"/>
        <w:rPr>
          <w:color w:val="auto"/>
        </w:rPr>
      </w:pPr>
    </w:p>
    <w:p w:rsidR="00A07B78" w:rsidRPr="00123E12" w:rsidP="00123E12">
      <w:pPr>
        <w:pStyle w:val="Bodycopy"/>
        <w:keepNext w:val="0"/>
        <w:widowControl w:val="0"/>
        <w:rPr>
          <w:b/>
          <w:bCs/>
          <w:color w:val="auto"/>
          <w:u w:val="single"/>
        </w:rPr>
      </w:pPr>
      <w:r w:rsidRPr="00123E12">
        <w:rPr>
          <w:b/>
          <w:bCs/>
          <w:color w:val="auto"/>
          <w:u w:val="single"/>
        </w:rPr>
        <w:t>The role of NHS and specialist mental health services in support and delivery</w:t>
      </w:r>
    </w:p>
    <w:p w:rsidR="00A07B78" w:rsidRPr="00123E12" w:rsidP="00123E12">
      <w:pPr>
        <w:pStyle w:val="Bodycopy"/>
        <w:keepNext w:val="0"/>
        <w:widowControl w:val="0"/>
        <w:rPr>
          <w:color w:val="auto"/>
        </w:rPr>
      </w:pPr>
    </w:p>
    <w:p w:rsidR="00A07B78" w:rsidRPr="00123E12" w:rsidP="00123E12">
      <w:pPr>
        <w:pStyle w:val="Bodycopy"/>
        <w:keepNext w:val="0"/>
        <w:widowControl w:val="0"/>
        <w:rPr>
          <w:b/>
          <w:bCs/>
          <w:i/>
          <w:iCs/>
          <w:color w:val="auto"/>
        </w:rPr>
      </w:pPr>
      <w:r w:rsidRPr="00123E12">
        <w:rPr>
          <w:b/>
          <w:bCs/>
          <w:i/>
          <w:iCs/>
          <w:color w:val="auto"/>
        </w:rPr>
        <w:t>What reforms to CAMHS would best support timely, equitable and continued access to specialist mental health care for children and young people? </w:t>
      </w:r>
    </w:p>
    <w:p w:rsidR="00A07B78" w:rsidRPr="00123E12" w:rsidP="00123E12">
      <w:pPr>
        <w:pStyle w:val="Bullets"/>
        <w:rPr>
          <w:b/>
          <w:bCs/>
          <w:i/>
          <w:iCs/>
          <w:color w:val="auto"/>
        </w:rPr>
      </w:pPr>
      <w:r w:rsidRPr="00123E12">
        <w:rPr>
          <w:b/>
          <w:bCs/>
          <w:i/>
          <w:iCs/>
          <w:color w:val="auto"/>
        </w:rPr>
        <w:t xml:space="preserve">How should the needs of children and young people who do not meet CAMHS thresholds be identified and addressed? </w:t>
      </w:r>
    </w:p>
    <w:p w:rsidR="00A07B78" w:rsidRPr="00123E12" w:rsidP="00123E12">
      <w:pPr>
        <w:pStyle w:val="Bullets"/>
        <w:numPr>
          <w:ilvl w:val="0"/>
          <w:numId w:val="0"/>
        </w:numPr>
        <w:rPr>
          <w:color w:val="auto"/>
        </w:rPr>
      </w:pPr>
    </w:p>
    <w:p w:rsidR="00A07B78" w:rsidRPr="00123E12" w:rsidP="00123E12">
      <w:pPr>
        <w:widowControl w:val="0"/>
        <w:rPr>
          <w:rFonts w:ascii="Helvetica Now Text Light" w:eastAsia="Aptos" w:hAnsi="Helvetica Now Text Light" w:cs="Aptos"/>
          <w:sz w:val="20"/>
          <w:szCs w:val="20"/>
        </w:rPr>
      </w:pPr>
      <w:r w:rsidRPr="00123E12">
        <w:rPr>
          <w:rFonts w:ascii="Helvetica Now Text Light" w:eastAsia="Aptos" w:hAnsi="Helvetica Now Text Light" w:cs="Aptos"/>
          <w:sz w:val="20"/>
          <w:szCs w:val="20"/>
        </w:rPr>
        <w:t>Many children experiencing emotional distress do not meet the thresholds for specialist CAMHS support. In practice, schools often become the default setting where these needs are managed.</w:t>
      </w:r>
    </w:p>
    <w:p w:rsidR="00A07B78" w:rsidRPr="00123E12" w:rsidP="00123E12">
      <w:pPr>
        <w:widowControl w:val="0"/>
        <w:rPr>
          <w:rFonts w:ascii="Helvetica Now Text Light" w:eastAsia="Aptos" w:hAnsi="Helvetica Now Text Light" w:cs="Aptos"/>
          <w:sz w:val="20"/>
          <w:szCs w:val="20"/>
        </w:rPr>
      </w:pPr>
      <w:r w:rsidRPr="00123E12">
        <w:rPr>
          <w:rFonts w:ascii="Helvetica Now Text Light" w:eastAsia="Aptos" w:hAnsi="Helvetica Now Text Light" w:cs="Aptos"/>
          <w:sz w:val="20"/>
          <w:szCs w:val="20"/>
        </w:rPr>
        <w:t xml:space="preserve"> </w:t>
      </w:r>
    </w:p>
    <w:p w:rsidR="00A07B78" w:rsidRPr="00123E12" w:rsidP="00123E12">
      <w:pPr>
        <w:rPr>
          <w:rFonts w:ascii="Helvetica Now Text Light" w:eastAsia="Aptos" w:hAnsi="Helvetica Now Text Light" w:cs="Aptos"/>
          <w:sz w:val="20"/>
          <w:szCs w:val="20"/>
        </w:rPr>
      </w:pPr>
      <w:r w:rsidRPr="00123E12">
        <w:rPr>
          <w:rFonts w:ascii="Helvetica Now Text Light" w:hAnsi="Helvetica Now Text Light" w:eastAsiaTheme="minorEastAsia"/>
          <w:sz w:val="20"/>
          <w:szCs w:val="20"/>
        </w:rPr>
        <w:t>Evidence from UNISON’s 2025 survey suggests that gaps on health provision can also affect pupils’ ability to attend school. One in ten respondents reported that pupils were absent from school because appropriate health services were not in place, rising to almost one in five in secondary schools.</w:t>
      </w:r>
    </w:p>
    <w:p w:rsidR="00A07B78" w:rsidRPr="00123E12" w:rsidP="00123E12">
      <w:pPr>
        <w:widowControl w:val="0"/>
        <w:rPr>
          <w:rFonts w:ascii="Helvetica Now Text Light" w:eastAsia="Aptos" w:hAnsi="Helvetica Now Text Light" w:cs="Aptos"/>
          <w:sz w:val="20"/>
          <w:szCs w:val="20"/>
        </w:rPr>
      </w:pPr>
    </w:p>
    <w:p w:rsidR="00A07B78" w:rsidRPr="00123E12" w:rsidP="00123E12">
      <w:pPr>
        <w:widowControl w:val="0"/>
        <w:rPr>
          <w:rFonts w:ascii="Helvetica Now Text Light" w:eastAsia="Aptos" w:hAnsi="Helvetica Now Text Light" w:cs="Aptos"/>
          <w:sz w:val="20"/>
          <w:szCs w:val="20"/>
        </w:rPr>
      </w:pPr>
      <w:r w:rsidRPr="00123E12">
        <w:rPr>
          <w:rFonts w:ascii="Helvetica Now Text Light" w:eastAsia="Aptos" w:hAnsi="Helvetica Now Text Light" w:cs="Aptos"/>
          <w:sz w:val="20"/>
          <w:szCs w:val="20"/>
        </w:rPr>
        <w:t>Addressing these gaps requires stronger early intervention services and accessible community-based mental health support that sits between universal provision and specialist CAMHS. These services should be able to provide timely support and work closely with both schools and NHS services.</w:t>
      </w:r>
    </w:p>
    <w:p w:rsidR="00A07B78" w:rsidRPr="00123E12" w:rsidP="00123E12">
      <w:pPr>
        <w:widowControl w:val="0"/>
        <w:rPr>
          <w:rFonts w:ascii="Helvetica Now Text Light" w:eastAsia="Aptos" w:hAnsi="Helvetica Now Text Light" w:cs="Aptos"/>
          <w:sz w:val="20"/>
          <w:szCs w:val="20"/>
        </w:rPr>
      </w:pPr>
      <w:r w:rsidRPr="00123E12">
        <w:rPr>
          <w:rFonts w:ascii="Helvetica Now Text Light" w:eastAsia="Aptos" w:hAnsi="Helvetica Now Text Light" w:cs="Aptos"/>
          <w:sz w:val="20"/>
          <w:szCs w:val="20"/>
        </w:rPr>
        <w:t xml:space="preserve"> </w:t>
      </w:r>
    </w:p>
    <w:p w:rsidR="00A07B78" w:rsidRPr="00123E12" w:rsidP="00123E12">
      <w:pPr>
        <w:widowControl w:val="0"/>
        <w:rPr>
          <w:rFonts w:ascii="Helvetica Now Text Light" w:eastAsia="Aptos" w:hAnsi="Helvetica Now Text Light" w:cs="Aptos"/>
          <w:sz w:val="20"/>
          <w:szCs w:val="20"/>
        </w:rPr>
      </w:pPr>
      <w:r w:rsidRPr="00123E12">
        <w:rPr>
          <w:rFonts w:ascii="Helvetica Now Text Light" w:eastAsia="Aptos" w:hAnsi="Helvetica Now Text Light" w:cs="Aptos"/>
          <w:sz w:val="20"/>
          <w:szCs w:val="20"/>
        </w:rPr>
        <w:t>Without strengthening this part of the system there is a risk that schools will continue to absorb growing levels of unmet mental health need.</w:t>
      </w:r>
    </w:p>
    <w:p w:rsidR="00A07B78" w:rsidRPr="00123E12" w:rsidP="00123E12">
      <w:pPr>
        <w:pStyle w:val="Bullets"/>
        <w:numPr>
          <w:ilvl w:val="0"/>
          <w:numId w:val="0"/>
        </w:numPr>
        <w:rPr>
          <w:color w:val="auto"/>
        </w:rPr>
      </w:pPr>
    </w:p>
    <w:p w:rsidR="00A07B78" w:rsidRPr="00123E12" w:rsidP="00123E12">
      <w:pPr>
        <w:pStyle w:val="Bodycopy"/>
        <w:rPr>
          <w:color w:val="auto"/>
        </w:rPr>
      </w:pPr>
    </w:p>
    <w:p w:rsidR="00A07B78" w:rsidRPr="00123E12" w:rsidP="00123E12">
      <w:pPr>
        <w:pStyle w:val="Bodycopy"/>
        <w:keepNext w:val="0"/>
        <w:widowControl w:val="0"/>
        <w:rPr>
          <w:b/>
          <w:bCs/>
          <w:color w:val="auto"/>
          <w:u w:val="single"/>
        </w:rPr>
      </w:pPr>
      <w:r w:rsidRPr="00123E12">
        <w:rPr>
          <w:b/>
          <w:bCs/>
          <w:color w:val="auto"/>
          <w:u w:val="single"/>
        </w:rPr>
        <w:t>Integration between education, NHS and community provision</w:t>
      </w:r>
    </w:p>
    <w:p w:rsidR="00A07B78" w:rsidRPr="00123E12" w:rsidP="00123E12">
      <w:pPr>
        <w:pStyle w:val="Bodycopy"/>
        <w:keepNext w:val="0"/>
        <w:widowControl w:val="0"/>
        <w:rPr>
          <w:b/>
          <w:bCs/>
          <w:color w:val="auto"/>
          <w:u w:val="single"/>
        </w:rPr>
      </w:pPr>
    </w:p>
    <w:p w:rsidR="00A07B78" w:rsidRPr="00123E12" w:rsidP="00123E12">
      <w:pPr>
        <w:widowControl w:val="0"/>
        <w:rPr>
          <w:rFonts w:ascii="Helvetica Now Text Light" w:eastAsia="Aptos" w:hAnsi="Helvetica Now Text Light" w:cs="Aptos"/>
          <w:sz w:val="20"/>
          <w:szCs w:val="20"/>
        </w:rPr>
      </w:pPr>
      <w:r w:rsidRPr="00123E12">
        <w:rPr>
          <w:rFonts w:ascii="Helvetica Now Text Light" w:eastAsia="Aptos" w:hAnsi="Helvetica Now Text Light" w:cs="Aptos"/>
          <w:sz w:val="20"/>
          <w:szCs w:val="20"/>
        </w:rPr>
        <w:t>It is important to recognise that the issues highlighted in relation to children and young people’s mental health reflect a wider structural challenge about how health services support pupils during the school day. Schools increasingly host or facilitate a range of health-related support, including mental health interventions, therapy services and support for pupils with long-term medical conditions. However, there is currently no consistently defined national model for how NHS services should deliver clini</w:t>
      </w:r>
      <w:r w:rsidRPr="00123E12">
        <w:rPr>
          <w:rFonts w:ascii="Helvetica Now Text Light" w:eastAsia="Aptos" w:hAnsi="Helvetica Now Text Light" w:cs="Aptos"/>
          <w:sz w:val="20"/>
          <w:szCs w:val="20"/>
        </w:rPr>
        <w:t>cal healthcare within education settings.</w:t>
      </w:r>
    </w:p>
    <w:p w:rsidR="00A07B78" w:rsidRPr="00123E12" w:rsidP="00123E12">
      <w:pPr>
        <w:widowControl w:val="0"/>
        <w:rPr>
          <w:rFonts w:ascii="Helvetica Now Text Light" w:eastAsia="Aptos" w:hAnsi="Helvetica Now Text Light" w:cs="Aptos"/>
          <w:sz w:val="20"/>
          <w:szCs w:val="20"/>
        </w:rPr>
      </w:pPr>
      <w:r w:rsidRPr="00123E12">
        <w:rPr>
          <w:rFonts w:ascii="Helvetica Now Text Light" w:eastAsia="Aptos" w:hAnsi="Helvetica Now Text Light" w:cs="Aptos"/>
          <w:sz w:val="20"/>
          <w:szCs w:val="20"/>
        </w:rPr>
        <w:t xml:space="preserve"> </w:t>
      </w:r>
    </w:p>
    <w:p w:rsidR="00A07B78" w:rsidRPr="00123E12" w:rsidP="00123E12">
      <w:pPr>
        <w:widowControl w:val="0"/>
        <w:rPr>
          <w:rFonts w:ascii="Helvetica Now Text Light" w:eastAsia="Aptos" w:hAnsi="Helvetica Now Text Light" w:cs="Aptos"/>
          <w:sz w:val="20"/>
          <w:szCs w:val="20"/>
        </w:rPr>
      </w:pPr>
      <w:r w:rsidRPr="00123E12">
        <w:rPr>
          <w:rFonts w:ascii="Helvetica Now Text Light" w:eastAsia="Aptos" w:hAnsi="Helvetica Now Text Light" w:cs="Aptos"/>
          <w:sz w:val="20"/>
          <w:szCs w:val="20"/>
        </w:rPr>
        <w:t>As a result, local arrangements vary considerably and schools can find themselves attempting to coordinate or accommodate healthcare support that they do not commission or control. While education staff play an important role in identifying concerns and supporting wellbeing, clinical assessment and treatment must remain the responsibility of appropriately trained health professionals working within clear clinical governance arrangements.</w:t>
      </w:r>
    </w:p>
    <w:p w:rsidR="00A07B78" w:rsidRPr="00123E12" w:rsidP="00123E12">
      <w:pPr>
        <w:widowControl w:val="0"/>
        <w:rPr>
          <w:rFonts w:ascii="Helvetica Now Text Light" w:eastAsia="Aptos" w:hAnsi="Helvetica Now Text Light" w:cs="Aptos"/>
          <w:sz w:val="20"/>
          <w:szCs w:val="20"/>
        </w:rPr>
      </w:pPr>
      <w:r w:rsidRPr="00123E12">
        <w:rPr>
          <w:rFonts w:ascii="Helvetica Now Text Light" w:eastAsia="Aptos" w:hAnsi="Helvetica Now Text Light" w:cs="Aptos"/>
          <w:sz w:val="20"/>
          <w:szCs w:val="20"/>
        </w:rPr>
        <w:t xml:space="preserve"> </w:t>
      </w:r>
    </w:p>
    <w:p w:rsidR="00A07B78" w:rsidRPr="00123E12" w:rsidP="00123E12">
      <w:pPr>
        <w:widowControl w:val="0"/>
        <w:rPr>
          <w:rFonts w:ascii="Helvetica Now Text Light" w:eastAsia="Aptos" w:hAnsi="Helvetica Now Text Light" w:cs="Aptos"/>
          <w:sz w:val="20"/>
          <w:szCs w:val="20"/>
        </w:rPr>
      </w:pPr>
      <w:r w:rsidRPr="00123E12">
        <w:rPr>
          <w:rFonts w:ascii="Helvetica Now Text Light" w:eastAsia="Aptos" w:hAnsi="Helvetica Now Text Light" w:cs="Aptos"/>
          <w:sz w:val="20"/>
          <w:szCs w:val="20"/>
        </w:rPr>
        <w:t>Strengthening the role of NHS commissioners, including Integrated Care Boards, in ensuring that children can access appropriate health services within community and education settings would help create a more coherent and sustainable system of support.</w:t>
      </w:r>
    </w:p>
    <w:p w:rsidR="00A07B78" w:rsidRPr="00123E12" w:rsidP="00123E12">
      <w:pPr>
        <w:pStyle w:val="Bodycopy"/>
        <w:keepNext w:val="0"/>
        <w:widowControl w:val="0"/>
        <w:rPr>
          <w:b/>
          <w:bCs/>
          <w:color w:val="auto"/>
          <w:u w:val="single"/>
        </w:rPr>
      </w:pPr>
    </w:p>
    <w:p w:rsidR="00A07B78" w:rsidRPr="00123E12" w:rsidP="00123E12">
      <w:pPr>
        <w:pStyle w:val="Bodycopy"/>
        <w:keepNext w:val="0"/>
        <w:widowControl w:val="0"/>
        <w:rPr>
          <w:b/>
          <w:bCs/>
          <w:i/>
          <w:iCs/>
          <w:color w:val="auto"/>
        </w:rPr>
      </w:pPr>
      <w:r w:rsidRPr="00123E12">
        <w:rPr>
          <w:b/>
          <w:bCs/>
          <w:i/>
          <w:iCs/>
          <w:color w:val="auto"/>
        </w:rPr>
        <w:t>What evidence is there that effective delivery of mental health support for children and young people in education settings and open-access provision reduces demand on CAMHS and acute NHS services? </w:t>
      </w:r>
    </w:p>
    <w:p w:rsidR="00A07B78" w:rsidRPr="00123E12" w:rsidP="00123E12">
      <w:pPr>
        <w:pStyle w:val="Bullets"/>
        <w:rPr>
          <w:b/>
          <w:bCs/>
          <w:i/>
          <w:iCs/>
          <w:color w:val="auto"/>
        </w:rPr>
      </w:pPr>
      <w:r w:rsidRPr="00123E12">
        <w:rPr>
          <w:b/>
          <w:bCs/>
          <w:i/>
          <w:iCs/>
          <w:color w:val="auto"/>
        </w:rPr>
        <w:t>How effective are current referral pathways between education, community services and NHS services in ensuring timely and appropriate access to mental health support for children and young people?</w:t>
      </w:r>
    </w:p>
    <w:p w:rsidR="00A07B78" w:rsidRPr="00123E12" w:rsidP="00123E12">
      <w:pPr>
        <w:pStyle w:val="Bullets"/>
        <w:numPr>
          <w:ilvl w:val="0"/>
          <w:numId w:val="0"/>
        </w:numPr>
        <w:ind w:left="284" w:hanging="284"/>
        <w:rPr>
          <w:color w:val="auto"/>
        </w:rPr>
      </w:pPr>
    </w:p>
    <w:p w:rsidR="00A07B78" w:rsidRPr="00123E12" w:rsidP="00123E12">
      <w:pPr>
        <w:widowControl w:val="0"/>
        <w:rPr>
          <w:rFonts w:ascii="Helvetica Now Text Light" w:eastAsia="Aptos" w:hAnsi="Helvetica Now Text Light" w:cs="Aptos"/>
          <w:sz w:val="20"/>
          <w:szCs w:val="20"/>
        </w:rPr>
      </w:pPr>
      <w:r w:rsidRPr="00123E12">
        <w:rPr>
          <w:rFonts w:ascii="Helvetica Now Text Light" w:eastAsia="Aptos" w:hAnsi="Helvetica Now Text Light" w:cs="Aptos"/>
          <w:sz w:val="20"/>
          <w:szCs w:val="20"/>
        </w:rPr>
        <w:t>Referral pathways between education settings and NHS services are often inconsistent and difficult to navigate. Schools frequently report uncertainty about how to access appropriate support for pupils and experience delays or rejected referrals when attempting to secure help.</w:t>
      </w:r>
    </w:p>
    <w:p w:rsidR="00A07B78" w:rsidRPr="00123E12" w:rsidP="00123E12">
      <w:pPr>
        <w:widowControl w:val="0"/>
        <w:rPr>
          <w:rFonts w:ascii="Helvetica Now Text Light" w:eastAsia="Aptos" w:hAnsi="Helvetica Now Text Light" w:cs="Aptos"/>
          <w:sz w:val="20"/>
          <w:szCs w:val="20"/>
        </w:rPr>
      </w:pPr>
      <w:r w:rsidRPr="00123E12">
        <w:rPr>
          <w:rFonts w:ascii="Helvetica Now Text Light" w:eastAsia="Aptos" w:hAnsi="Helvetica Now Text Light" w:cs="Aptos"/>
          <w:sz w:val="20"/>
          <w:szCs w:val="20"/>
        </w:rPr>
        <w:t xml:space="preserve"> </w:t>
      </w:r>
    </w:p>
    <w:p w:rsidR="00A07B78" w:rsidRPr="00123E12" w:rsidP="00123E12">
      <w:pPr>
        <w:widowControl w:val="0"/>
        <w:rPr>
          <w:rFonts w:ascii="Helvetica Now Text Light" w:eastAsia="Aptos" w:hAnsi="Helvetica Now Text Light" w:cs="Aptos"/>
          <w:sz w:val="20"/>
          <w:szCs w:val="20"/>
        </w:rPr>
      </w:pPr>
      <w:r w:rsidRPr="00123E12">
        <w:rPr>
          <w:rFonts w:ascii="Helvetica Now Text Light" w:eastAsia="Aptos" w:hAnsi="Helvetica Now Text Light" w:cs="Aptos"/>
          <w:sz w:val="20"/>
          <w:szCs w:val="20"/>
        </w:rPr>
        <w:t>Clearer referral processes, better communication between services and stronger partnership working between education providers and NHS services would significantly improve the system’s effectiveness. Integrated local planning between schools, local authorities and Integrated Care Boards could help ensure that services are better aligned with the needs of children and young people.</w:t>
      </w:r>
    </w:p>
    <w:p w:rsidR="00A07B78" w:rsidRPr="00123E12" w:rsidP="00123E12">
      <w:pPr>
        <w:pStyle w:val="Bullets"/>
        <w:numPr>
          <w:ilvl w:val="0"/>
          <w:numId w:val="0"/>
        </w:numPr>
        <w:ind w:left="284" w:hanging="284"/>
        <w:rPr>
          <w:color w:val="auto"/>
        </w:rPr>
      </w:pPr>
    </w:p>
    <w:p w:rsidR="00A07B78" w:rsidRPr="00123E12" w:rsidP="00123E12">
      <w:pPr>
        <w:pStyle w:val="Bullets"/>
        <w:rPr>
          <w:b/>
          <w:bCs/>
          <w:i/>
          <w:iCs/>
          <w:color w:val="auto"/>
          <w:u w:val="single"/>
        </w:rPr>
      </w:pPr>
      <w:r w:rsidRPr="00123E12">
        <w:rPr>
          <w:b/>
          <w:bCs/>
          <w:i/>
          <w:iCs/>
          <w:color w:val="auto"/>
        </w:rPr>
        <w:t>How well do current pathways link to delivery of SEND services? What changes would most effectively strengthen referral pathways for children with SEND? </w:t>
      </w:r>
    </w:p>
    <w:p w:rsidR="00A07B78" w:rsidRPr="00123E12" w:rsidP="00123E12">
      <w:pPr>
        <w:pStyle w:val="Bullets"/>
        <w:numPr>
          <w:ilvl w:val="0"/>
          <w:numId w:val="0"/>
        </w:numPr>
        <w:ind w:left="284" w:hanging="284"/>
        <w:rPr>
          <w:color w:val="auto"/>
        </w:rPr>
      </w:pPr>
    </w:p>
    <w:p w:rsidR="00A07B78" w:rsidRPr="00123E12" w:rsidP="00123E12">
      <w:pPr>
        <w:widowControl w:val="0"/>
        <w:rPr>
          <w:rFonts w:ascii="Helvetica Now Text Light" w:eastAsia="Aptos" w:hAnsi="Helvetica Now Text Light" w:cs="Aptos"/>
          <w:sz w:val="20"/>
          <w:szCs w:val="20"/>
        </w:rPr>
      </w:pPr>
      <w:r w:rsidRPr="00123E12">
        <w:rPr>
          <w:rFonts w:ascii="Helvetica Now Text Light" w:eastAsia="Aptos" w:hAnsi="Helvetica Now Text Light" w:cs="Aptos"/>
          <w:sz w:val="20"/>
          <w:szCs w:val="20"/>
        </w:rPr>
        <w:t>There is significant overlap between special educational needs and mental health difficulties. Evidence from national surveys indicates that children with special educational needs are significantly more likely to experience mental health disorders than their peers.</w:t>
      </w:r>
    </w:p>
    <w:p w:rsidR="00A07B78" w:rsidRPr="00123E12" w:rsidP="00123E12">
      <w:pPr>
        <w:widowControl w:val="0"/>
        <w:rPr>
          <w:rFonts w:ascii="Helvetica Now Text Light" w:eastAsia="Aptos" w:hAnsi="Helvetica Now Text Light" w:cs="Aptos"/>
          <w:sz w:val="20"/>
          <w:szCs w:val="20"/>
        </w:rPr>
      </w:pPr>
      <w:r w:rsidRPr="00123E12">
        <w:rPr>
          <w:rFonts w:ascii="Helvetica Now Text Light" w:eastAsia="Aptos" w:hAnsi="Helvetica Now Text Light" w:cs="Aptos"/>
          <w:sz w:val="20"/>
          <w:szCs w:val="20"/>
        </w:rPr>
        <w:t xml:space="preserve"> </w:t>
      </w:r>
    </w:p>
    <w:p w:rsidR="00A07B78" w:rsidRPr="00123E12" w:rsidP="00123E12">
      <w:pPr>
        <w:widowControl w:val="0"/>
        <w:rPr>
          <w:rFonts w:ascii="Helvetica Now Text Light" w:eastAsia="Aptos" w:hAnsi="Helvetica Now Text Light" w:cs="Aptos"/>
          <w:sz w:val="20"/>
          <w:szCs w:val="20"/>
        </w:rPr>
      </w:pPr>
      <w:r w:rsidRPr="00123E12">
        <w:rPr>
          <w:rFonts w:ascii="Helvetica Now Text Light" w:eastAsia="Aptos" w:hAnsi="Helvetica Now Text Light" w:cs="Aptos"/>
          <w:sz w:val="20"/>
          <w:szCs w:val="20"/>
        </w:rPr>
        <w:t>However, the systems designed to support these children often operate separately, with different thresholds, referral processes and accountability arrangements. Where children do not meet CAMHS thresholds and do not have an Education, Health and Care Plan, schools frequently become the setting where complex needs are managed without access to appropriate specialist support.</w:t>
      </w:r>
    </w:p>
    <w:p w:rsidR="00A07B78" w:rsidRPr="00123E12" w:rsidP="00123E12">
      <w:pPr>
        <w:widowControl w:val="0"/>
        <w:rPr>
          <w:rFonts w:ascii="Helvetica Now Text Light" w:eastAsia="Aptos" w:hAnsi="Helvetica Now Text Light" w:cs="Aptos"/>
          <w:sz w:val="20"/>
          <w:szCs w:val="20"/>
        </w:rPr>
      </w:pPr>
      <w:r w:rsidRPr="00123E12">
        <w:rPr>
          <w:rFonts w:ascii="Helvetica Now Text Light" w:eastAsia="Aptos" w:hAnsi="Helvetica Now Text Light" w:cs="Aptos"/>
          <w:sz w:val="20"/>
          <w:szCs w:val="20"/>
        </w:rPr>
        <w:t xml:space="preserve"> </w:t>
      </w:r>
    </w:p>
    <w:p w:rsidR="00A07B78" w:rsidRPr="00123E12" w:rsidP="00123E12">
      <w:pPr>
        <w:widowControl w:val="0"/>
        <w:rPr>
          <w:rFonts w:ascii="Helvetica Now Text Light" w:eastAsia="Aptos" w:hAnsi="Helvetica Now Text Light" w:cs="Aptos"/>
          <w:sz w:val="20"/>
          <w:szCs w:val="20"/>
        </w:rPr>
      </w:pPr>
      <w:r w:rsidRPr="00123E12">
        <w:rPr>
          <w:rFonts w:ascii="Helvetica Now Text Light" w:eastAsia="Aptos" w:hAnsi="Helvetica Now Text Light" w:cs="Aptos"/>
          <w:sz w:val="20"/>
          <w:szCs w:val="20"/>
        </w:rPr>
        <w:t>Strengthening coordination between SEND systems and children’s mental health services would therefore be an important step in ensuring that pupils with complex needs receive timely and appropriate support.</w:t>
      </w:r>
    </w:p>
    <w:p w:rsidR="00A07B78" w:rsidRPr="00123E12" w:rsidP="00123E12">
      <w:pPr>
        <w:pStyle w:val="Bodycopy"/>
        <w:keepNext w:val="0"/>
        <w:widowControl w:val="0"/>
        <w:rPr>
          <w:b/>
          <w:bCs/>
          <w:color w:val="auto"/>
          <w:u w:val="single"/>
        </w:rPr>
      </w:pPr>
    </w:p>
    <w:p w:rsidR="00A07B78" w:rsidRPr="00123E12" w:rsidP="00123E12">
      <w:pPr>
        <w:pStyle w:val="Bodycopy"/>
        <w:keepNext w:val="0"/>
        <w:widowControl w:val="0"/>
        <w:rPr>
          <w:b/>
          <w:bCs/>
          <w:i/>
          <w:iCs/>
          <w:color w:val="auto"/>
        </w:rPr>
      </w:pPr>
      <w:r w:rsidRPr="00123E12">
        <w:rPr>
          <w:b/>
          <w:bCs/>
          <w:i/>
          <w:iCs/>
          <w:color w:val="auto"/>
        </w:rPr>
        <w:t>What practical barriers affect joint working between education settings, local authorities, NHS services and voluntary and community sector organisations in supporting children and young people’s mental health, and how could these be addressed?</w:t>
      </w:r>
    </w:p>
    <w:p w:rsidR="00A07B78" w:rsidRPr="00123E12" w:rsidP="00123E12">
      <w:pPr>
        <w:pStyle w:val="Bullets"/>
        <w:rPr>
          <w:b/>
          <w:bCs/>
          <w:i/>
          <w:iCs/>
          <w:color w:val="auto"/>
        </w:rPr>
      </w:pPr>
      <w:r w:rsidRPr="00123E12">
        <w:rPr>
          <w:b/>
          <w:bCs/>
          <w:i/>
          <w:iCs/>
          <w:color w:val="auto"/>
        </w:rPr>
        <w:t xml:space="preserve">What role should ICBs and local authorities play in joining-up mental health support in health and education settings? </w:t>
      </w:r>
    </w:p>
    <w:p w:rsidR="00A07B78" w:rsidRPr="00123E12" w:rsidP="00123E12">
      <w:pPr>
        <w:pStyle w:val="Bullets"/>
        <w:numPr>
          <w:ilvl w:val="0"/>
          <w:numId w:val="0"/>
        </w:numPr>
        <w:rPr>
          <w:color w:val="auto"/>
        </w:rPr>
      </w:pPr>
    </w:p>
    <w:p w:rsidR="00A07B78" w:rsidRPr="00123E12" w:rsidP="00123E12">
      <w:pPr>
        <w:widowControl w:val="0"/>
        <w:spacing w:after="180"/>
        <w:rPr>
          <w:rFonts w:ascii="Helvetica Now Text Light" w:eastAsia="Aptos" w:hAnsi="Helvetica Now Text Light" w:cs="Aptos"/>
          <w:sz w:val="20"/>
          <w:szCs w:val="20"/>
        </w:rPr>
      </w:pPr>
      <w:r w:rsidRPr="00123E12">
        <w:rPr>
          <w:rFonts w:ascii="Helvetica Now Text Light" w:eastAsia="Aptos" w:hAnsi="Helvetica Now Text Light" w:cs="Aptos"/>
          <w:sz w:val="20"/>
          <w:szCs w:val="20"/>
        </w:rPr>
        <w:t>ICBs and local authorities both have important roles in ensuring that mental health support for children and young people is joined up across health and education systems. Local authorities play a key role in coordinating services for children and young people and in bringing together education, health and wider children’s services locally. However, the commissioning and delivery of specialist mental health services sits primarily within the NHS. ICBs therefore have a central responsibility for ensuring tha</w:t>
      </w:r>
      <w:r w:rsidRPr="00123E12">
        <w:rPr>
          <w:rFonts w:ascii="Helvetica Now Text Light" w:eastAsia="Aptos" w:hAnsi="Helvetica Now Text Light" w:cs="Aptos"/>
          <w:sz w:val="20"/>
          <w:szCs w:val="20"/>
        </w:rPr>
        <w:t xml:space="preserve">t appropriate services are available to children and young people within their communities. Clearer expectations on ICBs, alongside strong partnership working with local authorities and education providers, would help reduce local variation and improve access to support for pupils who </w:t>
      </w:r>
      <w:r w:rsidRPr="00123E12">
        <w:rPr>
          <w:rFonts w:ascii="Helvetica Now Text Light" w:eastAsia="Aptos" w:hAnsi="Helvetica Now Text Light" w:cs="Aptos"/>
          <w:sz w:val="20"/>
          <w:szCs w:val="20"/>
        </w:rPr>
        <w:t>need specialist help.</w:t>
      </w:r>
    </w:p>
    <w:p w:rsidR="00A07B78" w:rsidRPr="00123E12" w:rsidP="00123E12">
      <w:pPr>
        <w:pStyle w:val="Bullets"/>
        <w:numPr>
          <w:ilvl w:val="0"/>
          <w:numId w:val="0"/>
        </w:numPr>
        <w:rPr>
          <w:color w:val="auto"/>
        </w:rPr>
      </w:pPr>
    </w:p>
    <w:p w:rsidR="00A07B78" w:rsidRPr="00123E12" w:rsidP="00123E12">
      <w:pPr>
        <w:pStyle w:val="Bodycopy"/>
        <w:keepNext w:val="0"/>
        <w:widowControl w:val="0"/>
        <w:rPr>
          <w:b/>
          <w:bCs/>
          <w:i/>
          <w:iCs/>
          <w:color w:val="auto"/>
        </w:rPr>
      </w:pPr>
      <w:r w:rsidRPr="00123E12">
        <w:rPr>
          <w:b/>
          <w:bCs/>
          <w:i/>
          <w:iCs/>
          <w:color w:val="auto"/>
        </w:rPr>
        <w:t>Is there sufficient alignment between the strategies and reviews of the Department of Health and social care and Department for Education?  </w:t>
      </w:r>
    </w:p>
    <w:p w:rsidR="00A07B78" w:rsidRPr="00123E12" w:rsidP="00123E12">
      <w:pPr>
        <w:pStyle w:val="Bullets"/>
        <w:rPr>
          <w:b/>
          <w:bCs/>
          <w:i/>
          <w:iCs/>
          <w:color w:val="auto"/>
        </w:rPr>
      </w:pPr>
      <w:r w:rsidRPr="00123E12">
        <w:rPr>
          <w:b/>
          <w:bCs/>
          <w:i/>
          <w:iCs/>
          <w:color w:val="auto"/>
        </w:rPr>
        <w:t>How can accountability for outcomes be better shared across government? </w:t>
      </w:r>
    </w:p>
    <w:p w:rsidR="00A07B78" w:rsidRPr="00123E12" w:rsidP="00123E12">
      <w:pPr>
        <w:pStyle w:val="Bullets"/>
        <w:rPr>
          <w:b/>
          <w:bCs/>
          <w:i/>
          <w:iCs/>
          <w:color w:val="auto"/>
        </w:rPr>
      </w:pPr>
      <w:r w:rsidRPr="00123E12">
        <w:rPr>
          <w:b/>
          <w:bCs/>
          <w:i/>
          <w:iCs/>
          <w:color w:val="auto"/>
        </w:rPr>
        <w:t>How can public services be held accountable for delivering these outcomes? </w:t>
      </w:r>
    </w:p>
    <w:p w:rsidR="00A07B78" w:rsidRPr="00123E12" w:rsidP="00123E12">
      <w:pPr>
        <w:pStyle w:val="Bullets"/>
        <w:numPr>
          <w:ilvl w:val="0"/>
          <w:numId w:val="0"/>
        </w:numPr>
        <w:rPr>
          <w:color w:val="auto"/>
        </w:rPr>
      </w:pPr>
    </w:p>
    <w:p w:rsidR="00A07B78" w:rsidRPr="00123E12" w:rsidP="00123E12">
      <w:pPr>
        <w:widowControl w:val="0"/>
        <w:spacing w:after="180"/>
        <w:rPr>
          <w:rFonts w:ascii="Helvetica Now Text Light" w:eastAsia="Aptos" w:hAnsi="Helvetica Now Text Light" w:cs="Aptos"/>
          <w:sz w:val="20"/>
          <w:szCs w:val="20"/>
        </w:rPr>
      </w:pPr>
      <w:r w:rsidRPr="00123E12">
        <w:rPr>
          <w:rFonts w:ascii="Helvetica Now Text Light" w:eastAsia="Aptos" w:hAnsi="Helvetica Now Text Light" w:cs="Aptos"/>
          <w:sz w:val="20"/>
          <w:szCs w:val="20"/>
        </w:rPr>
        <w:t>Alignment between the Department for Education and the Department of Health and Social Care is essential to improving support for children and young people’s mental health. While both departments increasingly recognise the role that education settings play in identifying and responding to mental health needs, this alignment is not always reflected in how services operate in practice.</w:t>
      </w:r>
    </w:p>
    <w:p w:rsidR="00A07B78" w:rsidRPr="00123E12" w:rsidP="00123E12">
      <w:pPr>
        <w:widowControl w:val="0"/>
        <w:spacing w:after="180"/>
        <w:rPr>
          <w:rFonts w:ascii="Helvetica Now Text Light" w:eastAsia="Aptos" w:hAnsi="Helvetica Now Text Light" w:cs="Aptos"/>
          <w:sz w:val="20"/>
          <w:szCs w:val="20"/>
        </w:rPr>
      </w:pPr>
      <w:r w:rsidRPr="00123E12">
        <w:rPr>
          <w:rFonts w:ascii="Helvetica Now Text Light" w:eastAsia="Aptos" w:hAnsi="Helvetica Now Text Light" w:cs="Aptos"/>
          <w:sz w:val="20"/>
          <w:szCs w:val="20"/>
        </w:rPr>
        <w:t>Schools are often expected to play a key role in identifying pupils who may need support, yet the availability of specialist health services and early intervention provision varies significantly across the country. As a result, education settings can find themselves managing significant levels of unmet need without clear service pathways or timely access to clinical support.</w:t>
      </w:r>
    </w:p>
    <w:p w:rsidR="00A07B78" w:rsidRPr="00123E12" w:rsidP="00123E12">
      <w:pPr>
        <w:widowControl w:val="0"/>
        <w:spacing w:after="180"/>
        <w:rPr>
          <w:rFonts w:ascii="Helvetica Now Text Light" w:eastAsia="Aptos" w:hAnsi="Helvetica Now Text Light" w:cs="Aptos"/>
          <w:sz w:val="20"/>
          <w:szCs w:val="20"/>
        </w:rPr>
      </w:pPr>
      <w:r w:rsidRPr="00123E12">
        <w:rPr>
          <w:rFonts w:ascii="Helvetica Now Text Light" w:eastAsia="Aptos" w:hAnsi="Helvetica Now Text Light" w:cs="Aptos"/>
          <w:sz w:val="20"/>
          <w:szCs w:val="20"/>
        </w:rPr>
        <w:t xml:space="preserve">Greater alignment between departmental strategies should therefore be accompanied by clearer responsibilities across the system. </w:t>
      </w:r>
      <w:r w:rsidRPr="00123E12">
        <w:rPr>
          <w:rFonts w:ascii="Helvetica Now Text Light" w:eastAsia="Aptos" w:hAnsi="Helvetica Now Text Light" w:cs="Aptos"/>
          <w:sz w:val="20"/>
          <w:szCs w:val="20"/>
        </w:rPr>
        <w:t>In particular, there is a need for stronger joint accountability between the Department for Education and the Department of Health and Social Care for ensuring that children and young people are able to access appropriate mental health support.</w:t>
      </w:r>
    </w:p>
    <w:p w:rsidR="00A07B78" w:rsidRPr="00123E12" w:rsidP="00123E12">
      <w:pPr>
        <w:widowControl w:val="0"/>
        <w:spacing w:after="180"/>
        <w:rPr>
          <w:rFonts w:ascii="Helvetica Now Text Light" w:eastAsia="Aptos" w:hAnsi="Helvetica Now Text Light" w:cs="Aptos"/>
          <w:sz w:val="20"/>
          <w:szCs w:val="20"/>
        </w:rPr>
      </w:pPr>
      <w:r w:rsidRPr="00123E12">
        <w:rPr>
          <w:rFonts w:ascii="Helvetica Now Text Light" w:eastAsia="Aptos" w:hAnsi="Helvetica Now Text Light" w:cs="Aptos"/>
          <w:sz w:val="20"/>
          <w:szCs w:val="20"/>
        </w:rPr>
        <w:t>At a local level, ICBs, local authorities and education providers all have important roles. However, schools do not commission NHS services and cannot control the availability of specialist health provision. Clearer responsibilities for NHS commissioners, including ICBs, would help ensure that appropriate services are available to children and young people within community and education settings.</w:t>
      </w:r>
    </w:p>
    <w:p w:rsidR="00A07B78" w:rsidRPr="00123E12" w:rsidP="00123E12">
      <w:pPr>
        <w:widowControl w:val="0"/>
        <w:spacing w:after="180"/>
        <w:rPr>
          <w:rFonts w:ascii="Helvetica Now Text Light" w:eastAsia="Aptos" w:hAnsi="Helvetica Now Text Light" w:cs="Aptos"/>
          <w:sz w:val="20"/>
          <w:szCs w:val="20"/>
        </w:rPr>
      </w:pPr>
      <w:r w:rsidRPr="00123E12">
        <w:rPr>
          <w:rFonts w:ascii="Helvetica Now Text Light" w:eastAsia="Aptos" w:hAnsi="Helvetica Now Text Light" w:cs="Aptos"/>
          <w:sz w:val="20"/>
          <w:szCs w:val="20"/>
        </w:rPr>
        <w:t>Improving transparency around service availability, referral pathways and waiting times would also strengthen public accountability for ensuring that children and young people receive timely and appropriate support.</w:t>
      </w:r>
    </w:p>
    <w:p w:rsidR="00A07B78" w:rsidRPr="00123E12" w:rsidP="00123E12">
      <w:pPr>
        <w:pStyle w:val="Bodycopy"/>
        <w:keepNext w:val="0"/>
        <w:widowControl w:val="0"/>
        <w:rPr>
          <w:color w:val="auto"/>
        </w:rPr>
      </w:pPr>
    </w:p>
    <w:p w:rsidR="00A07B78" w:rsidRPr="00123E12" w:rsidP="00123E12">
      <w:pPr>
        <w:widowControl w:val="0"/>
        <w:rPr>
          <w:rFonts w:ascii="Helvetica Now Text Light" w:eastAsia="Aptos" w:hAnsi="Helvetica Now Text Light" w:cs="Aptos"/>
          <w:b/>
          <w:bCs/>
          <w:sz w:val="20"/>
          <w:szCs w:val="20"/>
          <w:u w:val="single"/>
        </w:rPr>
      </w:pPr>
      <w:r w:rsidRPr="00123E12">
        <w:rPr>
          <w:rFonts w:ascii="Helvetica Now Text Light" w:eastAsia="Aptos" w:hAnsi="Helvetica Now Text Light" w:cs="Aptos"/>
          <w:b/>
          <w:bCs/>
          <w:sz w:val="20"/>
          <w:szCs w:val="20"/>
          <w:u w:val="single"/>
        </w:rPr>
        <w:t>Conclusion</w:t>
      </w:r>
    </w:p>
    <w:p w:rsidR="00A07B78" w:rsidRPr="00123E12" w:rsidP="00123E12">
      <w:pPr>
        <w:widowControl w:val="0"/>
        <w:rPr>
          <w:rFonts w:ascii="Helvetica Now Text Light" w:eastAsia="Aptos" w:hAnsi="Helvetica Now Text Light" w:cs="Aptos"/>
          <w:sz w:val="20"/>
          <w:szCs w:val="20"/>
        </w:rPr>
      </w:pPr>
      <w:r w:rsidRPr="00123E12">
        <w:rPr>
          <w:rFonts w:ascii="Helvetica Now Text Light" w:eastAsia="Aptos" w:hAnsi="Helvetica Now Text Light" w:cs="Aptos"/>
          <w:sz w:val="20"/>
          <w:szCs w:val="20"/>
        </w:rPr>
        <w:t>The evidence presented to this inquiry highlights the increasingly important role that education settings play in identifying and supporting children and young people experiencing mental health difficulties. However, schools cannot and should not be expected to substitute for properly commissioned health services. A sustainable approach requires stronger integration between education and the NHS, clearer accountability for the commissioning of children’s health services, and sufficient investment in special</w:t>
      </w:r>
      <w:r w:rsidRPr="00123E12">
        <w:rPr>
          <w:rFonts w:ascii="Helvetica Now Text Light" w:eastAsia="Aptos" w:hAnsi="Helvetica Now Text Light" w:cs="Aptos"/>
          <w:sz w:val="20"/>
          <w:szCs w:val="20"/>
        </w:rPr>
        <w:t xml:space="preserve">ist and early intervention provision. Ensuring that children can access appropriate clinical support while maintaining clear professional </w:t>
      </w:r>
      <w:r w:rsidRPr="00123E12">
        <w:rPr>
          <w:rFonts w:ascii="Helvetica Now Text Light" w:eastAsia="Aptos" w:hAnsi="Helvetica Now Text Light" w:cs="Aptos"/>
          <w:sz w:val="20"/>
          <w:szCs w:val="20"/>
        </w:rPr>
        <w:t>boundaries for education staff will be essential to improving outcomes for pupils and creating a system that works effectively for schools, families and health services.</w:t>
      </w:r>
    </w:p>
    <w:p w:rsidR="00A07B78" w:rsidP="00123E12">
      <w:pPr>
        <w:pStyle w:val="Bodycopy"/>
        <w:keepNext w:val="0"/>
        <w:widowControl w:val="0"/>
        <w:rPr>
          <w:b/>
          <w:bCs/>
          <w:color w:val="auto"/>
          <w:u w:val="single"/>
        </w:rPr>
      </w:pPr>
    </w:p>
    <w:p w:rsidR="00657D94" w:rsidP="00123E12">
      <w:pPr>
        <w:pStyle w:val="Bodycopy"/>
        <w:keepNext w:val="0"/>
        <w:widowControl w:val="0"/>
        <w:rPr>
          <w:b/>
          <w:bCs/>
          <w:color w:val="auto"/>
          <w:u w:val="single"/>
        </w:rPr>
      </w:pPr>
    </w:p>
    <w:p w:rsidR="00657D94" w:rsidRPr="00657D94" w:rsidP="00123E12">
      <w:pPr>
        <w:pStyle w:val="Bodycopy"/>
        <w:keepNext w:val="0"/>
        <w:widowControl w:val="0"/>
        <w:rPr>
          <w:i/>
          <w:iCs/>
          <w:color w:val="auto"/>
        </w:rPr>
      </w:pPr>
      <w:r w:rsidRPr="00657D94">
        <w:rPr>
          <w:i/>
          <w:iCs/>
          <w:color w:val="auto"/>
        </w:rPr>
        <w:t>March 2026</w:t>
      </w:r>
    </w:p>
    <w:p w:rsidR="00A07B78" w:rsidRPr="00123E12" w:rsidP="00123E12">
      <w:pPr>
        <w:pStyle w:val="Bodycopy"/>
        <w:rPr>
          <w:color w:val="auto"/>
        </w:rPr>
      </w:pPr>
    </w:p>
    <w:sectPr w:rsidSect="000E536B">
      <w:headerReference w:type="default" r:id="rId4"/>
      <w:pgSz w:w="11900" w:h="16840"/>
      <w:pgMar w:top="1701" w:right="1701" w:bottom="851" w:left="1701" w:header="566"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Now Micro Light">
    <w:altName w:val="Arial"/>
    <w:panose1 w:val="00000000000000000000"/>
    <w:charset w:val="4D"/>
    <w:family w:val="swiss"/>
    <w:notTrueType/>
    <w:pitch w:val="variable"/>
    <w:sig w:usb0="A000006F" w:usb1="00008471"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Helvetica Now Text">
    <w:altName w:val="Arial"/>
    <w:panose1 w:val="00000000000000000000"/>
    <w:charset w:val="00"/>
    <w:family w:val="swiss"/>
    <w:notTrueType/>
    <w:pitch w:val="variable"/>
    <w:sig w:usb0="A000006F" w:usb1="00008471" w:usb2="00000000" w:usb3="00000000" w:csb0="00000093" w:csb1="00000000"/>
  </w:font>
  <w:font w:name="Minion Pro">
    <w:altName w:val="Cambria"/>
    <w:panose1 w:val="00000000000000000000"/>
    <w:charset w:val="00"/>
    <w:family w:val="roman"/>
    <w:notTrueType/>
    <w:pitch w:val="variable"/>
    <w:sig w:usb0="60000287" w:usb1="00000001" w:usb2="00000000" w:usb3="00000000" w:csb0="0000019F" w:csb1="00000000"/>
  </w:font>
  <w:font w:name="Helvetica Now Text Light">
    <w:altName w:val="Arial"/>
    <w:panose1 w:val="00000000000000000000"/>
    <w:charset w:val="00"/>
    <w:family w:val="swiss"/>
    <w:notTrueType/>
    <w:pitch w:val="variable"/>
    <w:sig w:usb0="A000006F" w:usb1="00008471" w:usb2="00000000" w:usb3="00000000" w:csb0="00000093" w:csb1="00000000"/>
  </w:font>
  <w:font w:name="Helvetica Now Text Medium">
    <w:altName w:val="Arial"/>
    <w:panose1 w:val="00000000000000000000"/>
    <w:charset w:val="00"/>
    <w:family w:val="swiss"/>
    <w:notTrueType/>
    <w:pitch w:val="variable"/>
    <w:sig w:usb0="A000006F" w:usb1="00008471" w:usb2="00000000" w:usb3="00000000" w:csb0="00000093" w:csb1="00000000"/>
  </w:font>
  <w:font w:name="Aptos Display">
    <w:charset w:val="00"/>
    <w:family w:val="swiss"/>
    <w:pitch w:val="variable"/>
    <w:sig w:usb0="20000287" w:usb1="00000003" w:usb2="00000000" w:usb3="00000000" w:csb0="0000019F" w:csb1="00000000"/>
  </w:font>
  <w:font w:name="Times New Roman (Body CS)">
    <w:altName w:val="Times New Roman"/>
    <w:panose1 w:val="00000000000000000000"/>
    <w:charset w:val="00"/>
    <w:family w:val="roman"/>
    <w:notTrueType/>
    <w:pitch w:val="default"/>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7B78" w:rsidRPr="000E536B" w:rsidP="000E536B">
    <w:pPr>
      <w:pStyle w:val="Header"/>
      <w:ind w:left="-567" w:hanging="426"/>
      <w:rPr>
        <w:rFonts w:cs="Times New Roman (Body CS)"/>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3D400CE6"/>
    <w:lvl w:ilvl="0">
      <w:start w:val="1"/>
      <w:numFmt w:val="decimal"/>
      <w:lvlText w:val="%1."/>
      <w:lvlJc w:val="left"/>
      <w:pPr>
        <w:tabs>
          <w:tab w:val="num" w:pos="1492"/>
        </w:tabs>
        <w:ind w:left="1492" w:hanging="360"/>
      </w:pPr>
    </w:lvl>
  </w:abstractNum>
  <w:abstractNum w:abstractNumId="1">
    <w:nsid w:val="FFFFFF7D"/>
    <w:multiLevelType w:val="singleLevel"/>
    <w:tmpl w:val="43C65292"/>
    <w:lvl w:ilvl="0">
      <w:start w:val="1"/>
      <w:numFmt w:val="decimal"/>
      <w:lvlText w:val="%1."/>
      <w:lvlJc w:val="left"/>
      <w:pPr>
        <w:tabs>
          <w:tab w:val="num" w:pos="1209"/>
        </w:tabs>
        <w:ind w:left="1209" w:hanging="360"/>
      </w:pPr>
    </w:lvl>
  </w:abstractNum>
  <w:abstractNum w:abstractNumId="2">
    <w:nsid w:val="FFFFFF7E"/>
    <w:multiLevelType w:val="singleLevel"/>
    <w:tmpl w:val="3FD0A10E"/>
    <w:lvl w:ilvl="0">
      <w:start w:val="1"/>
      <w:numFmt w:val="decimal"/>
      <w:lvlText w:val="%1."/>
      <w:lvlJc w:val="left"/>
      <w:pPr>
        <w:tabs>
          <w:tab w:val="num" w:pos="926"/>
        </w:tabs>
        <w:ind w:left="926" w:hanging="360"/>
      </w:pPr>
    </w:lvl>
  </w:abstractNum>
  <w:abstractNum w:abstractNumId="3">
    <w:nsid w:val="FFFFFF7F"/>
    <w:multiLevelType w:val="singleLevel"/>
    <w:tmpl w:val="42F412DE"/>
    <w:lvl w:ilvl="0">
      <w:start w:val="1"/>
      <w:numFmt w:val="decimal"/>
      <w:lvlText w:val="%1."/>
      <w:lvlJc w:val="left"/>
      <w:pPr>
        <w:tabs>
          <w:tab w:val="num" w:pos="643"/>
        </w:tabs>
        <w:ind w:left="643" w:hanging="360"/>
      </w:pPr>
    </w:lvl>
  </w:abstractNum>
  <w:abstractNum w:abstractNumId="4">
    <w:nsid w:val="FFFFFF80"/>
    <w:multiLevelType w:val="singleLevel"/>
    <w:tmpl w:val="397A854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27C66A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7F8130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36AC3A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FAE8178"/>
    <w:lvl w:ilvl="0">
      <w:start w:val="1"/>
      <w:numFmt w:val="decimal"/>
      <w:lvlText w:val="%1."/>
      <w:lvlJc w:val="left"/>
      <w:pPr>
        <w:tabs>
          <w:tab w:val="num" w:pos="360"/>
        </w:tabs>
        <w:ind w:left="360" w:hanging="360"/>
      </w:pPr>
    </w:lvl>
  </w:abstractNum>
  <w:abstractNum w:abstractNumId="9">
    <w:nsid w:val="FFFFFF89"/>
    <w:multiLevelType w:val="singleLevel"/>
    <w:tmpl w:val="9F40E3BA"/>
    <w:lvl w:ilvl="0">
      <w:start w:val="1"/>
      <w:numFmt w:val="bullet"/>
      <w:lvlText w:val=""/>
      <w:lvlJc w:val="left"/>
      <w:pPr>
        <w:tabs>
          <w:tab w:val="num" w:pos="360"/>
        </w:tabs>
        <w:ind w:left="360" w:hanging="360"/>
      </w:pPr>
      <w:rPr>
        <w:rFonts w:ascii="Symbol" w:hAnsi="Symbol" w:hint="default"/>
      </w:rPr>
    </w:lvl>
  </w:abstractNum>
  <w:abstractNum w:abstractNumId="10">
    <w:nsid w:val="121C7F41"/>
    <w:multiLevelType w:val="hybridMultilevel"/>
    <w:tmpl w:val="C478C9C6"/>
    <w:lvl w:ilvl="0">
      <w:start w:val="1"/>
      <w:numFmt w:val="bullet"/>
      <w:pStyle w:val="Bullets"/>
      <w:lvlText w:val="•"/>
      <w:lvlJc w:val="left"/>
      <w:pPr>
        <w:ind w:left="284" w:hanging="284"/>
      </w:pPr>
      <w:rPr>
        <w:rFonts w:ascii="Helvetica Now Micro Light" w:hAnsi="Helvetica Now Micro Light" w:hint="default"/>
        <w:b w:val="0"/>
        <w:i w:val="0"/>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41F1594"/>
    <w:multiLevelType w:val="hybridMultilevel"/>
    <w:tmpl w:val="0809000F"/>
    <w:lvl w:ilvl="0">
      <w:start w:val="1"/>
      <w:numFmt w:val="decimal"/>
      <w:lvlText w:val="%1."/>
      <w:lvlJc w:val="left"/>
      <w:pPr>
        <w:ind w:left="720" w:hanging="360"/>
      </w:pPr>
      <w:rPr>
        <w:rFonts w:hint="default"/>
        <w:sz w:val="20"/>
      </w:rPr>
    </w:lvl>
    <w:lvl w:ilvl="1">
      <w:start w:val="1"/>
      <w:numFmt w:val="lowerLetter"/>
      <w:lvlText w:val="%2."/>
      <w:lvlJc w:val="left"/>
      <w:pPr>
        <w:ind w:left="1440" w:hanging="360"/>
      </w:pPr>
      <w:rPr>
        <w:rFonts w:hint="default"/>
        <w:sz w:val="20"/>
      </w:rPr>
    </w:lvl>
    <w:lvl w:ilvl="2">
      <w:start w:val="1"/>
      <w:numFmt w:val="lowerRoman"/>
      <w:lvlText w:val="%3."/>
      <w:lvlJc w:val="right"/>
      <w:pPr>
        <w:ind w:left="2160" w:hanging="180"/>
      </w:pPr>
      <w:rPr>
        <w:rFonts w:hint="default"/>
        <w:sz w:val="20"/>
      </w:rPr>
    </w:lvl>
    <w:lvl w:ilvl="3" w:tentative="1">
      <w:start w:val="1"/>
      <w:numFmt w:val="decimal"/>
      <w:lvlText w:val="%4."/>
      <w:lvlJc w:val="left"/>
      <w:pPr>
        <w:ind w:left="2880" w:hanging="360"/>
      </w:pPr>
      <w:rPr>
        <w:rFonts w:hint="default"/>
        <w:sz w:val="20"/>
      </w:rPr>
    </w:lvl>
    <w:lvl w:ilvl="4" w:tentative="1">
      <w:start w:val="1"/>
      <w:numFmt w:val="lowerLetter"/>
      <w:lvlText w:val="%5."/>
      <w:lvlJc w:val="left"/>
      <w:pPr>
        <w:ind w:left="3600" w:hanging="360"/>
      </w:pPr>
      <w:rPr>
        <w:rFonts w:hint="default"/>
        <w:sz w:val="20"/>
      </w:rPr>
    </w:lvl>
    <w:lvl w:ilvl="5" w:tentative="1">
      <w:start w:val="1"/>
      <w:numFmt w:val="lowerRoman"/>
      <w:lvlText w:val="%6."/>
      <w:lvlJc w:val="right"/>
      <w:pPr>
        <w:ind w:left="4320" w:hanging="180"/>
      </w:pPr>
      <w:rPr>
        <w:rFonts w:hint="default"/>
        <w:sz w:val="20"/>
      </w:rPr>
    </w:lvl>
    <w:lvl w:ilvl="6" w:tentative="1">
      <w:start w:val="1"/>
      <w:numFmt w:val="decimal"/>
      <w:lvlText w:val="%7."/>
      <w:lvlJc w:val="left"/>
      <w:pPr>
        <w:ind w:left="5040" w:hanging="360"/>
      </w:pPr>
      <w:rPr>
        <w:rFonts w:hint="default"/>
        <w:sz w:val="20"/>
      </w:rPr>
    </w:lvl>
    <w:lvl w:ilvl="7" w:tentative="1">
      <w:start w:val="1"/>
      <w:numFmt w:val="lowerLetter"/>
      <w:lvlText w:val="%8."/>
      <w:lvlJc w:val="left"/>
      <w:pPr>
        <w:ind w:left="5760" w:hanging="360"/>
      </w:pPr>
      <w:rPr>
        <w:rFonts w:hint="default"/>
        <w:sz w:val="20"/>
      </w:rPr>
    </w:lvl>
    <w:lvl w:ilvl="8" w:tentative="1">
      <w:start w:val="1"/>
      <w:numFmt w:val="lowerRoman"/>
      <w:lvlText w:val="%9."/>
      <w:lvlJc w:val="right"/>
      <w:pPr>
        <w:ind w:left="6480" w:hanging="180"/>
      </w:pPr>
      <w:rPr>
        <w:rFonts w:hint="default"/>
        <w:sz w:val="20"/>
      </w:rPr>
    </w:lvl>
  </w:abstractNum>
  <w:abstractNum w:abstractNumId="12">
    <w:nsid w:val="23356348"/>
    <w:multiLevelType w:val="hybridMultilevel"/>
    <w:tmpl w:val="243A4CDC"/>
    <w:lvl w:ilvl="0">
      <w:start w:val="1"/>
      <w:numFmt w:val="bullet"/>
      <w:lvlText w:val=""/>
      <w:lvlJc w:val="left"/>
      <w:pPr>
        <w:ind w:left="720" w:hanging="72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56F3CF7"/>
    <w:multiLevelType w:val="hybridMultilevel"/>
    <w:tmpl w:val="11DCAA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A2E6347"/>
    <w:multiLevelType w:val="hybridMultilevel"/>
    <w:tmpl w:val="CD445C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EDA4AF4"/>
    <w:multiLevelType w:val="hybridMultilevel"/>
    <w:tmpl w:val="0809000F"/>
    <w:lvl w:ilvl="0">
      <w:start w:val="1"/>
      <w:numFmt w:val="decimal"/>
      <w:lvlText w:val="%1."/>
      <w:lvlJc w:val="left"/>
      <w:pPr>
        <w:ind w:left="720" w:hanging="360"/>
      </w:pPr>
      <w:rPr>
        <w:rFonts w:hint="default"/>
        <w:sz w:val="20"/>
      </w:rPr>
    </w:lvl>
    <w:lvl w:ilvl="1">
      <w:start w:val="1"/>
      <w:numFmt w:val="lowerLetter"/>
      <w:lvlText w:val="%2."/>
      <w:lvlJc w:val="left"/>
      <w:pPr>
        <w:ind w:left="1440" w:hanging="360"/>
      </w:pPr>
      <w:rPr>
        <w:rFonts w:hint="default"/>
        <w:sz w:val="20"/>
      </w:rPr>
    </w:lvl>
    <w:lvl w:ilvl="2">
      <w:start w:val="1"/>
      <w:numFmt w:val="lowerRoman"/>
      <w:lvlText w:val="%3."/>
      <w:lvlJc w:val="right"/>
      <w:pPr>
        <w:ind w:left="2160" w:hanging="180"/>
      </w:pPr>
      <w:rPr>
        <w:rFonts w:hint="default"/>
        <w:sz w:val="20"/>
      </w:rPr>
    </w:lvl>
    <w:lvl w:ilvl="3" w:tentative="1">
      <w:start w:val="1"/>
      <w:numFmt w:val="decimal"/>
      <w:lvlText w:val="%4."/>
      <w:lvlJc w:val="left"/>
      <w:pPr>
        <w:ind w:left="2880" w:hanging="360"/>
      </w:pPr>
      <w:rPr>
        <w:rFonts w:hint="default"/>
        <w:sz w:val="20"/>
      </w:rPr>
    </w:lvl>
    <w:lvl w:ilvl="4" w:tentative="1">
      <w:start w:val="1"/>
      <w:numFmt w:val="lowerLetter"/>
      <w:lvlText w:val="%5."/>
      <w:lvlJc w:val="left"/>
      <w:pPr>
        <w:ind w:left="3600" w:hanging="360"/>
      </w:pPr>
      <w:rPr>
        <w:rFonts w:hint="default"/>
        <w:sz w:val="20"/>
      </w:rPr>
    </w:lvl>
    <w:lvl w:ilvl="5" w:tentative="1">
      <w:start w:val="1"/>
      <w:numFmt w:val="lowerRoman"/>
      <w:lvlText w:val="%6."/>
      <w:lvlJc w:val="right"/>
      <w:pPr>
        <w:ind w:left="4320" w:hanging="180"/>
      </w:pPr>
      <w:rPr>
        <w:rFonts w:hint="default"/>
        <w:sz w:val="20"/>
      </w:rPr>
    </w:lvl>
    <w:lvl w:ilvl="6" w:tentative="1">
      <w:start w:val="1"/>
      <w:numFmt w:val="decimal"/>
      <w:lvlText w:val="%7."/>
      <w:lvlJc w:val="left"/>
      <w:pPr>
        <w:ind w:left="5040" w:hanging="360"/>
      </w:pPr>
      <w:rPr>
        <w:rFonts w:hint="default"/>
        <w:sz w:val="20"/>
      </w:rPr>
    </w:lvl>
    <w:lvl w:ilvl="7" w:tentative="1">
      <w:start w:val="1"/>
      <w:numFmt w:val="lowerLetter"/>
      <w:lvlText w:val="%8."/>
      <w:lvlJc w:val="left"/>
      <w:pPr>
        <w:ind w:left="5760" w:hanging="360"/>
      </w:pPr>
      <w:rPr>
        <w:rFonts w:hint="default"/>
        <w:sz w:val="20"/>
      </w:rPr>
    </w:lvl>
    <w:lvl w:ilvl="8" w:tentative="1">
      <w:start w:val="1"/>
      <w:numFmt w:val="lowerRoman"/>
      <w:lvlText w:val="%9."/>
      <w:lvlJc w:val="right"/>
      <w:pPr>
        <w:ind w:left="6480" w:hanging="180"/>
      </w:pPr>
      <w:rPr>
        <w:rFonts w:hint="default"/>
        <w:sz w:val="20"/>
      </w:rPr>
    </w:lvl>
  </w:abstractNum>
  <w:abstractNum w:abstractNumId="16">
    <w:nsid w:val="59C05C88"/>
    <w:multiLevelType w:val="hybridMultilevel"/>
    <w:tmpl w:val="489CF2AE"/>
    <w:lvl w:ilvl="0">
      <w:start w:val="1"/>
      <w:numFmt w:val="bullet"/>
      <w:lvlText w:val=""/>
      <w:lvlJc w:val="left"/>
      <w:pPr>
        <w:ind w:left="567" w:hanging="567"/>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DE902BC"/>
    <w:multiLevelType w:val="hybridMultilevel"/>
    <w:tmpl w:val="0809000F"/>
    <w:lvl w:ilvl="0">
      <w:start w:val="1"/>
      <w:numFmt w:val="decimal"/>
      <w:lvlText w:val="%1."/>
      <w:lvlJc w:val="left"/>
      <w:pPr>
        <w:ind w:left="720" w:hanging="360"/>
      </w:pPr>
      <w:rPr>
        <w:rFonts w:hint="default"/>
        <w:sz w:val="20"/>
      </w:rPr>
    </w:lvl>
    <w:lvl w:ilvl="1">
      <w:start w:val="1"/>
      <w:numFmt w:val="lowerLetter"/>
      <w:lvlText w:val="%2."/>
      <w:lvlJc w:val="left"/>
      <w:pPr>
        <w:ind w:left="1440" w:hanging="360"/>
      </w:pPr>
      <w:rPr>
        <w:rFonts w:hint="default"/>
        <w:sz w:val="20"/>
      </w:rPr>
    </w:lvl>
    <w:lvl w:ilvl="2">
      <w:start w:val="1"/>
      <w:numFmt w:val="lowerRoman"/>
      <w:lvlText w:val="%3."/>
      <w:lvlJc w:val="right"/>
      <w:pPr>
        <w:ind w:left="2160" w:hanging="180"/>
      </w:pPr>
      <w:rPr>
        <w:rFonts w:hint="default"/>
        <w:sz w:val="20"/>
      </w:rPr>
    </w:lvl>
    <w:lvl w:ilvl="3" w:tentative="1">
      <w:start w:val="1"/>
      <w:numFmt w:val="decimal"/>
      <w:lvlText w:val="%4."/>
      <w:lvlJc w:val="left"/>
      <w:pPr>
        <w:ind w:left="2880" w:hanging="360"/>
      </w:pPr>
      <w:rPr>
        <w:rFonts w:hint="default"/>
        <w:sz w:val="20"/>
      </w:rPr>
    </w:lvl>
    <w:lvl w:ilvl="4" w:tentative="1">
      <w:start w:val="1"/>
      <w:numFmt w:val="lowerLetter"/>
      <w:lvlText w:val="%5."/>
      <w:lvlJc w:val="left"/>
      <w:pPr>
        <w:ind w:left="3600" w:hanging="360"/>
      </w:pPr>
      <w:rPr>
        <w:rFonts w:hint="default"/>
        <w:sz w:val="20"/>
      </w:rPr>
    </w:lvl>
    <w:lvl w:ilvl="5" w:tentative="1">
      <w:start w:val="1"/>
      <w:numFmt w:val="lowerRoman"/>
      <w:lvlText w:val="%6."/>
      <w:lvlJc w:val="right"/>
      <w:pPr>
        <w:ind w:left="4320" w:hanging="180"/>
      </w:pPr>
      <w:rPr>
        <w:rFonts w:hint="default"/>
        <w:sz w:val="20"/>
      </w:rPr>
    </w:lvl>
    <w:lvl w:ilvl="6" w:tentative="1">
      <w:start w:val="1"/>
      <w:numFmt w:val="decimal"/>
      <w:lvlText w:val="%7."/>
      <w:lvlJc w:val="left"/>
      <w:pPr>
        <w:ind w:left="5040" w:hanging="360"/>
      </w:pPr>
      <w:rPr>
        <w:rFonts w:hint="default"/>
        <w:sz w:val="20"/>
      </w:rPr>
    </w:lvl>
    <w:lvl w:ilvl="7" w:tentative="1">
      <w:start w:val="1"/>
      <w:numFmt w:val="lowerLetter"/>
      <w:lvlText w:val="%8."/>
      <w:lvlJc w:val="left"/>
      <w:pPr>
        <w:ind w:left="5760" w:hanging="360"/>
      </w:pPr>
      <w:rPr>
        <w:rFonts w:hint="default"/>
        <w:sz w:val="20"/>
      </w:rPr>
    </w:lvl>
    <w:lvl w:ilvl="8" w:tentative="1">
      <w:start w:val="1"/>
      <w:numFmt w:val="lowerRoman"/>
      <w:lvlText w:val="%9."/>
      <w:lvlJc w:val="right"/>
      <w:pPr>
        <w:ind w:left="6480" w:hanging="180"/>
      </w:pPr>
      <w:rPr>
        <w:rFonts w:hint="default"/>
        <w:sz w:val="20"/>
      </w:rPr>
    </w:lvl>
  </w:abstractNum>
  <w:abstractNum w:abstractNumId="18">
    <w:nsid w:val="6F362B53"/>
    <w:multiLevelType w:val="hybridMultilevel"/>
    <w:tmpl w:val="9A1CBF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6821CCC"/>
    <w:multiLevelType w:val="hybridMultilevel"/>
    <w:tmpl w:val="F13883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7C6033ED"/>
    <w:multiLevelType w:val="hybridMultilevel"/>
    <w:tmpl w:val="0809000F"/>
    <w:lvl w:ilvl="0">
      <w:start w:val="1"/>
      <w:numFmt w:val="decimal"/>
      <w:lvlText w:val="%1."/>
      <w:lvlJc w:val="left"/>
      <w:pPr>
        <w:ind w:left="720" w:hanging="360"/>
      </w:pPr>
      <w:rPr>
        <w:rFonts w:hint="default"/>
        <w:sz w:val="20"/>
      </w:rPr>
    </w:lvl>
    <w:lvl w:ilvl="1">
      <w:start w:val="1"/>
      <w:numFmt w:val="lowerLetter"/>
      <w:lvlText w:val="%2."/>
      <w:lvlJc w:val="left"/>
      <w:pPr>
        <w:ind w:left="1440" w:hanging="360"/>
      </w:pPr>
      <w:rPr>
        <w:rFonts w:hint="default"/>
        <w:sz w:val="20"/>
      </w:rPr>
    </w:lvl>
    <w:lvl w:ilvl="2">
      <w:start w:val="1"/>
      <w:numFmt w:val="lowerRoman"/>
      <w:lvlText w:val="%3."/>
      <w:lvlJc w:val="right"/>
      <w:pPr>
        <w:ind w:left="2160" w:hanging="180"/>
      </w:pPr>
      <w:rPr>
        <w:rFonts w:hint="default"/>
        <w:sz w:val="20"/>
      </w:rPr>
    </w:lvl>
    <w:lvl w:ilvl="3" w:tentative="1">
      <w:start w:val="1"/>
      <w:numFmt w:val="decimal"/>
      <w:lvlText w:val="%4."/>
      <w:lvlJc w:val="left"/>
      <w:pPr>
        <w:ind w:left="2880" w:hanging="360"/>
      </w:pPr>
      <w:rPr>
        <w:rFonts w:hint="default"/>
        <w:sz w:val="20"/>
      </w:rPr>
    </w:lvl>
    <w:lvl w:ilvl="4" w:tentative="1">
      <w:start w:val="1"/>
      <w:numFmt w:val="lowerLetter"/>
      <w:lvlText w:val="%5."/>
      <w:lvlJc w:val="left"/>
      <w:pPr>
        <w:ind w:left="3600" w:hanging="360"/>
      </w:pPr>
      <w:rPr>
        <w:rFonts w:hint="default"/>
        <w:sz w:val="20"/>
      </w:rPr>
    </w:lvl>
    <w:lvl w:ilvl="5" w:tentative="1">
      <w:start w:val="1"/>
      <w:numFmt w:val="lowerRoman"/>
      <w:lvlText w:val="%6."/>
      <w:lvlJc w:val="right"/>
      <w:pPr>
        <w:ind w:left="4320" w:hanging="180"/>
      </w:pPr>
      <w:rPr>
        <w:rFonts w:hint="default"/>
        <w:sz w:val="20"/>
      </w:rPr>
    </w:lvl>
    <w:lvl w:ilvl="6" w:tentative="1">
      <w:start w:val="1"/>
      <w:numFmt w:val="decimal"/>
      <w:lvlText w:val="%7."/>
      <w:lvlJc w:val="left"/>
      <w:pPr>
        <w:ind w:left="5040" w:hanging="360"/>
      </w:pPr>
      <w:rPr>
        <w:rFonts w:hint="default"/>
        <w:sz w:val="20"/>
      </w:rPr>
    </w:lvl>
    <w:lvl w:ilvl="7" w:tentative="1">
      <w:start w:val="1"/>
      <w:numFmt w:val="lowerLetter"/>
      <w:lvlText w:val="%8."/>
      <w:lvlJc w:val="left"/>
      <w:pPr>
        <w:ind w:left="5760" w:hanging="360"/>
      </w:pPr>
      <w:rPr>
        <w:rFonts w:hint="default"/>
        <w:sz w:val="20"/>
      </w:rPr>
    </w:lvl>
    <w:lvl w:ilvl="8" w:tentative="1">
      <w:start w:val="1"/>
      <w:numFmt w:val="lowerRoman"/>
      <w:lvlText w:val="%9."/>
      <w:lvlJc w:val="right"/>
      <w:pPr>
        <w:ind w:left="6480" w:hanging="180"/>
      </w:pPr>
      <w:rPr>
        <w:rFonts w:hint="default"/>
        <w:sz w:val="20"/>
      </w:rPr>
    </w:lvl>
  </w:abstractNum>
  <w:num w:numId="1">
    <w:abstractNumId w:val="13"/>
  </w:num>
  <w:num w:numId="2">
    <w:abstractNumId w:val="18"/>
  </w:num>
  <w:num w:numId="3">
    <w:abstractNumId w:val="12"/>
  </w:num>
  <w:num w:numId="4">
    <w:abstractNumId w:val="16"/>
  </w:num>
  <w:num w:numId="5">
    <w:abstractNumId w:val="10"/>
  </w:num>
  <w:num w:numId="6">
    <w:abstractNumId w:val="0"/>
  </w:num>
  <w:num w:numId="7">
    <w:abstractNumId w:val="1"/>
  </w:num>
  <w:num w:numId="8">
    <w:abstractNumId w:val="2"/>
  </w:num>
  <w:num w:numId="9">
    <w:abstractNumId w:val="3"/>
  </w:num>
  <w:num w:numId="10">
    <w:abstractNumId w:val="8"/>
  </w:num>
  <w:num w:numId="11">
    <w:abstractNumId w:val="4"/>
  </w:num>
  <w:num w:numId="12">
    <w:abstractNumId w:val="5"/>
  </w:num>
  <w:num w:numId="13">
    <w:abstractNumId w:val="6"/>
  </w:num>
  <w:num w:numId="14">
    <w:abstractNumId w:val="7"/>
  </w:num>
  <w:num w:numId="15">
    <w:abstractNumId w:val="9"/>
  </w:num>
  <w:num w:numId="16">
    <w:abstractNumId w:val="20"/>
  </w:num>
  <w:num w:numId="17">
    <w:abstractNumId w:val="11"/>
  </w:num>
  <w:num w:numId="18">
    <w:abstractNumId w:val="15"/>
  </w:num>
  <w:num w:numId="19">
    <w:abstractNumId w:val="17"/>
  </w:num>
  <w:num w:numId="20">
    <w:abstractNumId w:val="14"/>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stylePaneFormatFilter w:val="3F21" w:allStyles="1" w:alternateStyleNames="0" w:clearFormatting="1" w:customStyles="0" w:directFormattingOnNumbering="1" w:directFormattingOnParagraphs="1" w:directFormattingOnRuns="1" w:directFormattingOnTables="1" w:headingStyles="1" w:latentStyles="0" w:numberingStyles="0" w:stylesInUse="0" w:tableStyles="0" w:top3HeadingStyles="1"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86B07"/>
  </w:style>
  <w:style w:type="paragraph" w:styleId="Heading1">
    <w:name w:val="heading 1"/>
    <w:basedOn w:val="Level1heading"/>
    <w:next w:val="Normal"/>
    <w:link w:val="Heading1Char"/>
    <w:uiPriority w:val="9"/>
    <w:qFormat/>
    <w:rsid w:val="00D37948"/>
    <w:pPr>
      <w:outlineLvl w:val="0"/>
    </w:pPr>
  </w:style>
  <w:style w:type="paragraph" w:styleId="Heading2">
    <w:name w:val="heading 2"/>
    <w:basedOn w:val="Level2heading"/>
    <w:next w:val="Normal"/>
    <w:link w:val="Heading2Char"/>
    <w:uiPriority w:val="9"/>
    <w:unhideWhenUsed/>
    <w:qFormat/>
    <w:rsid w:val="00D37948"/>
    <w:pPr>
      <w:outlineLvl w:val="1"/>
    </w:pPr>
  </w:style>
  <w:style w:type="paragraph" w:styleId="Heading3">
    <w:name w:val="heading 3"/>
    <w:basedOn w:val="Level3heading"/>
    <w:next w:val="Normal"/>
    <w:link w:val="Heading3Char"/>
    <w:uiPriority w:val="9"/>
    <w:unhideWhenUsed/>
    <w:qFormat/>
    <w:rsid w:val="00D37948"/>
    <w:pPr>
      <w:outlineLvl w:val="2"/>
    </w:pPr>
  </w:style>
  <w:style w:type="paragraph" w:styleId="Heading4">
    <w:name w:val="heading 4"/>
    <w:basedOn w:val="Normal"/>
    <w:next w:val="Normal"/>
    <w:link w:val="Heading4Char"/>
    <w:uiPriority w:val="9"/>
    <w:semiHidden/>
    <w:unhideWhenUsed/>
    <w:qFormat/>
    <w:rsid w:val="00917819"/>
    <w:pPr>
      <w:keepNext/>
      <w:keepLines/>
      <w:spacing w:before="40"/>
      <w:outlineLvl w:val="3"/>
    </w:pPr>
    <w:rPr>
      <w:rFonts w:asciiTheme="majorHAnsi" w:eastAsiaTheme="majorEastAsia" w:hAnsiTheme="maj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86B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6B0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6B0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6B0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6B0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D37948"/>
    <w:pPr>
      <w:keepNext/>
      <w:autoSpaceDE w:val="0"/>
      <w:autoSpaceDN w:val="0"/>
      <w:adjustRightInd w:val="0"/>
      <w:textAlignment w:val="center"/>
    </w:pPr>
    <w:rPr>
      <w:rFonts w:ascii="Helvetica Now Text Light" w:hAnsi="Helvetica Now Text Light" w:cs="Minion Pro"/>
      <w:color w:val="000000"/>
      <w:sz w:val="20"/>
      <w:szCs w:val="20"/>
    </w:rPr>
  </w:style>
  <w:style w:type="paragraph" w:customStyle="1" w:styleId="NoParagraphStyle">
    <w:name w:val="[No Paragraph Style]"/>
    <w:rsid w:val="00D37948"/>
    <w:pPr>
      <w:autoSpaceDE w:val="0"/>
      <w:autoSpaceDN w:val="0"/>
      <w:adjustRightInd w:val="0"/>
      <w:textAlignment w:val="center"/>
    </w:pPr>
    <w:rPr>
      <w:rFonts w:ascii="Helvetica Now Text Light" w:hAnsi="Helvetica Now Text Light" w:cs="Minion Pro"/>
      <w:color w:val="000000"/>
      <w:sz w:val="20"/>
    </w:rPr>
  </w:style>
  <w:style w:type="paragraph" w:styleId="Header">
    <w:name w:val="header"/>
    <w:basedOn w:val="Normal"/>
    <w:link w:val="HeaderChar"/>
    <w:uiPriority w:val="99"/>
    <w:unhideWhenUsed/>
    <w:rsid w:val="009F4E9C"/>
    <w:pPr>
      <w:tabs>
        <w:tab w:val="center" w:pos="4513"/>
        <w:tab w:val="right" w:pos="9026"/>
      </w:tabs>
    </w:pPr>
    <w:rPr>
      <w:rFonts w:ascii="Helvetica Now Text Medium" w:hAnsi="Helvetica Now Text Medium"/>
      <w:sz w:val="16"/>
    </w:rPr>
  </w:style>
  <w:style w:type="character" w:customStyle="1" w:styleId="HeaderChar">
    <w:name w:val="Header Char"/>
    <w:basedOn w:val="DefaultParagraphFont"/>
    <w:link w:val="Header"/>
    <w:uiPriority w:val="99"/>
    <w:rsid w:val="009F4E9C"/>
    <w:rPr>
      <w:rFonts w:ascii="Helvetica Now Text Medium" w:hAnsi="Helvetica Now Text Medium"/>
      <w:sz w:val="16"/>
    </w:rPr>
  </w:style>
  <w:style w:type="paragraph" w:styleId="Footer">
    <w:name w:val="footer"/>
    <w:basedOn w:val="Normal"/>
    <w:link w:val="FooterChar"/>
    <w:uiPriority w:val="99"/>
    <w:unhideWhenUsed/>
    <w:rsid w:val="00367C26"/>
    <w:pPr>
      <w:tabs>
        <w:tab w:val="center" w:pos="4513"/>
        <w:tab w:val="right" w:pos="9026"/>
      </w:tabs>
    </w:pPr>
    <w:rPr>
      <w:rFonts w:ascii="Helvetica Now Text Light" w:hAnsi="Helvetica Now Text Light" w:cs="Times New Roman (Body CS)"/>
      <w:sz w:val="16"/>
    </w:rPr>
  </w:style>
  <w:style w:type="character" w:customStyle="1" w:styleId="FooterChar">
    <w:name w:val="Footer Char"/>
    <w:basedOn w:val="DefaultParagraphFont"/>
    <w:link w:val="Footer"/>
    <w:uiPriority w:val="99"/>
    <w:rsid w:val="00367C26"/>
    <w:rPr>
      <w:rFonts w:ascii="Helvetica Now Text Light" w:hAnsi="Helvetica Now Text Light" w:cs="Times New Roman (Body CS)"/>
      <w:sz w:val="16"/>
    </w:rPr>
  </w:style>
  <w:style w:type="character" w:styleId="PageNumber">
    <w:name w:val="page number"/>
    <w:basedOn w:val="DefaultParagraphFont"/>
    <w:uiPriority w:val="99"/>
    <w:semiHidden/>
    <w:unhideWhenUsed/>
    <w:rsid w:val="003131BE"/>
    <w:rPr>
      <w:rFonts w:ascii="Helvetica Now Text Medium" w:hAnsi="Helvetica Now Text Medium"/>
      <w:b w:val="0"/>
      <w:i w:val="0"/>
      <w:sz w:val="16"/>
    </w:rPr>
  </w:style>
  <w:style w:type="paragraph" w:styleId="Revision">
    <w:name w:val="Revision"/>
    <w:hidden/>
    <w:uiPriority w:val="99"/>
    <w:semiHidden/>
    <w:rsid w:val="000F04AA"/>
  </w:style>
  <w:style w:type="paragraph" w:customStyle="1" w:styleId="Bodycopy">
    <w:name w:val="Body copy"/>
    <w:basedOn w:val="BasicParagraph"/>
    <w:qFormat/>
    <w:rsid w:val="009F4E9C"/>
  </w:style>
  <w:style w:type="paragraph" w:customStyle="1" w:styleId="Level3heading">
    <w:name w:val="Level 3 heading"/>
    <w:basedOn w:val="BasicParagraph"/>
    <w:qFormat/>
    <w:rsid w:val="009F4E9C"/>
    <w:rPr>
      <w:rFonts w:ascii="Helvetica Now Text Medium" w:hAnsi="Helvetica Now Text Medium"/>
      <w:sz w:val="22"/>
      <w:szCs w:val="22"/>
    </w:rPr>
  </w:style>
  <w:style w:type="paragraph" w:customStyle="1" w:styleId="Level2heading">
    <w:name w:val="Level 2 heading"/>
    <w:basedOn w:val="BasicParagraph"/>
    <w:qFormat/>
    <w:rsid w:val="009F4E9C"/>
    <w:pPr>
      <w:spacing w:after="240"/>
    </w:pPr>
    <w:rPr>
      <w:sz w:val="28"/>
      <w:szCs w:val="28"/>
    </w:rPr>
  </w:style>
  <w:style w:type="paragraph" w:customStyle="1" w:styleId="Level1heading">
    <w:name w:val="Level 1 heading"/>
    <w:basedOn w:val="BasicParagraph"/>
    <w:qFormat/>
    <w:rsid w:val="009F4E9C"/>
    <w:pPr>
      <w:pBdr>
        <w:top w:val="single" w:sz="4" w:space="1" w:color="auto"/>
        <w:bottom w:val="single" w:sz="4" w:space="1" w:color="auto"/>
      </w:pBdr>
      <w:spacing w:after="480"/>
    </w:pPr>
    <w:rPr>
      <w:rFonts w:ascii="Helvetica Now Text" w:hAnsi="Helvetica Now Text"/>
      <w:b/>
      <w:bCs/>
      <w:sz w:val="32"/>
      <w:szCs w:val="32"/>
    </w:rPr>
  </w:style>
  <w:style w:type="paragraph" w:customStyle="1" w:styleId="Bullets">
    <w:name w:val="Bullets"/>
    <w:basedOn w:val="BasicParagraph"/>
    <w:qFormat/>
    <w:rsid w:val="009F4E9C"/>
    <w:pPr>
      <w:numPr>
        <w:numId w:val="5"/>
      </w:numPr>
    </w:pPr>
  </w:style>
  <w:style w:type="paragraph" w:customStyle="1" w:styleId="Covertitleheading">
    <w:name w:val="Cover title heading"/>
    <w:basedOn w:val="Normal"/>
    <w:qFormat/>
    <w:rsid w:val="00D37948"/>
    <w:rPr>
      <w:rFonts w:ascii="Helvetica Now Text" w:hAnsi="Helvetica Now Text"/>
      <w:b/>
      <w:bCs/>
      <w:color w:val="0D0D0D" w:themeColor="text1" w:themeTint="F2"/>
      <w:sz w:val="72"/>
      <w:szCs w:val="72"/>
      <w:lang w:val="en-US"/>
    </w:rPr>
  </w:style>
  <w:style w:type="paragraph" w:customStyle="1" w:styleId="Coversubheading">
    <w:name w:val="Cover subheading"/>
    <w:basedOn w:val="Normal"/>
    <w:qFormat/>
    <w:rsid w:val="00D37948"/>
    <w:rPr>
      <w:rFonts w:ascii="Helvetica Now Text" w:hAnsi="Helvetica Now Text"/>
      <w:b/>
      <w:bCs/>
      <w:color w:val="0D0D0D" w:themeColor="text1" w:themeTint="F2"/>
      <w:sz w:val="32"/>
      <w:szCs w:val="32"/>
      <w:lang w:val="en-US"/>
    </w:rPr>
  </w:style>
  <w:style w:type="character" w:customStyle="1" w:styleId="SmartHyperlink1">
    <w:name w:val="Smart Hyperlink1"/>
    <w:basedOn w:val="DefaultParagraphFont"/>
    <w:uiPriority w:val="99"/>
    <w:semiHidden/>
    <w:unhideWhenUsed/>
    <w:rsid w:val="00D37948"/>
    <w:rPr>
      <w:rFonts w:ascii="Helvetica Now Text Light" w:hAnsi="Helvetica Now Text Light"/>
      <w:u w:val="dotted"/>
    </w:rPr>
  </w:style>
  <w:style w:type="character" w:customStyle="1" w:styleId="Heading1Char">
    <w:name w:val="Heading 1 Char"/>
    <w:basedOn w:val="DefaultParagraphFont"/>
    <w:link w:val="Heading1"/>
    <w:uiPriority w:val="9"/>
    <w:rsid w:val="00D37948"/>
    <w:rPr>
      <w:rFonts w:ascii="Helvetica Now Text" w:hAnsi="Helvetica Now Text" w:cs="Minion Pro"/>
      <w:b/>
      <w:bCs/>
      <w:color w:val="000000"/>
      <w:sz w:val="32"/>
      <w:szCs w:val="32"/>
    </w:rPr>
  </w:style>
  <w:style w:type="character" w:customStyle="1" w:styleId="Heading2Char">
    <w:name w:val="Heading 2 Char"/>
    <w:basedOn w:val="DefaultParagraphFont"/>
    <w:link w:val="Heading2"/>
    <w:uiPriority w:val="9"/>
    <w:rsid w:val="00D37948"/>
    <w:rPr>
      <w:rFonts w:ascii="Helvetica Now Text Light" w:hAnsi="Helvetica Now Text Light" w:cs="Minion Pro"/>
      <w:color w:val="000000"/>
      <w:sz w:val="28"/>
      <w:szCs w:val="28"/>
    </w:rPr>
  </w:style>
  <w:style w:type="character" w:customStyle="1" w:styleId="Heading3Char">
    <w:name w:val="Heading 3 Char"/>
    <w:basedOn w:val="DefaultParagraphFont"/>
    <w:link w:val="Heading3"/>
    <w:uiPriority w:val="9"/>
    <w:rsid w:val="00D37948"/>
    <w:rPr>
      <w:rFonts w:ascii="Helvetica Now Text Medium" w:hAnsi="Helvetica Now Text Medium" w:cs="Minion Pro"/>
      <w:color w:val="000000"/>
      <w:sz w:val="22"/>
      <w:szCs w:val="22"/>
    </w:rPr>
  </w:style>
  <w:style w:type="paragraph" w:styleId="Title">
    <w:name w:val="Title"/>
    <w:basedOn w:val="Normal"/>
    <w:next w:val="Normal"/>
    <w:link w:val="TitleChar"/>
    <w:uiPriority w:val="10"/>
    <w:qFormat/>
    <w:rsid w:val="00D37948"/>
    <w:rPr>
      <w:rFonts w:ascii="Helvetica Now Text" w:hAnsi="Helvetica Now Text"/>
      <w:b/>
      <w:bCs/>
      <w:color w:val="0D0D0D" w:themeColor="text1" w:themeTint="F2"/>
      <w:sz w:val="72"/>
      <w:szCs w:val="72"/>
      <w:lang w:val="en-US"/>
    </w:rPr>
  </w:style>
  <w:style w:type="character" w:customStyle="1" w:styleId="TitleChar">
    <w:name w:val="Title Char"/>
    <w:basedOn w:val="DefaultParagraphFont"/>
    <w:link w:val="Title"/>
    <w:uiPriority w:val="10"/>
    <w:rsid w:val="00D37948"/>
    <w:rPr>
      <w:rFonts w:ascii="Helvetica Now Text" w:hAnsi="Helvetica Now Text"/>
      <w:b/>
      <w:bCs/>
      <w:color w:val="0D0D0D" w:themeColor="text1" w:themeTint="F2"/>
      <w:sz w:val="72"/>
      <w:szCs w:val="72"/>
      <w:lang w:val="en-US"/>
    </w:rPr>
  </w:style>
  <w:style w:type="paragraph" w:styleId="Subtitle">
    <w:name w:val="Subtitle"/>
    <w:basedOn w:val="Normal"/>
    <w:next w:val="Normal"/>
    <w:link w:val="SubtitleChar"/>
    <w:uiPriority w:val="11"/>
    <w:qFormat/>
    <w:rsid w:val="00D37948"/>
    <w:rPr>
      <w:rFonts w:ascii="Helvetica Now Text" w:hAnsi="Helvetica Now Text"/>
      <w:b/>
      <w:bCs/>
      <w:color w:val="0D0D0D" w:themeColor="text1" w:themeTint="F2"/>
      <w:sz w:val="32"/>
      <w:szCs w:val="32"/>
      <w:lang w:val="en-US"/>
    </w:rPr>
  </w:style>
  <w:style w:type="character" w:customStyle="1" w:styleId="SubtitleChar">
    <w:name w:val="Subtitle Char"/>
    <w:basedOn w:val="DefaultParagraphFont"/>
    <w:link w:val="Subtitle"/>
    <w:uiPriority w:val="11"/>
    <w:rsid w:val="00D37948"/>
    <w:rPr>
      <w:rFonts w:ascii="Helvetica Now Text" w:hAnsi="Helvetica Now Text"/>
      <w:b/>
      <w:bCs/>
      <w:color w:val="0D0D0D" w:themeColor="text1" w:themeTint="F2"/>
      <w:sz w:val="32"/>
      <w:szCs w:val="32"/>
      <w:lang w:val="en-US"/>
    </w:rPr>
  </w:style>
  <w:style w:type="character" w:styleId="SubtleEmphasis">
    <w:name w:val="Subtle Emphasis"/>
    <w:basedOn w:val="DefaultParagraphFont"/>
    <w:uiPriority w:val="19"/>
    <w:qFormat/>
    <w:rsid w:val="00D37948"/>
    <w:rPr>
      <w:rFonts w:ascii="Helvetica Now Text Light" w:hAnsi="Helvetica Now Text Light"/>
      <w:b w:val="0"/>
      <w:i/>
      <w:iCs/>
      <w:color w:val="404040" w:themeColor="text1" w:themeTint="BF"/>
      <w:sz w:val="20"/>
    </w:rPr>
  </w:style>
  <w:style w:type="character" w:styleId="Emphasis">
    <w:name w:val="Emphasis"/>
    <w:basedOn w:val="DefaultParagraphFont"/>
    <w:uiPriority w:val="20"/>
    <w:qFormat/>
    <w:rsid w:val="00D37948"/>
    <w:rPr>
      <w:rFonts w:ascii="Helvetica Now Text Medium" w:hAnsi="Helvetica Now Text Medium"/>
      <w:b w:val="0"/>
      <w:i/>
      <w:iCs/>
      <w:sz w:val="20"/>
    </w:rPr>
  </w:style>
  <w:style w:type="paragraph" w:styleId="TOC1">
    <w:name w:val="toc 1"/>
    <w:basedOn w:val="Normal"/>
    <w:next w:val="Normal"/>
    <w:autoRedefine/>
    <w:uiPriority w:val="39"/>
    <w:semiHidden/>
    <w:unhideWhenUsed/>
    <w:rsid w:val="00D37948"/>
    <w:pPr>
      <w:spacing w:after="100" w:line="360" w:lineRule="auto"/>
    </w:pPr>
    <w:rPr>
      <w:rFonts w:ascii="Helvetica Now Text Medium" w:hAnsi="Helvetica Now Text Medium"/>
      <w:sz w:val="22"/>
    </w:rPr>
  </w:style>
  <w:style w:type="character" w:customStyle="1" w:styleId="Heading4Char">
    <w:name w:val="Heading 4 Char"/>
    <w:basedOn w:val="DefaultParagraphFont"/>
    <w:link w:val="Heading4"/>
    <w:uiPriority w:val="9"/>
    <w:semiHidden/>
    <w:rsid w:val="00917819"/>
    <w:rPr>
      <w:rFonts w:asciiTheme="majorHAnsi" w:eastAsiaTheme="majorEastAsia" w:hAnsiTheme="majorHAnsi" w:cstheme="majorBidi"/>
      <w:i/>
      <w:iCs/>
      <w:color w:val="0F4761" w:themeColor="accent1" w:themeShade="BF"/>
    </w:rPr>
  </w:style>
  <w:style w:type="character" w:customStyle="1" w:styleId="Heading5Char">
    <w:name w:val="Heading 5 Char"/>
    <w:basedOn w:val="DefaultParagraphFont"/>
    <w:link w:val="Heading5"/>
    <w:uiPriority w:val="9"/>
    <w:semiHidden/>
    <w:rsid w:val="00186B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6B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6B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6B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6B07"/>
    <w:rPr>
      <w:rFonts w:eastAsiaTheme="majorEastAsia" w:cstheme="majorBidi"/>
      <w:color w:val="272727" w:themeColor="text1" w:themeTint="D8"/>
    </w:rPr>
  </w:style>
  <w:style w:type="paragraph" w:styleId="Quote">
    <w:name w:val="Quote"/>
    <w:basedOn w:val="Normal"/>
    <w:next w:val="Normal"/>
    <w:link w:val="QuoteChar"/>
    <w:uiPriority w:val="29"/>
    <w:qFormat/>
    <w:rsid w:val="00186B0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86B07"/>
    <w:rPr>
      <w:i/>
      <w:iCs/>
      <w:color w:val="404040" w:themeColor="text1" w:themeTint="BF"/>
    </w:rPr>
  </w:style>
  <w:style w:type="paragraph" w:styleId="ListParagraph">
    <w:name w:val="List Paragraph"/>
    <w:basedOn w:val="Normal"/>
    <w:uiPriority w:val="34"/>
    <w:qFormat/>
    <w:rsid w:val="00186B07"/>
    <w:pPr>
      <w:ind w:left="720"/>
      <w:contextualSpacing/>
    </w:pPr>
  </w:style>
  <w:style w:type="character" w:styleId="IntenseEmphasis">
    <w:name w:val="Intense Emphasis"/>
    <w:basedOn w:val="DefaultParagraphFont"/>
    <w:uiPriority w:val="21"/>
    <w:qFormat/>
    <w:rsid w:val="00186B07"/>
    <w:rPr>
      <w:i/>
      <w:iCs/>
      <w:color w:val="0F4761" w:themeColor="accent1" w:themeShade="BF"/>
    </w:rPr>
  </w:style>
  <w:style w:type="paragraph" w:styleId="IntenseQuote">
    <w:name w:val="Intense Quote"/>
    <w:basedOn w:val="Normal"/>
    <w:next w:val="Normal"/>
    <w:link w:val="IntenseQuoteChar"/>
    <w:uiPriority w:val="30"/>
    <w:qFormat/>
    <w:rsid w:val="00186B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6B07"/>
    <w:rPr>
      <w:i/>
      <w:iCs/>
      <w:color w:val="0F4761" w:themeColor="accent1" w:themeShade="BF"/>
    </w:rPr>
  </w:style>
  <w:style w:type="character" w:styleId="IntenseReference">
    <w:name w:val="Intense Reference"/>
    <w:basedOn w:val="DefaultParagraphFont"/>
    <w:uiPriority w:val="32"/>
    <w:qFormat/>
    <w:rsid w:val="00186B07"/>
    <w:rPr>
      <w:b/>
      <w:bCs/>
      <w:smallCaps/>
      <w:color w:val="0F4761" w:themeColor="accent1" w:themeShade="BF"/>
      <w:spacing w:val="5"/>
    </w:rPr>
  </w:style>
  <w:style w:type="character" w:styleId="Hyperlink">
    <w:name w:val="Hyperlink"/>
    <w:basedOn w:val="DefaultParagraphFont"/>
    <w:uiPriority w:val="99"/>
    <w:unhideWhenUsed/>
    <w:rsid w:val="00186B07"/>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CYM0183</dc:title>
  <cp:revision>0</cp:revision>
</cp:coreProperties>
</file>