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26E6E" w:rsidRPr="00326E6E" w:rsidP="00326E6E">
      <w:pPr>
        <w:pStyle w:val="Bodycopy"/>
        <w:jc w:val="center"/>
        <w:rPr>
          <w:b/>
          <w:bCs/>
          <w:sz w:val="28"/>
          <w:szCs w:val="32"/>
        </w:rPr>
      </w:pPr>
      <w:r w:rsidRPr="00326E6E">
        <w:rPr>
          <w:b/>
          <w:bCs/>
          <w:sz w:val="28"/>
          <w:szCs w:val="32"/>
        </w:rPr>
        <w:t>Written Submitted by Local Government Association (CYM0178)</w:t>
      </w:r>
    </w:p>
    <w:p w:rsidR="005841CD" w:rsidRPr="00326E6E" w:rsidP="00003DE5">
      <w:pPr>
        <w:pStyle w:val="Bodycopy"/>
      </w:pPr>
    </w:p>
    <w:p w:rsidR="005841CD" w:rsidRPr="00326E6E" w:rsidP="00D15E62">
      <w:pPr>
        <w:pStyle w:val="H1LGA"/>
        <w:rPr>
          <w:color w:val="auto"/>
        </w:rPr>
      </w:pPr>
      <w:r w:rsidRPr="00326E6E">
        <w:rPr>
          <w:bCs/>
          <w:color w:val="auto"/>
        </w:rPr>
        <w:t>LGA response to health and social care select committee inquiry on children’s mental health and wellbeing</w:t>
      </w:r>
      <w:r w:rsidRPr="00326E6E">
        <w:rPr>
          <w:bCs/>
          <w:i/>
          <w:iCs/>
          <w:color w:val="auto"/>
        </w:rPr>
        <w:t>.</w:t>
      </w:r>
      <w:r w:rsidRPr="00326E6E">
        <w:rPr>
          <w:bCs/>
          <w:color w:val="auto"/>
        </w:rPr>
        <w:t xml:space="preserve"> </w:t>
      </w:r>
    </w:p>
    <w:p w:rsidR="005841CD" w:rsidRPr="00326E6E" w:rsidP="00870609">
      <w:pPr>
        <w:pStyle w:val="H2LGA"/>
        <w:rPr>
          <w:color w:val="auto"/>
        </w:rPr>
      </w:pPr>
      <w:r w:rsidRPr="00326E6E">
        <w:rPr>
          <w:color w:val="auto"/>
        </w:rPr>
        <w:t>About the Local Government Association:</w:t>
      </w:r>
    </w:p>
    <w:p w:rsidR="005841CD" w:rsidRPr="00326E6E" w:rsidP="00D15E62">
      <w:r w:rsidRPr="00326E6E">
        <w:t>The Local Government Association (LGA) is the national membership body for local authorities. Our purpose is to strengthen local government, so communities thrive.  </w:t>
      </w:r>
    </w:p>
    <w:p w:rsidR="005841CD" w:rsidRPr="00326E6E" w:rsidP="00D15E62">
      <w:r w:rsidRPr="00326E6E">
        <w:t>We are a politically led, cross-party organisation that works on behalf of councils to ensure local government has a strong, credible voice with national government. We aim to influence and set the political agenda on the issues that matter to councils, so they can deliver local solutions to national problems.  </w:t>
      </w:r>
    </w:p>
    <w:p w:rsidR="005841CD" w:rsidRPr="00326E6E" w:rsidP="00D15E62">
      <w:pPr>
        <w:rPr>
          <w:b/>
          <w:bCs/>
        </w:rPr>
      </w:pPr>
      <w:r w:rsidRPr="00326E6E">
        <w:rPr>
          <w:b/>
          <w:bCs/>
        </w:rPr>
        <w:t xml:space="preserve">Key points: </w:t>
      </w:r>
    </w:p>
    <w:p w:rsidR="005841CD" w:rsidRPr="00326E6E" w:rsidP="00D15E62">
      <w:pPr>
        <w:pStyle w:val="ListParagraph"/>
        <w:numPr>
          <w:ilvl w:val="0"/>
          <w:numId w:val="11"/>
        </w:numPr>
      </w:pPr>
      <w:r w:rsidRPr="00326E6E">
        <w:t xml:space="preserve">In 2023 (the most recent, national statistics available), </w:t>
      </w:r>
      <w:r>
        <w:fldChar w:fldCharType="begin"/>
      </w:r>
      <w:r>
        <w:instrText xml:space="preserve"> HYPERLINK "https://digital.nhs.uk/data-and-information/publications/statistical/mental-health-of-children-and-young-people-in-england" </w:instrText>
      </w:r>
      <w:r>
        <w:fldChar w:fldCharType="separate"/>
      </w:r>
      <w:r w:rsidRPr="00326E6E">
        <w:rPr>
          <w:rStyle w:val="Hyperlink"/>
          <w:rFonts w:eastAsiaTheme="majorEastAsia"/>
          <w:color w:val="auto"/>
        </w:rPr>
        <w:t>1 in 5 children</w:t>
      </w:r>
      <w:r>
        <w:fldChar w:fldCharType="end"/>
      </w:r>
      <w:r w:rsidRPr="00326E6E">
        <w:t xml:space="preserve"> aged 8 to 25 had a probable mental health disorder. This has nearly doubled since 2017. </w:t>
      </w:r>
    </w:p>
    <w:p w:rsidR="005841CD" w:rsidRPr="00326E6E" w:rsidP="00D15E62">
      <w:pPr>
        <w:pStyle w:val="ListParagraph"/>
        <w:numPr>
          <w:ilvl w:val="0"/>
          <w:numId w:val="11"/>
        </w:numPr>
      </w:pPr>
      <w:r>
        <w:fldChar w:fldCharType="begin"/>
      </w:r>
      <w:r>
        <w:instrText xml:space="preserve"> HYPERLINK "https://assets.publishing.service.gov.uk/media/5a80b26bed915d74e33fbe3c/Childrens_Mental_Health.pdf" </w:instrText>
      </w:r>
      <w:r>
        <w:fldChar w:fldCharType="separate"/>
      </w:r>
      <w:r w:rsidRPr="00326E6E">
        <w:rPr>
          <w:rStyle w:val="Hyperlink"/>
          <w:rFonts w:eastAsiaTheme="majorEastAsia"/>
          <w:color w:val="auto"/>
        </w:rPr>
        <w:t>75 per cent of mental health problems</w:t>
      </w:r>
      <w:r>
        <w:fldChar w:fldCharType="end"/>
      </w:r>
      <w:r w:rsidRPr="00326E6E">
        <w:t xml:space="preserve"> in adult life (excluding dementia) start by the age of 18, highlighting the importance of preventing needs earlier on. </w:t>
      </w:r>
    </w:p>
    <w:p w:rsidR="005841CD" w:rsidRPr="00326E6E" w:rsidP="00D15E62">
      <w:pPr>
        <w:pStyle w:val="ListParagraph"/>
        <w:numPr>
          <w:ilvl w:val="0"/>
          <w:numId w:val="11"/>
        </w:numPr>
      </w:pPr>
      <w:r w:rsidRPr="00326E6E">
        <w:t xml:space="preserve">Young people with probably mental health disorders were </w:t>
      </w:r>
      <w:r>
        <w:fldChar w:fldCharType="begin"/>
      </w:r>
      <w:r>
        <w:instrText xml:space="preserve"> HYPERLINK "https://digital.nhs.uk/data-and-information/publications/statistical/mental-health-of-children-and-young-people-in-england/2023-wave-4-follow-up" </w:instrText>
      </w:r>
      <w:r>
        <w:fldChar w:fldCharType="separate"/>
      </w:r>
      <w:r w:rsidRPr="00326E6E">
        <w:rPr>
          <w:rStyle w:val="Hyperlink"/>
          <w:rFonts w:eastAsiaTheme="majorEastAsia"/>
          <w:color w:val="auto"/>
        </w:rPr>
        <w:t>more likely to have been bullied</w:t>
      </w:r>
      <w:r>
        <w:fldChar w:fldCharType="end"/>
      </w:r>
      <w:r w:rsidRPr="00326E6E">
        <w:t xml:space="preserve"> and were more likely to have a parent who could not afford for their child to take part in activities.</w:t>
      </w:r>
    </w:p>
    <w:p w:rsidR="005841CD" w:rsidRPr="00326E6E" w:rsidP="00D15E62">
      <w:pPr>
        <w:pStyle w:val="ListParagraph"/>
        <w:numPr>
          <w:ilvl w:val="0"/>
          <w:numId w:val="11"/>
        </w:numPr>
      </w:pPr>
      <w:r w:rsidRPr="00326E6E">
        <w:t xml:space="preserve">The impact of not supporting children and young people with their mental health is significant, not just for the child and for their family, but also for </w:t>
      </w:r>
      <w:r>
        <w:fldChar w:fldCharType="begin"/>
      </w:r>
      <w:r>
        <w:instrText xml:space="preserve"> HYPERLINK "https://cypmhc.org.uk/publications/future-minds-campaign/" </w:instrText>
      </w:r>
      <w:r>
        <w:fldChar w:fldCharType="separate"/>
      </w:r>
      <w:r w:rsidRPr="00326E6E">
        <w:rPr>
          <w:rStyle w:val="Hyperlink"/>
          <w:rFonts w:eastAsiaTheme="majorEastAsia"/>
          <w:color w:val="auto"/>
        </w:rPr>
        <w:t>wider society and the economy</w:t>
      </w:r>
      <w:r>
        <w:fldChar w:fldCharType="end"/>
      </w:r>
      <w:r w:rsidRPr="00326E6E">
        <w:t xml:space="preserve">. </w:t>
      </w:r>
    </w:p>
    <w:p w:rsidR="005841CD" w:rsidRPr="00326E6E" w:rsidP="00D15E62">
      <w:pPr>
        <w:pStyle w:val="ListParagraph"/>
        <w:numPr>
          <w:ilvl w:val="0"/>
          <w:numId w:val="11"/>
        </w:numPr>
      </w:pPr>
      <w:r w:rsidRPr="00326E6E">
        <w:t xml:space="preserve">For every £1 invested in child and adolescent mental health services, the return on investment is an estimated £2.85 in benefits to individuals and an additional £1.40 in savings to the Government. </w:t>
      </w:r>
    </w:p>
    <w:p w:rsidR="005841CD" w:rsidRPr="00326E6E" w:rsidP="00D15E62">
      <w:pPr>
        <w:pStyle w:val="ListParagraph"/>
        <w:numPr>
          <w:ilvl w:val="0"/>
          <w:numId w:val="11"/>
        </w:numPr>
      </w:pPr>
      <w:r w:rsidRPr="00326E6E">
        <w:t xml:space="preserve">Those who experienced childhood mental health problems earned 20 per cent less than their peers by age 23, 24 per cent less by age 33, and 30 per cent less by age 50. </w:t>
      </w:r>
    </w:p>
    <w:p w:rsidR="005841CD" w:rsidRPr="00326E6E" w:rsidP="00D15E62">
      <w:pPr>
        <w:pStyle w:val="ListParagraph"/>
        <w:numPr>
          <w:ilvl w:val="0"/>
          <w:numId w:val="11"/>
        </w:numPr>
      </w:pPr>
      <w:r w:rsidRPr="00326E6E">
        <w:t xml:space="preserve">Children with poor mental health are </w:t>
      </w:r>
      <w:r>
        <w:fldChar w:fldCharType="begin"/>
      </w:r>
      <w:r>
        <w:instrText xml:space="preserve"> HYPERLINK "https://www.lboro.ac.uk/news-events/news/2025/september/school-absence-linked-to-poor-mental-health/" </w:instrText>
      </w:r>
      <w:r>
        <w:fldChar w:fldCharType="separate"/>
      </w:r>
      <w:r w:rsidRPr="00326E6E">
        <w:rPr>
          <w:rStyle w:val="Hyperlink"/>
          <w:rFonts w:eastAsiaTheme="majorEastAsia"/>
          <w:color w:val="auto"/>
        </w:rPr>
        <w:t>more likely to miss education</w:t>
      </w:r>
      <w:r>
        <w:fldChar w:fldCharType="end"/>
      </w:r>
      <w:r w:rsidRPr="00326E6E">
        <w:t xml:space="preserve">, and for children who miss education, they are more likely to have poor mental health. </w:t>
      </w:r>
    </w:p>
    <w:p w:rsidR="005841CD" w:rsidRPr="00326E6E" w:rsidP="00D15E62">
      <w:pPr>
        <w:pStyle w:val="ListParagraph"/>
        <w:numPr>
          <w:ilvl w:val="0"/>
          <w:numId w:val="11"/>
        </w:numPr>
      </w:pPr>
      <w:r>
        <w:fldChar w:fldCharType="begin"/>
      </w:r>
      <w:r>
        <w:instrText xml:space="preserve"> HYPERLINK "https://www.morganstanley.com/articles/childrens-mental-health-effect-on-parents" </w:instrText>
      </w:r>
      <w:r>
        <w:fldChar w:fldCharType="separate"/>
      </w:r>
      <w:r w:rsidRPr="00326E6E">
        <w:rPr>
          <w:rStyle w:val="Hyperlink"/>
          <w:rFonts w:eastAsiaTheme="majorEastAsia"/>
          <w:color w:val="auto"/>
        </w:rPr>
        <w:t>Two thirds of parents are worried</w:t>
      </w:r>
      <w:r>
        <w:fldChar w:fldCharType="end"/>
      </w:r>
      <w:r w:rsidRPr="00326E6E">
        <w:t xml:space="preserve"> about their child’s mental health, and 48 per cent of parents have said that this has impacted their productivity at work. </w:t>
      </w:r>
    </w:p>
    <w:p w:rsidR="005841CD" w:rsidRPr="00326E6E" w:rsidP="00D15E62">
      <w:pPr>
        <w:pStyle w:val="ListParagraph"/>
        <w:numPr>
          <w:ilvl w:val="0"/>
          <w:numId w:val="11"/>
        </w:numPr>
      </w:pPr>
      <w:r w:rsidRPr="00326E6E">
        <w:t xml:space="preserve">Despite this, children’s mental health has been pushed to the side with piecemeal funding, pilots rather than long term-systemic change, and children falling between government departments. There is an opportunity with the transformation happening across local government, education and health to embed positive outcomes for children, their families and society. </w:t>
      </w:r>
    </w:p>
    <w:p w:rsidR="005841CD" w:rsidRPr="00326E6E" w:rsidP="00D15E62">
      <w:pPr>
        <w:rPr>
          <w:b/>
          <w:bCs/>
        </w:rPr>
      </w:pPr>
      <w:r w:rsidRPr="00326E6E">
        <w:rPr>
          <w:b/>
          <w:bCs/>
        </w:rPr>
        <w:t>The role of education and community settings in support and delivery</w:t>
      </w:r>
    </w:p>
    <w:p w:rsidR="005841CD" w:rsidRPr="00326E6E" w:rsidP="00D15E62">
      <w:pPr>
        <w:pStyle w:val="ListParagraph"/>
        <w:numPr>
          <w:ilvl w:val="0"/>
          <w:numId w:val="12"/>
        </w:numPr>
      </w:pPr>
      <w:r w:rsidRPr="00326E6E">
        <w:t xml:space="preserve">An inclusive education and care system is central to ensuring that babies, children and young people can thrive. Not only do education settings have a role in identifying and providing support, an enriching and safe environment for children and young people, can act as a protective factor to poor mental health. The ambition set out in the Schools White Paper </w:t>
      </w:r>
      <w:r w:rsidRPr="00326E6E">
        <w:rPr>
          <w:i/>
          <w:iCs/>
        </w:rPr>
        <w:t>Every Child Achieving and Thriving</w:t>
      </w:r>
      <w:r w:rsidRPr="00326E6E">
        <w:t xml:space="preserve"> for a major reform programme intended to ensure “every child can achieve and thrive,” with a shift toward a broader experience, stronger inclusion, and more engaging school environments is positive. The </w:t>
      </w:r>
      <w:r>
        <w:fldChar w:fldCharType="begin"/>
      </w:r>
      <w:r>
        <w:instrText xml:space="preserve"> HYPERLINK "https://www.local.gov.uk/parliament/briefings-and-responses/schools-white-paper-every-child-achieving-and-thriving-lga" </w:instrText>
      </w:r>
      <w:r>
        <w:fldChar w:fldCharType="separate"/>
      </w:r>
      <w:r w:rsidRPr="00326E6E">
        <w:rPr>
          <w:rStyle w:val="Hyperlink"/>
          <w:rFonts w:eastAsiaTheme="majorEastAsia"/>
          <w:color w:val="auto"/>
        </w:rPr>
        <w:t>LGA welcomes this</w:t>
      </w:r>
      <w:r>
        <w:fldChar w:fldCharType="end"/>
      </w:r>
      <w:r w:rsidRPr="00326E6E">
        <w:t xml:space="preserve"> but highlighted the significant shift that is required, supported by sufficient funding and cultural change. </w:t>
      </w:r>
      <w:r w:rsidRPr="00326E6E">
        <w:br/>
      </w:r>
    </w:p>
    <w:p w:rsidR="005841CD" w:rsidRPr="00326E6E" w:rsidP="00D15E62">
      <w:pPr>
        <w:pStyle w:val="ListParagraph"/>
        <w:numPr>
          <w:ilvl w:val="0"/>
          <w:numId w:val="12"/>
        </w:numPr>
      </w:pPr>
      <w:r w:rsidRPr="00326E6E">
        <w:t xml:space="preserve">When needs do start to emerge, education settings play a central role in identifying concerns early. A whole school approach can support this. In the LGA’s </w:t>
      </w:r>
      <w:r>
        <w:fldChar w:fldCharType="begin"/>
      </w:r>
      <w:r>
        <w:instrText xml:space="preserve"> HYPERLINK "https://www.local.gov.uk/publications/childrens-mental-health-task-and-finish-group-key-findings-and-recommendations" \l "recommendations" </w:instrText>
      </w:r>
      <w:r>
        <w:fldChar w:fldCharType="separate"/>
      </w:r>
      <w:r w:rsidRPr="00326E6E">
        <w:rPr>
          <w:rStyle w:val="Hyperlink"/>
          <w:rFonts w:eastAsiaTheme="majorEastAsia"/>
          <w:color w:val="auto"/>
        </w:rPr>
        <w:t>Children’s Mental Health Task and Finish Group final report</w:t>
      </w:r>
      <w:r>
        <w:fldChar w:fldCharType="end"/>
      </w:r>
      <w:r w:rsidRPr="00326E6E">
        <w:t xml:space="preserve"> we highlighted the importance of strengthened early intervention, improved understanding of local prevalence and causes, and sharing good practice across councils. We emphasised that local authorities should be enabled to coordinate system-wide responses, including closer working with education, health and the voluntary sector.</w:t>
      </w:r>
      <w:r w:rsidRPr="00326E6E">
        <w:br/>
      </w:r>
    </w:p>
    <w:p w:rsidR="005841CD" w:rsidRPr="00326E6E" w:rsidP="00D15E62">
      <w:pPr>
        <w:pStyle w:val="ListParagraph"/>
        <w:numPr>
          <w:ilvl w:val="0"/>
          <w:numId w:val="12"/>
        </w:numPr>
      </w:pPr>
      <w:r w:rsidRPr="00326E6E">
        <w:t xml:space="preserve">The ambition in the current Governments manifesto to improve mental health support in schools and colleges is welcome, and </w:t>
      </w:r>
      <w:r>
        <w:fldChar w:fldCharType="begin"/>
      </w:r>
      <w:r>
        <w:instrText xml:space="preserve"> HYPERLINK "https://www.england.nhs.uk/mental-health/cyp/trailblazers/" </w:instrText>
      </w:r>
      <w:r>
        <w:fldChar w:fldCharType="separate"/>
      </w:r>
      <w:r w:rsidRPr="00326E6E">
        <w:rPr>
          <w:rStyle w:val="Hyperlink"/>
          <w:rFonts w:eastAsiaTheme="majorEastAsia"/>
          <w:color w:val="auto"/>
        </w:rPr>
        <w:t>current rollout is progressing</w:t>
      </w:r>
      <w:r>
        <w:fldChar w:fldCharType="end"/>
      </w:r>
      <w:r w:rsidRPr="00326E6E">
        <w:t xml:space="preserve">. To date, the MHSTs have reduced pressures on school staff, and provided specialist support and direct interventions. The programme </w:t>
      </w:r>
      <w:r>
        <w:fldChar w:fldCharType="begin"/>
      </w:r>
      <w:r>
        <w:instrText xml:space="preserve"> HYPERLINK "https://evidence.nihr.ac.uk/alert/mental-health-support-in-schools-is-well-received-but-challenges-remain/" </w:instrText>
      </w:r>
      <w:r>
        <w:fldChar w:fldCharType="separate"/>
      </w:r>
      <w:r w:rsidRPr="00326E6E">
        <w:rPr>
          <w:rStyle w:val="Hyperlink"/>
          <w:rFonts w:eastAsiaTheme="majorEastAsia"/>
          <w:color w:val="auto"/>
        </w:rPr>
        <w:t>evaluations indicate improved understanding of processes</w:t>
      </w:r>
      <w:r>
        <w:fldChar w:fldCharType="end"/>
      </w:r>
      <w:r w:rsidRPr="00326E6E">
        <w:t xml:space="preserve"> and earlier interventions. However, there is inconsistency in how the programme is rolled out and how it is integrated into different school environments, as well as ongoing staff shortages. Furthermore, children with needs too acute for the MHSTs, also do not get support from CAMHs, an </w:t>
      </w:r>
      <w:r>
        <w:fldChar w:fldCharType="begin"/>
      </w:r>
      <w:r>
        <w:instrText xml:space="preserve"> HYPERLINK "https://www.bacp.co.uk/news/news-from-bacp/2025/16-may-mental-health-support-team-expansion/" </w:instrText>
      </w:r>
      <w:r>
        <w:fldChar w:fldCharType="separate"/>
      </w:r>
      <w:r w:rsidRPr="00326E6E">
        <w:rPr>
          <w:rStyle w:val="Hyperlink"/>
          <w:rFonts w:eastAsiaTheme="majorEastAsia"/>
          <w:color w:val="auto"/>
        </w:rPr>
        <w:t>estimated 730,000 annually</w:t>
      </w:r>
      <w:r>
        <w:fldChar w:fldCharType="end"/>
      </w:r>
      <w:r w:rsidRPr="00326E6E">
        <w:t xml:space="preserve">. How MHST workers are recruited, retained and kept in post is challenging with a high turnover. It is not just about these teams, but how they fit into the whole system of support. Additionally, the role of school nurses in supporting children and young people’s mental health has not been adequately recognised by Government. </w:t>
      </w:r>
      <w:r w:rsidRPr="00326E6E">
        <w:br/>
      </w:r>
    </w:p>
    <w:p w:rsidR="005841CD" w:rsidRPr="00326E6E" w:rsidP="00D15E62">
      <w:pPr>
        <w:pStyle w:val="ListParagraph"/>
        <w:numPr>
          <w:ilvl w:val="0"/>
          <w:numId w:val="12"/>
        </w:numPr>
      </w:pPr>
      <w:r w:rsidRPr="00326E6E">
        <w:t xml:space="preserve">It is not just education that is responsible for developing and embedding supportive and inclusive practices, it is the wider system. Children and young people spend 85 per cent of their time outside of the school environment so ensuring effective family and community interventions is important. Community settings including youth services, libraries, arts, culture, sport and leisure activities are crucial for enabling young people to have </w:t>
      </w:r>
      <w:r>
        <w:fldChar w:fldCharType="begin"/>
      </w:r>
      <w:r>
        <w:instrText xml:space="preserve"> HYPERLINK "https://www.sciencedirect.com/science/article/pii/S2211335521003788" </w:instrText>
      </w:r>
      <w:r>
        <w:fldChar w:fldCharType="separate"/>
      </w:r>
      <w:r w:rsidRPr="00326E6E">
        <w:rPr>
          <w:rStyle w:val="Hyperlink"/>
          <w:rFonts w:eastAsiaTheme="majorEastAsia"/>
          <w:color w:val="auto"/>
        </w:rPr>
        <w:t>enriching activities</w:t>
      </w:r>
      <w:r>
        <w:fldChar w:fldCharType="end"/>
      </w:r>
      <w:r w:rsidRPr="00326E6E">
        <w:t xml:space="preserve"> which are a protective factor from poor mental health. Access and support from </w:t>
      </w:r>
      <w:r>
        <w:fldChar w:fldCharType="begin"/>
      </w:r>
      <w:r>
        <w:instrText xml:space="preserve"> HYPERLINK "https://academic.oup.com/bjsw/article/53/6/3129/7091809" </w:instrText>
      </w:r>
      <w:r>
        <w:fldChar w:fldCharType="separate"/>
      </w:r>
      <w:r w:rsidRPr="00326E6E">
        <w:rPr>
          <w:rStyle w:val="Hyperlink"/>
          <w:rFonts w:eastAsiaTheme="majorEastAsia"/>
          <w:color w:val="auto"/>
        </w:rPr>
        <w:t xml:space="preserve">trusted adults </w:t>
      </w:r>
      <w:r w:rsidRPr="00326E6E">
        <w:rPr>
          <w:rStyle w:val="Hyperlink"/>
          <w:rFonts w:eastAsiaTheme="majorEastAsia"/>
          <w:color w:val="auto"/>
        </w:rPr>
        <w:t>is</w:t>
      </w:r>
      <w:r w:rsidRPr="00326E6E">
        <w:rPr>
          <w:rStyle w:val="Hyperlink"/>
          <w:rFonts w:eastAsiaTheme="majorEastAsia"/>
          <w:color w:val="auto"/>
        </w:rPr>
        <w:t xml:space="preserve"> also key</w:t>
      </w:r>
      <w:r>
        <w:fldChar w:fldCharType="end"/>
      </w:r>
      <w:r w:rsidRPr="00326E6E">
        <w:t xml:space="preserve">, particularly for children who have had adverse childhood experiences. Preventing poor mental health needs to happen </w:t>
      </w:r>
      <w:r>
        <w:fldChar w:fldCharType="begin"/>
      </w:r>
      <w:r>
        <w:instrText xml:space="preserve"> HYPERLINK "https://www.mentalhealth.org.uk/about-us/news/mental-health-foundation-comments-expansion-mental-health-support-teams-schools" </w:instrText>
      </w:r>
      <w:r>
        <w:fldChar w:fldCharType="separate"/>
      </w:r>
      <w:r w:rsidRPr="00326E6E">
        <w:rPr>
          <w:rStyle w:val="Hyperlink"/>
          <w:rFonts w:eastAsiaTheme="majorEastAsia"/>
          <w:color w:val="auto"/>
        </w:rPr>
        <w:t>outside of schools in communities</w:t>
      </w:r>
      <w:r>
        <w:fldChar w:fldCharType="end"/>
      </w:r>
      <w:r w:rsidRPr="00326E6E">
        <w:t xml:space="preserve">, including access to positive activities, antibullying, parenting support and wider social interventions. We have long called for government to sufficiently fund community support, whether provided by councils or VCSE partners or jointly with the NHS, and equally recognise it in value.  </w:t>
      </w:r>
      <w:r w:rsidRPr="00326E6E">
        <w:br/>
      </w:r>
    </w:p>
    <w:p w:rsidR="005841CD" w:rsidRPr="00326E6E" w:rsidP="00D15E62">
      <w:pPr>
        <w:pStyle w:val="ListParagraph"/>
        <w:numPr>
          <w:ilvl w:val="0"/>
          <w:numId w:val="12"/>
        </w:numPr>
      </w:pPr>
      <w:r w:rsidRPr="00326E6E">
        <w:t xml:space="preserve">The use of screens and social media is often posited as </w:t>
      </w:r>
      <w:r>
        <w:fldChar w:fldCharType="begin"/>
      </w:r>
      <w:r>
        <w:instrText xml:space="preserve"> HYPERLINK "https://www.local.gov.uk/publications/childrens-mental-health-task-and-finish-group-key-findings-and-recommendations" </w:instrText>
      </w:r>
      <w:r>
        <w:fldChar w:fldCharType="separate"/>
      </w:r>
      <w:r w:rsidRPr="00326E6E">
        <w:rPr>
          <w:rStyle w:val="Hyperlink"/>
          <w:rFonts w:eastAsiaTheme="majorEastAsia"/>
          <w:color w:val="auto"/>
        </w:rPr>
        <w:t xml:space="preserve">a reason for worsening </w:t>
      </w:r>
      <w:r w:rsidRPr="00326E6E">
        <w:rPr>
          <w:rStyle w:val="Hyperlink"/>
          <w:rFonts w:eastAsiaTheme="majorEastAsia"/>
          <w:color w:val="auto"/>
        </w:rPr>
        <w:t>mental health</w:t>
      </w:r>
      <w:r>
        <w:fldChar w:fldCharType="end"/>
      </w:r>
      <w:r w:rsidRPr="00326E6E">
        <w:t>. This is in part due to the physiological impact of sitting behind a screen, the impact of changing social interactions and the experience of young people feeling they are constantly having to compare themselves, as well as different ways to be bullied where young people feel they can’t get away (so bullying no longer ends at the school gates). </w:t>
      </w:r>
      <w:r w:rsidRPr="00326E6E">
        <w:br/>
      </w:r>
    </w:p>
    <w:p w:rsidR="005841CD" w:rsidRPr="00326E6E" w:rsidP="00D15E62">
      <w:pPr>
        <w:pStyle w:val="ListParagraph"/>
        <w:numPr>
          <w:ilvl w:val="0"/>
          <w:numId w:val="12"/>
        </w:numPr>
      </w:pPr>
      <w:r w:rsidRPr="00326E6E">
        <w:t xml:space="preserve">There are also multiple examples of young people highlighting the positive impact that social media and technology can have on them, including for some young people who are able to find new communities and a sense of belonging online. We would like to see Government learning from and building on the evidence base and making information clear for children, young people, families, and practitioners to be able to make informed decisions regarding social media and phone use. </w:t>
      </w:r>
      <w:r w:rsidRPr="00326E6E">
        <w:br/>
      </w:r>
    </w:p>
    <w:p w:rsidR="005841CD" w:rsidRPr="00326E6E" w:rsidP="00D15E62">
      <w:pPr>
        <w:pStyle w:val="ListParagraph"/>
        <w:numPr>
          <w:ilvl w:val="0"/>
          <w:numId w:val="12"/>
        </w:numPr>
      </w:pPr>
      <w:r w:rsidRPr="00326E6E">
        <w:t xml:space="preserve">The recent national youth strategy sets out the need for different government departments to come together to tackle young people’s mental health and embed a system that wraps around the child, as well as giving access to positive activities, particularly for disadvantaged children. We have welcomed the strategy and look forward to working with government to embed this. However, we remain concerned about inconsistent funding of services for young people which is targeted at some local areas. The announcement of young futures hubs is welcome, considering ways to bring together youth services, employment support, mental health and access to trusted professionals. However, only 50 hubs by 2028 is insufficient given the transformation needed across the country, and to compensate for the decline of youth centres over the past fifteen years. This is a particular concern for more rural areas. Early adopter young futures hub areas have outlined the challenge to set up hubs that do not have broader youth offers in place. </w:t>
      </w:r>
      <w:r w:rsidRPr="00326E6E">
        <w:br/>
      </w:r>
    </w:p>
    <w:p w:rsidR="005841CD" w:rsidRPr="00326E6E" w:rsidP="00D15E62">
      <w:pPr>
        <w:pStyle w:val="ListParagraph"/>
        <w:numPr>
          <w:ilvl w:val="0"/>
          <w:numId w:val="12"/>
        </w:numPr>
      </w:pPr>
      <w:r w:rsidRPr="00326E6E">
        <w:t xml:space="preserve">Best Start Family Hubs have potential to support early years mental health through integrated perinatal mental health, parent infant relationship support, parenting support and early identification pathways. The perinatal period brings significant change and can be a vulnerable time. There is increased risk of poorer perinatal mental health if parents have experienced difficulties in pregnancy, trauma in childbirth or an unexpected event in their baby’s development. The case for investment in the perinatal period is supported by strong evidence reviewed in national mental health analyses highlighting early prevention as critical for long-term wellbeing, as well as </w:t>
      </w:r>
      <w:r>
        <w:fldChar w:fldCharType="begin"/>
      </w:r>
      <w:r>
        <w:instrText xml:space="preserve"> HYPERLINK "https://pmc.ncbi.nlm.nih.gov/articles/PMC10900391/" </w:instrText>
      </w:r>
      <w:r>
        <w:fldChar w:fldCharType="separate"/>
      </w:r>
      <w:r w:rsidRPr="00326E6E">
        <w:rPr>
          <w:rStyle w:val="Hyperlink"/>
          <w:rFonts w:eastAsiaTheme="majorEastAsia"/>
          <w:color w:val="auto"/>
        </w:rPr>
        <w:t>being cost effective.</w:t>
      </w:r>
      <w:r>
        <w:fldChar w:fldCharType="end"/>
      </w:r>
      <w:r w:rsidRPr="00326E6E">
        <w:t xml:space="preserve"> </w:t>
      </w:r>
    </w:p>
    <w:p w:rsidR="005841CD" w:rsidRPr="00326E6E" w:rsidP="00D15E62">
      <w:pPr>
        <w:pStyle w:val="ListParagraph"/>
      </w:pPr>
    </w:p>
    <w:p w:rsidR="005841CD" w:rsidRPr="00326E6E" w:rsidP="00D15E62">
      <w:pPr>
        <w:pStyle w:val="ListParagraph"/>
        <w:numPr>
          <w:ilvl w:val="0"/>
          <w:numId w:val="12"/>
        </w:numPr>
      </w:pPr>
      <w:r w:rsidRPr="00326E6E">
        <w:t xml:space="preserve">We are particularly disappointed that Healthy Babies funding has only been provided to half of local authorities. This funding has been provided to 75 councils to support perinatal mental health, parent–infant relationships and infant feeding services. Without a national offer, half of parents, babies and children in the country will not have access to this crucial support, impacting their ability to achieve a Good Level of Development and </w:t>
      </w:r>
      <w:r>
        <w:fldChar w:fldCharType="begin"/>
      </w:r>
      <w:r>
        <w:instrText xml:space="preserve"> HYPERLINK "https://pmc.ncbi.nlm.nih.gov/articles/PMC12318414/" </w:instrText>
      </w:r>
      <w:r>
        <w:fldChar w:fldCharType="separate"/>
      </w:r>
      <w:r w:rsidRPr="00326E6E">
        <w:rPr>
          <w:rStyle w:val="Hyperlink"/>
          <w:rFonts w:eastAsiaTheme="majorEastAsia"/>
          <w:color w:val="auto"/>
        </w:rPr>
        <w:t>have protective factors that lay the foundations for good mental health</w:t>
      </w:r>
      <w:r>
        <w:fldChar w:fldCharType="end"/>
      </w:r>
      <w:r w:rsidRPr="00326E6E">
        <w:t>. The Government’s focus on the early years in the Best Start Family Hubs also limits local areas to be able to think creatively about the best use of physical assets in their communities.</w:t>
      </w:r>
    </w:p>
    <w:p w:rsidR="005841CD" w:rsidRPr="00326E6E" w:rsidP="00D15E62">
      <w:pPr>
        <w:pStyle w:val="ListParagraph"/>
      </w:pPr>
    </w:p>
    <w:p w:rsidR="005841CD" w:rsidRPr="00326E6E" w:rsidP="00D15E62">
      <w:pPr>
        <w:pStyle w:val="ListParagraph"/>
        <w:numPr>
          <w:ilvl w:val="0"/>
          <w:numId w:val="12"/>
        </w:numPr>
      </w:pPr>
      <w:r w:rsidRPr="00326E6E">
        <w:t xml:space="preserve">The investment being put into Early Support Hubs is also welcome, however questions remain about how integrated these are in the rest of the system, they </w:t>
      </w:r>
      <w:r w:rsidRPr="00326E6E">
        <w:t xml:space="preserve">remain a pilot with targeted funding that is not embedded into the broader system. These crucial pillars of support need to be fully embedded into the system, with multi-agency governance, clear communication with local communities and sustainable funding. </w:t>
      </w:r>
      <w:r w:rsidRPr="00326E6E">
        <w:br/>
      </w:r>
    </w:p>
    <w:p w:rsidR="005841CD" w:rsidRPr="00326E6E" w:rsidP="00D15E62">
      <w:pPr>
        <w:pStyle w:val="ListParagraph"/>
        <w:numPr>
          <w:ilvl w:val="0"/>
          <w:numId w:val="12"/>
        </w:numPr>
      </w:pPr>
      <w:r w:rsidRPr="00326E6E">
        <w:t xml:space="preserve">Record numbers of young people are out of work, often related to </w:t>
      </w:r>
      <w:r>
        <w:fldChar w:fldCharType="begin"/>
      </w:r>
      <w:r>
        <w:instrText xml:space="preserve"> HYPERLINK "https://www.health.org.uk/features-and-opinion/blogs/what-is-happening-to-young-people-s-mental-health" \l ":~:text=Today's%20young%20people%20have%20the,young%20people%20and%20their%20families." </w:instrText>
      </w:r>
      <w:r>
        <w:fldChar w:fldCharType="separate"/>
      </w:r>
      <w:r w:rsidRPr="00326E6E">
        <w:rPr>
          <w:rStyle w:val="Hyperlink"/>
          <w:rFonts w:eastAsiaTheme="majorEastAsia"/>
          <w:color w:val="auto"/>
        </w:rPr>
        <w:t>poor mental health</w:t>
      </w:r>
      <w:r>
        <w:fldChar w:fldCharType="end"/>
      </w:r>
      <w:r w:rsidRPr="00326E6E">
        <w:t xml:space="preserve">. Therefore, the establishment of youth employment hubs is welcome. DWP recognised a jobcentre setting was not working for young jobseekers on Universal Credit. It relied on councils (and others – colleges, charities) to find suitable spaces and co-fund the offer. DWP has committed to roll these out across the country within three years. Councils tell us they work well for the client group, but if they were more flexible and better connected into the local landscape there could be a more significant impact, as we set out in our response to the Milburn youth and work </w:t>
      </w:r>
      <w:r>
        <w:fldChar w:fldCharType="begin"/>
      </w:r>
      <w:r>
        <w:instrText xml:space="preserve"> HYPERLINK "https://www.local.gov.uk/parliament/briefings-and-responses/lga-response-milburn-youth-and-work-call-evidence-30-january" </w:instrText>
      </w:r>
      <w:r>
        <w:fldChar w:fldCharType="separate"/>
      </w:r>
      <w:r w:rsidRPr="00326E6E">
        <w:rPr>
          <w:rStyle w:val="Hyperlink"/>
          <w:rFonts w:eastAsiaTheme="majorEastAsia"/>
          <w:color w:val="auto"/>
        </w:rPr>
        <w:t>call for evidence</w:t>
      </w:r>
      <w:r>
        <w:fldChar w:fldCharType="end"/>
      </w:r>
      <w:r w:rsidRPr="00326E6E">
        <w:t xml:space="preserve">. The UK Shared Prosperity Fund has been used in many areas to support post 16 and 18 short courses and as this funding comes to an end, we are concerned about the future of these offers.  </w:t>
      </w:r>
      <w:r w:rsidRPr="00326E6E">
        <w:br/>
      </w:r>
    </w:p>
    <w:p w:rsidR="005841CD" w:rsidRPr="00326E6E" w:rsidP="00D15E62">
      <w:pPr>
        <w:pStyle w:val="ListParagraph"/>
        <w:numPr>
          <w:ilvl w:val="0"/>
          <w:numId w:val="12"/>
        </w:numPr>
      </w:pPr>
      <w:r w:rsidRPr="00326E6E">
        <w:t xml:space="preserve">While all these hubs are designed for specific needs, coordination is key across Whitehall. </w:t>
      </w:r>
      <w:r>
        <w:fldChar w:fldCharType="begin"/>
      </w:r>
      <w:r>
        <w:instrText xml:space="preserve"> HYPERLINK "https://www.local.gov.uk/case-studies/hillingdon-council-transforming-local-services-through-family-hubs-hillingdon" </w:instrText>
      </w:r>
      <w:r>
        <w:fldChar w:fldCharType="separate"/>
      </w:r>
      <w:r w:rsidRPr="00326E6E">
        <w:rPr>
          <w:rStyle w:val="Hyperlink"/>
          <w:rFonts w:eastAsiaTheme="majorEastAsia"/>
          <w:color w:val="auto"/>
        </w:rPr>
        <w:t>Councils like Hillingdon</w:t>
      </w:r>
      <w:r>
        <w:fldChar w:fldCharType="end"/>
      </w:r>
      <w:r w:rsidRPr="00326E6E">
        <w:t xml:space="preserve"> are joining up the dots so residents get joined up services – a ‘no wrong door approach’. In addition, the current focus on “hubs” in communities is challenging for many local areas, particularly those that are more rural or who lack the estate to establish these. </w:t>
      </w:r>
    </w:p>
    <w:p w:rsidR="005841CD" w:rsidRPr="00326E6E" w:rsidP="00D15E62">
      <w:pPr>
        <w:pStyle w:val="ListParagraph"/>
      </w:pPr>
    </w:p>
    <w:p w:rsidR="005841CD" w:rsidRPr="00326E6E" w:rsidP="00D15E62">
      <w:pPr>
        <w:pStyle w:val="ListParagraph"/>
        <w:numPr>
          <w:ilvl w:val="0"/>
          <w:numId w:val="12"/>
        </w:numPr>
      </w:pPr>
      <w:r w:rsidRPr="00326E6E">
        <w:t xml:space="preserve">The government has placed a ‘neighbourhood health service’ at the centre of its </w:t>
      </w:r>
      <w:r>
        <w:fldChar w:fldCharType="begin"/>
      </w:r>
      <w:r>
        <w:instrText xml:space="preserve"> HYPERLINK "https://www.gov.uk/government/publications/10-year-health-plan-for-england-fit-for-the-future" </w:instrText>
      </w:r>
      <w:r>
        <w:fldChar w:fldCharType="separate"/>
      </w:r>
      <w:r w:rsidRPr="00326E6E">
        <w:rPr>
          <w:rStyle w:val="Hyperlink"/>
          <w:rFonts w:eastAsiaTheme="majorEastAsia"/>
          <w:color w:val="auto"/>
        </w:rPr>
        <w:t>’10 Year Health Plan,’</w:t>
      </w:r>
      <w:r>
        <w:fldChar w:fldCharType="end"/>
      </w:r>
      <w:r w:rsidRPr="00326E6E">
        <w:t xml:space="preserve"> aiming to help people live well in their communities and reduce reliance on hospital</w:t>
      </w:r>
      <w:r w:rsidRPr="00326E6E">
        <w:rPr>
          <w:rFonts w:ascii="Cambria Math" w:hAnsi="Cambria Math" w:cs="Cambria Math"/>
        </w:rPr>
        <w:t>‑</w:t>
      </w:r>
      <w:r w:rsidRPr="00326E6E">
        <w:t>based care. Delivering this ambition depends not only on shifting resources into community settings but also on recognising local government and the voluntary and community sector as critical partners. Councils hold key levers over the wider determinants of health, and neighbourhood health cannot succeed without their leadership in shaping prevention, wellbeing and place</w:t>
      </w:r>
      <w:r w:rsidRPr="00326E6E">
        <w:rPr>
          <w:rFonts w:ascii="Cambria Math" w:hAnsi="Cambria Math" w:cs="Cambria Math"/>
        </w:rPr>
        <w:t>‑</w:t>
      </w:r>
      <w:r w:rsidRPr="00326E6E">
        <w:t>based services.</w:t>
      </w:r>
    </w:p>
    <w:p w:rsidR="005841CD" w:rsidRPr="00326E6E" w:rsidP="00D15E62">
      <w:pPr>
        <w:pStyle w:val="ListParagraph"/>
      </w:pPr>
    </w:p>
    <w:p w:rsidR="005841CD" w:rsidRPr="00326E6E" w:rsidP="00D15E62">
      <w:pPr>
        <w:pStyle w:val="ListParagraph"/>
        <w:numPr>
          <w:ilvl w:val="0"/>
          <w:numId w:val="12"/>
        </w:numPr>
      </w:pPr>
      <w:r w:rsidRPr="00326E6E">
        <w:t>Health and Wellbeing Boards (HWBs) have continued developing local plans, updating JSNAs and clarifying priorities. However, in some areas, the children’s agenda has slipped, partly due to NHS partners’ focus on acute or adult priorities. As neighbourhood models develop, it is essential that children and young people’s needs are fully embedded. Neighbourhood planning often defaults to adult services, and recent changes removing local government representation from Integrated Care Boards further emphasise councils’ critical role. HWBs are now the only statutory forum able to convene system partners around cradle</w:t>
      </w:r>
      <w:r w:rsidRPr="00326E6E">
        <w:rPr>
          <w:rFonts w:ascii="Cambria Math" w:hAnsi="Cambria Math" w:cs="Cambria Math"/>
        </w:rPr>
        <w:t>‑</w:t>
      </w:r>
      <w:r w:rsidRPr="00326E6E">
        <w:t>to</w:t>
      </w:r>
      <w:r w:rsidRPr="00326E6E">
        <w:rPr>
          <w:rFonts w:ascii="Cambria Math" w:hAnsi="Cambria Math" w:cs="Cambria Math"/>
        </w:rPr>
        <w:t>‑</w:t>
      </w:r>
      <w:r w:rsidRPr="00326E6E">
        <w:t>grave health and wellbeing, including children</w:t>
      </w:r>
      <w:r w:rsidRPr="00326E6E">
        <w:rPr>
          <w:rFonts w:cs="Arial"/>
        </w:rPr>
        <w:t>’</w:t>
      </w:r>
      <w:r w:rsidRPr="00326E6E">
        <w:t>s physical and mental health. Their leadership will be vital to ensuring CYP are at the heart of neighbourhood health plans.</w:t>
      </w:r>
    </w:p>
    <w:p w:rsidR="005841CD" w:rsidRPr="00326E6E" w:rsidP="00D15E62">
      <w:pPr>
        <w:pStyle w:val="ListParagraph"/>
        <w:widowControl/>
        <w:spacing w:before="100" w:beforeAutospacing="1" w:after="100" w:afterAutospacing="1" w:line="300" w:lineRule="atLeast"/>
      </w:pPr>
    </w:p>
    <w:p w:rsidR="005841CD" w:rsidRPr="00326E6E" w:rsidP="00D15E62">
      <w:pPr>
        <w:pStyle w:val="ListParagraph"/>
        <w:numPr>
          <w:ilvl w:val="0"/>
          <w:numId w:val="12"/>
        </w:numPr>
      </w:pPr>
      <w:r w:rsidRPr="00326E6E">
        <w:t xml:space="preserve">Patchy implementation of policies has also fuelled a postcode lottery in provision meaning that children and young people do not get a consistent offer of support and this has continued with these more recent announcements. Reducing these inequalities requires long-term funding, national minimum standards, outcomes-based accountability as well as a clear vision shared across Whitehall that can be </w:t>
      </w:r>
      <w:r w:rsidRPr="00326E6E">
        <w:t xml:space="preserve">translated into local need. </w:t>
      </w:r>
    </w:p>
    <w:p w:rsidR="005841CD" w:rsidRPr="00326E6E" w:rsidP="00D15E62">
      <w:pPr>
        <w:pStyle w:val="ListParagraph"/>
      </w:pPr>
    </w:p>
    <w:p w:rsidR="005841CD" w:rsidRPr="00326E6E" w:rsidP="00D15E62">
      <w:pPr>
        <w:pStyle w:val="ListParagraph"/>
        <w:numPr>
          <w:ilvl w:val="0"/>
          <w:numId w:val="12"/>
        </w:numPr>
        <w:rPr>
          <w:b/>
          <w:bCs/>
        </w:rPr>
      </w:pPr>
      <w:r w:rsidRPr="00326E6E">
        <w:t xml:space="preserve">Support for the parents, carers and families of young people with emotional health needs also to be considered.  People waiting for mental health support do not do so in a vacuum. They wait whilst supported by family carers, by schools, by community services. In essence by the services and networks supported by local authorities' day in, day out. It is also important to recognise that looking after a family member with a mental health problem can significantly affect carers' own mental health. </w:t>
      </w:r>
    </w:p>
    <w:p w:rsidR="005841CD" w:rsidRPr="00326E6E" w:rsidP="00D15E62">
      <w:pPr>
        <w:pStyle w:val="ListParagraph"/>
        <w:rPr>
          <w:b/>
          <w:bCs/>
        </w:rPr>
      </w:pPr>
    </w:p>
    <w:p w:rsidR="005841CD" w:rsidRPr="00326E6E" w:rsidP="00D15E62">
      <w:pPr>
        <w:rPr>
          <w:b/>
          <w:bCs/>
        </w:rPr>
      </w:pPr>
      <w:r w:rsidRPr="00326E6E">
        <w:rPr>
          <w:b/>
          <w:bCs/>
        </w:rPr>
        <w:t>The role of NHS and specialist mental health services</w:t>
      </w:r>
    </w:p>
    <w:p w:rsidR="005841CD" w:rsidRPr="00326E6E" w:rsidP="00D15E62">
      <w:pPr>
        <w:pStyle w:val="ListParagraph"/>
        <w:numPr>
          <w:ilvl w:val="0"/>
          <w:numId w:val="13"/>
        </w:numPr>
      </w:pPr>
      <w:r w:rsidRPr="00326E6E">
        <w:t xml:space="preserve">There will always be a need for specialist mental health support for some children and young people, however, if we are able to re-balance the system so that it supports and invests into early intervention and preventative forms of support, this will reduce pressure on specialist services and ensure that the children that most need this support are no longer faced with long waiting times, and inflexible support. The LGA has </w:t>
      </w:r>
      <w:r>
        <w:fldChar w:fldCharType="begin"/>
      </w:r>
      <w:r>
        <w:instrText xml:space="preserve"> HYPERLINK "https://www.local.gov.uk/publications/childrens-mental-health-task-and-finish-group-key-findings-and-recommendations" \l "case-studies-" </w:instrText>
      </w:r>
      <w:r>
        <w:fldChar w:fldCharType="separate"/>
      </w:r>
      <w:r w:rsidRPr="00326E6E">
        <w:rPr>
          <w:rStyle w:val="Hyperlink"/>
          <w:rFonts w:eastAsiaTheme="majorEastAsia"/>
          <w:color w:val="auto"/>
        </w:rPr>
        <w:t>numerous case studies</w:t>
      </w:r>
      <w:r>
        <w:fldChar w:fldCharType="end"/>
      </w:r>
      <w:r w:rsidRPr="00326E6E">
        <w:t xml:space="preserve">, highlighting the role of councils in this preventative space. Currently, the NHS is only able to </w:t>
      </w:r>
      <w:r>
        <w:fldChar w:fldCharType="begin"/>
      </w:r>
      <w:r>
        <w:instrText xml:space="preserve"> HYPERLINK "https://cypmhc.org.uk/publications/future-minds-campaign/" </w:instrText>
      </w:r>
      <w:r>
        <w:fldChar w:fldCharType="separate"/>
      </w:r>
      <w:r w:rsidRPr="00326E6E">
        <w:rPr>
          <w:rStyle w:val="Hyperlink"/>
          <w:rFonts w:eastAsiaTheme="majorEastAsia"/>
          <w:color w:val="auto"/>
        </w:rPr>
        <w:t>support 40 per cent of children</w:t>
      </w:r>
      <w:r>
        <w:fldChar w:fldCharType="end"/>
      </w:r>
      <w:r w:rsidRPr="00326E6E">
        <w:t xml:space="preserve">, showing the pressures on the system and the large numbers of young people who will go without support impacting on their future. </w:t>
      </w:r>
      <w:r w:rsidRPr="00326E6E">
        <w:br/>
      </w:r>
    </w:p>
    <w:p w:rsidR="005841CD" w:rsidRPr="00326E6E" w:rsidP="00D15E62">
      <w:pPr>
        <w:pStyle w:val="ListParagraph"/>
        <w:numPr>
          <w:ilvl w:val="0"/>
          <w:numId w:val="13"/>
        </w:numPr>
      </w:pPr>
      <w:r w:rsidRPr="00326E6E">
        <w:t xml:space="preserve">It is </w:t>
      </w:r>
      <w:r>
        <w:fldChar w:fldCharType="begin"/>
      </w:r>
      <w:r>
        <w:instrText xml:space="preserve"> HYPERLINK "https://corambaaf.org.uk/updates/making-case-better-mental-health-support-children-care" </w:instrText>
      </w:r>
      <w:r>
        <w:fldChar w:fldCharType="separate"/>
      </w:r>
      <w:r w:rsidRPr="00326E6E">
        <w:rPr>
          <w:rStyle w:val="Hyperlink"/>
          <w:rFonts w:eastAsiaTheme="majorEastAsia"/>
          <w:color w:val="auto"/>
        </w:rPr>
        <w:t>particularly important that children who have experience</w:t>
      </w:r>
      <w:r>
        <w:fldChar w:fldCharType="end"/>
      </w:r>
      <w:r w:rsidRPr="00326E6E">
        <w:t xml:space="preserve"> of, or who are in care, are properly supported with their mental health needs. These children are particularly vulnerable and are more likely to face mental health needs, so it is particularly important that they get support and prompt treatment. Care leavers are identified to be at a higher risk of experiencing mental health issues and report lower wellbeing compared to their non-care-experienced peers. </w:t>
      </w:r>
      <w:r>
        <w:fldChar w:fldCharType="begin"/>
      </w:r>
      <w:r>
        <w:instrText xml:space="preserve"> HYPERLINK "https://www.researchinpractice.org.uk/children/news-views/2024/october/meeting-the-mental-health-and-wellbeing-needs-of-care-leavers/" </w:instrText>
      </w:r>
      <w:r>
        <w:fldChar w:fldCharType="separate"/>
      </w:r>
      <w:r w:rsidRPr="00326E6E">
        <w:rPr>
          <w:rStyle w:val="Hyperlink"/>
          <w:rFonts w:eastAsiaTheme="majorEastAsia"/>
          <w:color w:val="auto"/>
        </w:rPr>
        <w:t>One third of care leavers report not knowing how to access mental health support</w:t>
      </w:r>
      <w:r>
        <w:fldChar w:fldCharType="end"/>
      </w:r>
      <w:r w:rsidRPr="00326E6E">
        <w:t xml:space="preserve">. We have welcomed </w:t>
      </w:r>
      <w:r>
        <w:fldChar w:fldCharType="begin"/>
      </w:r>
      <w:r>
        <w:instrText xml:space="preserve"> HYPERLINK "https://www.gov.uk/government/news/government-extends-free-nhs-services-for-care-leavers" </w:instrText>
      </w:r>
      <w:r>
        <w:fldChar w:fldCharType="separate"/>
      </w:r>
      <w:r w:rsidRPr="00326E6E">
        <w:rPr>
          <w:rStyle w:val="Hyperlink"/>
          <w:rFonts w:eastAsiaTheme="majorEastAsia"/>
          <w:color w:val="auto"/>
        </w:rPr>
        <w:t>proposals made recently</w:t>
      </w:r>
      <w:r>
        <w:fldChar w:fldCharType="end"/>
      </w:r>
      <w:r w:rsidRPr="00326E6E">
        <w:t xml:space="preserve"> in improving support, however further steps are needed to ensure that change is rapid and equal across the country. </w:t>
      </w:r>
      <w:r w:rsidRPr="00326E6E">
        <w:br/>
      </w:r>
    </w:p>
    <w:p w:rsidR="005841CD" w:rsidRPr="00326E6E" w:rsidP="00D15E62">
      <w:pPr>
        <w:pStyle w:val="ListParagraph"/>
        <w:numPr>
          <w:ilvl w:val="0"/>
          <w:numId w:val="13"/>
        </w:numPr>
      </w:pPr>
      <w:r w:rsidRPr="00326E6E">
        <w:t xml:space="preserve">There needs to be particular care taken for young people approaching age 18, despite the steps set out in the NHS 10-year plan regarding transition, we know that too many young people </w:t>
      </w:r>
      <w:r>
        <w:fldChar w:fldCharType="begin"/>
      </w:r>
      <w:r>
        <w:instrText xml:space="preserve"> HYPERLINK "https://www.arc-wm.nihr.ac.uk/research-shines-a-light-on-challenges-of-mental-health-care-for-under-18s/" </w:instrText>
      </w:r>
      <w:r>
        <w:fldChar w:fldCharType="separate"/>
      </w:r>
      <w:r w:rsidRPr="00326E6E">
        <w:rPr>
          <w:rStyle w:val="Hyperlink"/>
          <w:rFonts w:eastAsiaTheme="majorEastAsia"/>
          <w:color w:val="auto"/>
        </w:rPr>
        <w:t>still struggle to access the support that they need</w:t>
      </w:r>
      <w:r>
        <w:fldChar w:fldCharType="end"/>
      </w:r>
      <w:r w:rsidRPr="00326E6E">
        <w:t xml:space="preserve"> in the run up to their 18</w:t>
      </w:r>
      <w:r w:rsidRPr="00326E6E">
        <w:rPr>
          <w:vertAlign w:val="superscript"/>
        </w:rPr>
        <w:t>th</w:t>
      </w:r>
      <w:r w:rsidRPr="00326E6E">
        <w:t xml:space="preserve"> </w:t>
      </w:r>
      <w:r w:rsidRPr="00326E6E">
        <w:t>birthday, or</w:t>
      </w:r>
      <w:r w:rsidRPr="00326E6E">
        <w:t xml:space="preserve"> following this. Furthermore, currently all the hubs noted above have varying transition points and age cut offs, increasing the complexity and reducing the seamless offer of support for young people and their families. </w:t>
      </w:r>
      <w:r w:rsidRPr="00326E6E">
        <w:br/>
      </w:r>
    </w:p>
    <w:p w:rsidR="005841CD" w:rsidRPr="00326E6E" w:rsidP="00D15E62">
      <w:pPr>
        <w:pStyle w:val="ListParagraph"/>
        <w:numPr>
          <w:ilvl w:val="0"/>
          <w:numId w:val="13"/>
        </w:numPr>
      </w:pPr>
      <w:r w:rsidRPr="00326E6E">
        <w:t xml:space="preserve">The expansion of MHSTs and hub-based models recognises that support must be delivered in settings where children naturally are. As highlighted above, we need to continue to embed support for young people in their communities as well as get upstream from growing mental health needs. This requires all parts of the system working together to embed changes outlined above in a way that makes sense for young people and their families. </w:t>
      </w:r>
    </w:p>
    <w:p w:rsidR="005841CD" w:rsidRPr="00326E6E" w:rsidP="00D15E62"/>
    <w:p w:rsidR="005841CD" w:rsidRPr="00326E6E" w:rsidP="00D15E62">
      <w:pPr>
        <w:rPr>
          <w:b/>
          <w:bCs/>
        </w:rPr>
      </w:pPr>
      <w:r w:rsidRPr="00326E6E">
        <w:rPr>
          <w:b/>
          <w:bCs/>
        </w:rPr>
        <w:t>Integration between education, NHS and community provision</w:t>
      </w:r>
    </w:p>
    <w:p w:rsidR="005841CD" w:rsidRPr="00326E6E" w:rsidP="00D15E62">
      <w:pPr>
        <w:pStyle w:val="ListParagraph"/>
        <w:numPr>
          <w:ilvl w:val="0"/>
          <w:numId w:val="14"/>
        </w:numPr>
        <w:rPr>
          <w:b/>
          <w:bCs/>
        </w:rPr>
      </w:pPr>
      <w:r w:rsidRPr="00326E6E">
        <w:t xml:space="preserve">The NHS’s primary focus should be on the children with the most acute needs, who </w:t>
      </w:r>
      <w:r w:rsidRPr="00326E6E">
        <w:t xml:space="preserve">require specialist support. However, this does not mean that the NHS should step away from early intervention and prevention, the whole system needs to work together and share their expertise to support children and young people. If we </w:t>
      </w:r>
      <w:r w:rsidRPr="00326E6E">
        <w:t>are able to</w:t>
      </w:r>
      <w:r w:rsidRPr="00326E6E">
        <w:t xml:space="preserve"> get tackle the causes of poor mental health, such as </w:t>
      </w:r>
      <w:r>
        <w:fldChar w:fldCharType="begin"/>
      </w:r>
      <w:r>
        <w:instrText xml:space="preserve"> HYPERLINK "https://pmc.ncbi.nlm.nih.gov/articles/PMC10786006/" </w:instrText>
      </w:r>
      <w:r>
        <w:fldChar w:fldCharType="separate"/>
      </w:r>
      <w:r w:rsidRPr="00326E6E">
        <w:rPr>
          <w:rStyle w:val="Hyperlink"/>
          <w:rFonts w:eastAsiaTheme="majorEastAsia"/>
          <w:color w:val="auto"/>
        </w:rPr>
        <w:t>social determinants</w:t>
      </w:r>
      <w:r>
        <w:fldChar w:fldCharType="end"/>
      </w:r>
      <w:r w:rsidRPr="00326E6E">
        <w:t xml:space="preserve"> such as housing, poverty, discrimination are all drivers of poor mental health. There is a clear link between unaddressed mental health needs and </w:t>
      </w:r>
      <w:r>
        <w:fldChar w:fldCharType="begin"/>
      </w:r>
      <w:r>
        <w:instrText xml:space="preserve"> HYPERLINK "https://www.lboro.ac.uk/news-events/news/2025/september/school-absence-linked-to-poor-mental-health/" </w:instrText>
      </w:r>
      <w:r>
        <w:fldChar w:fldCharType="separate"/>
      </w:r>
      <w:r w:rsidRPr="00326E6E">
        <w:rPr>
          <w:rStyle w:val="Hyperlink"/>
          <w:rFonts w:eastAsiaTheme="majorEastAsia"/>
          <w:color w:val="auto"/>
        </w:rPr>
        <w:t>poor school attendance</w:t>
      </w:r>
      <w:r>
        <w:fldChar w:fldCharType="end"/>
      </w:r>
      <w:r w:rsidRPr="00326E6E">
        <w:t xml:space="preserve"> and </w:t>
      </w:r>
      <w:r>
        <w:fldChar w:fldCharType="begin"/>
      </w:r>
      <w:r>
        <w:instrText xml:space="preserve"> HYPERLINK "https://www.jrf.org.uk/work/unlocking-the-potential-of-young-people-furthest-from-thttps:/www.jrf.org.uk/work/unlocking-the-potential-of-young-people-furthest-from-the-labour-markethe-labour-market" </w:instrText>
      </w:r>
      <w:r>
        <w:fldChar w:fldCharType="separate"/>
      </w:r>
      <w:r w:rsidRPr="00326E6E">
        <w:rPr>
          <w:rStyle w:val="Hyperlink"/>
          <w:rFonts w:eastAsiaTheme="majorEastAsia"/>
          <w:color w:val="auto"/>
        </w:rPr>
        <w:t>limited engagement with the employment market</w:t>
      </w:r>
      <w:r>
        <w:fldChar w:fldCharType="end"/>
      </w:r>
      <w:r w:rsidRPr="00326E6E">
        <w:t>, reinforcing the need for early help in schools and community hubs to prevent crisis escalation.</w:t>
      </w:r>
      <w:r w:rsidRPr="00326E6E">
        <w:br/>
      </w:r>
    </w:p>
    <w:p w:rsidR="005841CD" w:rsidRPr="00326E6E" w:rsidP="00D15E62">
      <w:pPr>
        <w:pStyle w:val="ListParagraph"/>
        <w:numPr>
          <w:ilvl w:val="0"/>
          <w:numId w:val="14"/>
        </w:numPr>
      </w:pPr>
      <w:r w:rsidRPr="00326E6E">
        <w:t xml:space="preserve">It is over a decade since Government developed guidance for whole school approaches to mental health and wellbeing. </w:t>
      </w:r>
      <w:r>
        <w:fldChar w:fldCharType="begin"/>
      </w:r>
      <w:r>
        <w:instrText xml:space="preserve"> HYPERLINK "https://cypmhc.org.uk/wp-content/uploads/2025/07/From-policy-to-practice-a-review-of-whole-school-approaches-to-mental-health-and-wellbeing-guidance.pdf" </w:instrText>
      </w:r>
      <w:r>
        <w:fldChar w:fldCharType="separate"/>
      </w:r>
      <w:r w:rsidRPr="00326E6E">
        <w:rPr>
          <w:rStyle w:val="Hyperlink"/>
          <w:rFonts w:eastAsiaTheme="majorEastAsia"/>
          <w:color w:val="auto"/>
        </w:rPr>
        <w:t>Most schools report successfully implementing whole</w:t>
      </w:r>
      <w:r w:rsidRPr="00326E6E">
        <w:rPr>
          <w:rStyle w:val="Hyperlink"/>
          <w:rFonts w:eastAsiaTheme="majorEastAsia"/>
          <w:color w:val="auto"/>
        </w:rPr>
        <w:noBreakHyphen/>
        <w:t>school approaches</w:t>
      </w:r>
      <w:r>
        <w:fldChar w:fldCharType="end"/>
      </w:r>
      <w:r w:rsidRPr="00326E6E">
        <w:t xml:space="preserve"> to mental health, though barriers include variable training and capacity, as well as broader challenges within the mental health system highlighting that schools alone cannot make the difference required. </w:t>
      </w:r>
      <w:r w:rsidRPr="00326E6E">
        <w:br/>
      </w:r>
    </w:p>
    <w:p w:rsidR="005841CD" w:rsidRPr="00326E6E" w:rsidP="00D15E62">
      <w:pPr>
        <w:pStyle w:val="ListParagraph"/>
        <w:numPr>
          <w:ilvl w:val="0"/>
          <w:numId w:val="14"/>
        </w:numPr>
      </w:pPr>
      <w:r w:rsidRPr="00326E6E">
        <w:t xml:space="preserve">We welcome the steps being made through the school’s white paper and the SEND consultation to ensure children and young people have access to inclusive education and support. This is particularly important given that children with SEND are </w:t>
      </w:r>
      <w:r>
        <w:fldChar w:fldCharType="begin"/>
      </w:r>
      <w:r>
        <w:instrText xml:space="preserve"> HYPERLINK "https://www.kcl.ac.uk/research/mental-health-problems-in-neurodevelopmental-disorders" </w:instrText>
      </w:r>
      <w:r>
        <w:fldChar w:fldCharType="separate"/>
      </w:r>
      <w:r w:rsidRPr="00326E6E">
        <w:rPr>
          <w:rStyle w:val="Hyperlink"/>
          <w:rFonts w:eastAsiaTheme="majorEastAsia"/>
          <w:color w:val="auto"/>
        </w:rPr>
        <w:t>more likely to have poor mental health</w:t>
      </w:r>
      <w:r>
        <w:fldChar w:fldCharType="end"/>
      </w:r>
      <w:r w:rsidRPr="00326E6E">
        <w:t xml:space="preserve">. Earlier intervention, community support and access to specialists will all help improve outcomes for children and young people with SEND and poor mental health. </w:t>
      </w:r>
      <w:r w:rsidRPr="00326E6E">
        <w:br/>
      </w:r>
    </w:p>
    <w:p w:rsidR="005841CD" w:rsidRPr="00326E6E" w:rsidP="00D15E62">
      <w:pPr>
        <w:pStyle w:val="ListParagraph"/>
        <w:numPr>
          <w:ilvl w:val="0"/>
          <w:numId w:val="14"/>
        </w:numPr>
      </w:pPr>
      <w:r w:rsidRPr="00326E6E">
        <w:t>While the health system faces significant pressure, local authorities report that CYP often receive less focus within local health systems, with attention instead concentrated on adult and acute services. This can result in ‘cost shunting’, where unmet or delayed health support shifts responsibility - and cost - onto already</w:t>
      </w:r>
      <w:r w:rsidRPr="00326E6E">
        <w:rPr>
          <w:rFonts w:ascii="Cambria Math" w:hAnsi="Cambria Math" w:cs="Cambria Math"/>
        </w:rPr>
        <w:t>‑</w:t>
      </w:r>
      <w:r w:rsidRPr="00326E6E">
        <w:t xml:space="preserve">pressurised social care. The </w:t>
      </w:r>
      <w:r>
        <w:fldChar w:fldCharType="begin"/>
      </w:r>
      <w:r>
        <w:instrText xml:space="preserve"> HYPERLINK "https://www.local.gov.uk/about/news/lga-responds-government-announcement-nhs-england-reintegration-and-restructure-icbs" \l ":~:text=News-,LGA%20responds%20to%20government%20announcement%20on%20NHS%20England%20reintegration%20and,grow%20live,%20work%20and%20age." </w:instrText>
      </w:r>
      <w:r>
        <w:fldChar w:fldCharType="separate"/>
      </w:r>
      <w:r w:rsidRPr="00326E6E">
        <w:rPr>
          <w:rStyle w:val="Hyperlink"/>
          <w:rFonts w:eastAsiaTheme="majorEastAsia"/>
          <w:color w:val="auto"/>
        </w:rPr>
        <w:t>LGA has warned about</w:t>
      </w:r>
      <w:r>
        <w:fldChar w:fldCharType="end"/>
      </w:r>
      <w:r w:rsidRPr="00326E6E">
        <w:t xml:space="preserve"> the adverse impact on council budgets, the essential services they provide, and their residents due to the difficult decisions being made by NHS partners. Cost-shunting undermines integrated working, places already</w:t>
      </w:r>
      <w:r w:rsidRPr="00326E6E">
        <w:noBreakHyphen/>
        <w:t xml:space="preserve">pressurised services at greater risk, and has no net benefit to the public purse. </w:t>
      </w:r>
    </w:p>
    <w:p w:rsidR="005841CD" w:rsidRPr="00326E6E" w:rsidP="00D15E62">
      <w:pPr>
        <w:pStyle w:val="ListParagraph"/>
        <w:spacing w:after="0"/>
        <w:rPr>
          <w:rFonts w:eastAsia="DM Sans" w:cs="Arial"/>
        </w:rPr>
      </w:pPr>
    </w:p>
    <w:p w:rsidR="005841CD" w:rsidRPr="00326E6E" w:rsidP="00D15E62">
      <w:pPr>
        <w:pStyle w:val="ListParagraph"/>
        <w:numPr>
          <w:ilvl w:val="0"/>
          <w:numId w:val="14"/>
        </w:numPr>
        <w:spacing w:after="0"/>
        <w:rPr>
          <w:rFonts w:eastAsia="DM Sans" w:cs="Arial"/>
        </w:rPr>
      </w:pPr>
      <w:r w:rsidRPr="00326E6E">
        <w:t xml:space="preserve">We are particularly concerned about children and young people with the most complex needs, where poor mental health, neurodevelopmental conditions and wider social and emotional needs are key drivers of demand. </w:t>
      </w:r>
      <w:r w:rsidRPr="00326E6E">
        <w:rPr>
          <w:rFonts w:cs="Arial"/>
        </w:rPr>
        <w:t xml:space="preserve">The needs of complex children are reflected in the number of Deprivation of Liberty Orders. </w:t>
      </w:r>
      <w:r w:rsidRPr="00326E6E">
        <w:rPr>
          <w:rFonts w:eastAsia="DM Sans" w:cs="Arial"/>
        </w:rPr>
        <w:t xml:space="preserve">We also know that the rising numbers of such orders are thought to be related to a </w:t>
      </w:r>
      <w:r>
        <w:fldChar w:fldCharType="begin"/>
      </w:r>
      <w:r>
        <w:instrText xml:space="preserve"> HYPERLINK "https://www.nuffieldfjo.org.uk/resource/children-subject-to-deprivation-of-liberty-orders" </w:instrText>
      </w:r>
      <w:r>
        <w:fldChar w:fldCharType="separate"/>
      </w:r>
      <w:r w:rsidRPr="00326E6E">
        <w:rPr>
          <w:rStyle w:val="Hyperlink"/>
          <w:rFonts w:eastAsia="DM Sans" w:cs="Arial"/>
          <w:color w:val="auto"/>
        </w:rPr>
        <w:t>decrease in the numbers of inpatient</w:t>
      </w:r>
      <w:r>
        <w:fldChar w:fldCharType="end"/>
      </w:r>
      <w:r w:rsidRPr="00326E6E">
        <w:rPr>
          <w:rFonts w:eastAsia="DM Sans" w:cs="Arial"/>
        </w:rPr>
        <w:t xml:space="preserve"> tier 4 CAMHs beds (down 20% since 2017). </w:t>
      </w:r>
      <w:r w:rsidRPr="00326E6E">
        <w:rPr>
          <w:rFonts w:eastAsia="DM Sans" w:cs="Arial"/>
        </w:rPr>
        <w:br/>
      </w:r>
    </w:p>
    <w:p w:rsidR="005841CD" w:rsidRPr="00326E6E" w:rsidP="00D15E62">
      <w:pPr>
        <w:pStyle w:val="ListParagraph"/>
        <w:numPr>
          <w:ilvl w:val="0"/>
          <w:numId w:val="14"/>
        </w:numPr>
      </w:pPr>
      <w:r w:rsidRPr="00326E6E">
        <w:t xml:space="preserve">Following concerted work by the LGA and partners, we were pleased to see the development of the </w:t>
      </w:r>
      <w:r>
        <w:fldChar w:fldCharType="begin"/>
      </w:r>
      <w:r>
        <w:instrText xml:space="preserve"> HYPERLINK "https://www.gov.uk/government/groups/improving-cross-sector-support-for-children-in-complex-situations-with-multiple-needs-task-and-finish-group?cgfc" \l "membership" </w:instrText>
      </w:r>
      <w:r>
        <w:fldChar w:fldCharType="separate"/>
      </w:r>
      <w:r w:rsidRPr="00326E6E">
        <w:rPr>
          <w:rStyle w:val="Hyperlink"/>
          <w:rFonts w:eastAsiaTheme="majorEastAsia"/>
          <w:color w:val="auto"/>
        </w:rPr>
        <w:t>task and finish group</w:t>
      </w:r>
      <w:r>
        <w:fldChar w:fldCharType="end"/>
      </w:r>
      <w:r w:rsidRPr="00326E6E">
        <w:t xml:space="preserve"> to improve support for children with the most complex needs, bringing together key leaders in health, government and local government. However, change on the ground still feels some distance away. </w:t>
      </w:r>
      <w:r>
        <w:fldChar w:fldCharType="begin"/>
      </w:r>
      <w:r>
        <w:instrText xml:space="preserve"> HYPERLINK "https://www.gov.uk/government/publications/improving-outcomes-for-looked-after-children-in-complex-situations" </w:instrText>
      </w:r>
      <w:r>
        <w:fldChar w:fldCharType="separate"/>
      </w:r>
      <w:r w:rsidRPr="00326E6E">
        <w:rPr>
          <w:rStyle w:val="Hyperlink"/>
          <w:rFonts w:eastAsiaTheme="majorEastAsia"/>
          <w:color w:val="auto"/>
        </w:rPr>
        <w:t>Broader system changes are required</w:t>
      </w:r>
      <w:r>
        <w:fldChar w:fldCharType="end"/>
      </w:r>
      <w:r w:rsidRPr="00326E6E">
        <w:t xml:space="preserve"> such as greater investment to ensure adequate supply and appropriate placements with the right support, shared accountability, joined up funding, workforce investment and shared data systems. </w:t>
      </w:r>
    </w:p>
    <w:p w:rsidR="005841CD" w:rsidRPr="00326E6E" w:rsidP="00D15E62">
      <w:pPr>
        <w:rPr>
          <w:b/>
          <w:bCs/>
        </w:rPr>
      </w:pPr>
      <w:r w:rsidRPr="00326E6E">
        <w:rPr>
          <w:b/>
          <w:bCs/>
        </w:rPr>
        <w:t>Recommendations:</w:t>
      </w:r>
    </w:p>
    <w:p w:rsidR="005841CD" w:rsidRPr="00326E6E" w:rsidP="00D15E62">
      <w:pPr>
        <w:pStyle w:val="ListParagraph"/>
        <w:numPr>
          <w:ilvl w:val="0"/>
          <w:numId w:val="10"/>
        </w:numPr>
      </w:pPr>
      <w:r w:rsidRPr="00326E6E">
        <w:t xml:space="preserve">Continued investment and focus via the schools white paper for an inclusive and </w:t>
      </w:r>
      <w:r w:rsidRPr="00326E6E">
        <w:t xml:space="preserve">supportive education system </w:t>
      </w:r>
    </w:p>
    <w:p w:rsidR="005841CD" w:rsidRPr="00326E6E" w:rsidP="00D15E62">
      <w:pPr>
        <w:pStyle w:val="ListParagraph"/>
        <w:numPr>
          <w:ilvl w:val="0"/>
          <w:numId w:val="10"/>
        </w:numPr>
      </w:pPr>
      <w:r w:rsidRPr="00326E6E">
        <w:t xml:space="preserve">Whole system reform of children’s mental health and emotional wellbeing, rather than focus on aspects of the system such as Mental Health Support Teams in schools </w:t>
      </w:r>
    </w:p>
    <w:p w:rsidR="005841CD" w:rsidRPr="00326E6E" w:rsidP="00D15E62">
      <w:pPr>
        <w:pStyle w:val="ListParagraph"/>
        <w:numPr>
          <w:ilvl w:val="0"/>
          <w:numId w:val="10"/>
        </w:numPr>
      </w:pPr>
      <w:r w:rsidRPr="00326E6E">
        <w:t xml:space="preserve">Invest in the early intervention and prevention, including youth services and access to positive, enriching activities, recognising the contribution to improved emotional wellbeing </w:t>
      </w:r>
    </w:p>
    <w:p w:rsidR="005841CD" w:rsidRPr="00326E6E" w:rsidP="00D15E62">
      <w:pPr>
        <w:pStyle w:val="ListParagraph"/>
        <w:numPr>
          <w:ilvl w:val="0"/>
          <w:numId w:val="10"/>
        </w:numPr>
      </w:pPr>
      <w:r w:rsidRPr="00326E6E">
        <w:t xml:space="preserve">Build on the progress made through the national youth strategy, child poverty strategy, NHS long term plan to tackle the drivers of poor mental health such as poverty, family breakdown, poor physical health. </w:t>
      </w:r>
    </w:p>
    <w:p w:rsidR="005841CD" w:rsidRPr="00326E6E" w:rsidP="00D15E62">
      <w:pPr>
        <w:pStyle w:val="ListParagraph"/>
        <w:numPr>
          <w:ilvl w:val="0"/>
          <w:numId w:val="10"/>
        </w:numPr>
      </w:pPr>
      <w:r w:rsidRPr="00326E6E">
        <w:t xml:space="preserve">Ensure responses to preventing and treating poor mental health take into account the broader local context, such as rurality and distance to services. </w:t>
      </w:r>
    </w:p>
    <w:p w:rsidR="005841CD" w:rsidRPr="00326E6E" w:rsidP="00D15E62">
      <w:pPr>
        <w:pStyle w:val="ListParagraph"/>
        <w:numPr>
          <w:ilvl w:val="0"/>
          <w:numId w:val="10"/>
        </w:numPr>
      </w:pPr>
      <w:r w:rsidRPr="00326E6E">
        <w:t xml:space="preserve">Stop the postcode lottery of mental health support with long term, sustainable funding, shared learning from pilots, and consistent policy implementation. </w:t>
      </w:r>
    </w:p>
    <w:p w:rsidR="005841CD" w:rsidRPr="00326E6E" w:rsidP="00D15E62">
      <w:pPr>
        <w:pStyle w:val="ListParagraph"/>
        <w:numPr>
          <w:ilvl w:val="0"/>
          <w:numId w:val="10"/>
        </w:numPr>
      </w:pPr>
      <w:r w:rsidRPr="00326E6E">
        <w:t>Government should learn from and build on the evidence base to make information clear for children, young people, families, and practitioners to be able to make informed decisions regarding social media and phone use.</w:t>
      </w:r>
    </w:p>
    <w:p w:rsidR="005841CD" w:rsidRPr="00326E6E" w:rsidP="00D15E62">
      <w:pPr>
        <w:pStyle w:val="ListParagraph"/>
        <w:numPr>
          <w:ilvl w:val="0"/>
          <w:numId w:val="10"/>
        </w:numPr>
      </w:pPr>
      <w:r w:rsidRPr="00326E6E">
        <w:t xml:space="preserve">National roll out of Healthy Babies funding to all local authorities. </w:t>
      </w:r>
    </w:p>
    <w:p w:rsidR="005841CD" w:rsidRPr="00326E6E" w:rsidP="00D15E62">
      <w:pPr>
        <w:pStyle w:val="ListParagraph"/>
        <w:numPr>
          <w:ilvl w:val="0"/>
          <w:numId w:val="10"/>
        </w:numPr>
      </w:pPr>
      <w:r w:rsidRPr="00326E6E">
        <w:t xml:space="preserve">Development of a cross government taskforce, similar to that of the child poverty, to urgently tackle the mental health pressures on young people. </w:t>
      </w:r>
    </w:p>
    <w:p w:rsidR="005841CD" w:rsidRPr="00326E6E" w:rsidP="00D15E62">
      <w:pPr>
        <w:pStyle w:val="ListParagraph"/>
        <w:numPr>
          <w:ilvl w:val="0"/>
          <w:numId w:val="10"/>
        </w:numPr>
      </w:pPr>
      <w:r w:rsidRPr="00326E6E">
        <w:t xml:space="preserve">Better national government join up to align programme intentions, reduce complexity at a local level, and to tackle the drivers of poor mental health which spans across government departments. </w:t>
      </w:r>
    </w:p>
    <w:p w:rsidR="005841CD" w:rsidRPr="00326E6E" w:rsidP="00D15E62">
      <w:pPr>
        <w:pStyle w:val="ListParagraph"/>
        <w:numPr>
          <w:ilvl w:val="0"/>
          <w:numId w:val="10"/>
        </w:numPr>
      </w:pPr>
      <w:r w:rsidRPr="00326E6E">
        <w:t xml:space="preserve">Support for children with the most complex needs should be accelerated, as per the activities to date by the DfE and DHSC with particular attention paid to children and young people at transition point. </w:t>
      </w:r>
    </w:p>
    <w:p w:rsidR="005841CD" w:rsidRPr="00326E6E" w:rsidP="00D15E62">
      <w:pPr>
        <w:pStyle w:val="ListParagraph"/>
        <w:numPr>
          <w:ilvl w:val="0"/>
          <w:numId w:val="10"/>
        </w:numPr>
      </w:pPr>
      <w:r w:rsidRPr="00326E6E">
        <w:t xml:space="preserve">Further recommendations can be found in the </w:t>
      </w:r>
      <w:r>
        <w:fldChar w:fldCharType="begin"/>
      </w:r>
      <w:r>
        <w:instrText xml:space="preserve"> HYPERLINK "https://www.local.gov.uk/publications/childrens-mental-health-task-and-finish-group-key-findings-and-recommendations" \l "recommendations" </w:instrText>
      </w:r>
      <w:r>
        <w:fldChar w:fldCharType="separate"/>
      </w:r>
      <w:r w:rsidRPr="00326E6E">
        <w:rPr>
          <w:rStyle w:val="Hyperlink"/>
          <w:rFonts w:eastAsiaTheme="majorEastAsia"/>
          <w:color w:val="auto"/>
        </w:rPr>
        <w:t>LGA’s report on child mental health</w:t>
      </w:r>
      <w:r>
        <w:fldChar w:fldCharType="end"/>
      </w:r>
      <w:r w:rsidRPr="00326E6E">
        <w:t xml:space="preserve">. </w:t>
      </w:r>
    </w:p>
    <w:p w:rsidR="005841CD" w:rsidP="001A34DA">
      <w:pPr>
        <w:pStyle w:val="Bodycopy"/>
      </w:pPr>
    </w:p>
    <w:p w:rsidR="00326E6E" w:rsidP="001A34DA">
      <w:pPr>
        <w:pStyle w:val="Bodycopy"/>
      </w:pPr>
    </w:p>
    <w:p w:rsidR="00326E6E" w:rsidRPr="00326E6E" w:rsidP="001A34DA">
      <w:pPr>
        <w:pStyle w:val="Bodycopy"/>
        <w:rPr>
          <w:b/>
          <w:bCs/>
          <w:i/>
          <w:iCs/>
        </w:rPr>
      </w:pPr>
      <w:r w:rsidRPr="00326E6E">
        <w:rPr>
          <w:b/>
          <w:bCs/>
          <w:i/>
          <w:iCs/>
        </w:rPr>
        <w:t>March 202</w:t>
      </w:r>
      <w:r w:rsidR="00E7219A">
        <w:rPr>
          <w:b/>
          <w:bCs/>
          <w:i/>
          <w:iCs/>
        </w:rPr>
        <w:t>6</w:t>
      </w:r>
    </w:p>
    <w:p w:rsidR="005841CD" w:rsidRPr="00326E6E" w:rsidP="001A34DA">
      <w:pPr>
        <w:pStyle w:val="Bodycopy"/>
      </w:pPr>
    </w:p>
    <w:p w:rsidR="005841CD" w:rsidRPr="00326E6E" w:rsidP="001A34DA">
      <w:pPr>
        <w:pStyle w:val="Bodycopy"/>
      </w:pPr>
    </w:p>
    <w:sectPr w:rsidSect="007E4ABA">
      <w:headerReference w:type="default" r:id="rId4"/>
      <w:footerReference w:type="default" r:id="rId5"/>
      <w:pgSz w:w="11900" w:h="16840"/>
      <w:pgMar w:top="2098" w:right="1134" w:bottom="1134" w:left="1134" w:header="0" w:footer="284"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 w:name="DM Sans">
    <w:charset w:val="00"/>
    <w:family w:val="auto"/>
    <w:pitch w:val="variable"/>
    <w:sig w:usb0="8000002F" w:usb1="5000205B" w:usb2="00000000" w:usb3="00000000" w:csb0="000000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41CD" w:rsidRPr="00326E6E" w:rsidP="00326E6E">
    <w:pPr>
      <w:pStyle w:val="Footer"/>
    </w:pPr>
    <w:r w:rsidRPr="00326E6E">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41CD" w:rsidRPr="00326E6E" w:rsidP="00326E6E">
    <w:pPr>
      <w:pStyle w:val="Header"/>
    </w:pPr>
    <w:r w:rsidRPr="00326E6E">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80162D0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D4E15FF"/>
    <w:multiLevelType w:val="multilevel"/>
    <w:tmpl w:val="EE42DC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Arial" w:eastAsia="Times New Roman" w:hAnsi="Arial"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46342F"/>
    <w:multiLevelType w:val="hybridMultilevel"/>
    <w:tmpl w:val="BF9425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3BE3735"/>
    <w:multiLevelType w:val="multilevel"/>
    <w:tmpl w:val="558A16DE"/>
    <w:styleLink w:val="bulle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34FB524D"/>
    <w:multiLevelType w:val="multilevel"/>
    <w:tmpl w:val="F8906D98"/>
    <w:styleLink w:val="bull1"/>
    <w:lvl w:ilvl="0">
      <w:start w:val="1"/>
      <w:numFmt w:val="bullet"/>
      <w:lvlText w:val=""/>
      <w:lvlJc w:val="left"/>
      <w:pPr>
        <w:tabs>
          <w:tab w:val="num" w:pos="926"/>
        </w:tabs>
        <w:ind w:left="926"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3BF13CCB"/>
    <w:multiLevelType w:val="hybridMultilevel"/>
    <w:tmpl w:val="CE2881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D731BB0"/>
    <w:multiLevelType w:val="multilevel"/>
    <w:tmpl w:val="0409001D"/>
    <w:styleLink w:val="Styl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4D657362"/>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15D2DB9"/>
    <w:multiLevelType w:val="hybridMultilevel"/>
    <w:tmpl w:val="A6CA2C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20C39B3"/>
    <w:multiLevelType w:val="multilevel"/>
    <w:tmpl w:val="C76AB91C"/>
    <w:styleLink w:val="LGA2"/>
    <w:lvl w:ilvl="0">
      <w:start w:val="1"/>
      <w:numFmt w:val="bullet"/>
      <w:lvlText w:val=""/>
      <w:lvlJc w:val="left"/>
      <w:pPr>
        <w:tabs>
          <w:tab w:val="num" w:pos="1209"/>
        </w:tabs>
        <w:ind w:left="1209" w:hanging="360"/>
      </w:pPr>
      <w:rPr>
        <w:rFonts w:ascii="Symbol" w:hAnsi="Symbol" w:hint="default"/>
      </w:rPr>
    </w:lvl>
    <w:lvl w:ilvl="1">
      <w:start w:val="1"/>
      <w:numFmt w:val="bullet"/>
      <w:lvlText w:val="o"/>
      <w:lvlJc w:val="left"/>
      <w:pPr>
        <w:ind w:left="1440" w:hanging="360"/>
      </w:pPr>
      <w:rPr>
        <w:rFonts w:ascii="Arial" w:hAnsi="Arial" w:hint="default"/>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6431037A"/>
    <w:multiLevelType w:val="hybridMultilevel"/>
    <w:tmpl w:val="942E1260"/>
    <w:lvl w:ilvl="0">
      <w:start w:val="1"/>
      <w:numFmt w:val="bullet"/>
      <w:pStyle w:val="LGAbullets"/>
      <w:lvlText w:val="•"/>
      <w:lvlJc w:val="left"/>
      <w:pPr>
        <w:ind w:left="510" w:hanging="226"/>
      </w:pPr>
      <w:rPr>
        <w:rFonts w:ascii="Arial" w:hAnsi="Aria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71761DD8"/>
    <w:multiLevelType w:val="multilevel"/>
    <w:tmpl w:val="0409001D"/>
    <w:styleLink w:val="LGABulletslevel1"/>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74A64779"/>
    <w:multiLevelType w:val="multilevel"/>
    <w:tmpl w:val="381E382E"/>
    <w:styleLink w:val="CurrentList1"/>
    <w:lvl w:ilvl="0">
      <w:start w:val="1"/>
      <w:numFmt w:val="bullet"/>
      <w:lvlText w:val="•"/>
      <w:lvlJc w:val="left"/>
      <w:pPr>
        <w:ind w:left="1080" w:hanging="360"/>
      </w:pPr>
      <w:rPr>
        <w:rFonts w:ascii="Arial" w:hAnsi="Aria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77942CB8"/>
    <w:multiLevelType w:val="hybridMultilevel"/>
    <w:tmpl w:val="723E39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9"/>
  </w:num>
  <w:num w:numId="4">
    <w:abstractNumId w:val="7"/>
  </w:num>
  <w:num w:numId="5">
    <w:abstractNumId w:val="4"/>
  </w:num>
  <w:num w:numId="6">
    <w:abstractNumId w:val="3"/>
  </w:num>
  <w:num w:numId="7">
    <w:abstractNumId w:val="6"/>
  </w:num>
  <w:num w:numId="8">
    <w:abstractNumId w:val="12"/>
  </w:num>
  <w:num w:numId="9">
    <w:abstractNumId w:val="10"/>
  </w:num>
  <w:num w:numId="10">
    <w:abstractNumId w:val="1"/>
  </w:num>
  <w:num w:numId="11">
    <w:abstractNumId w:val="13"/>
  </w:num>
  <w:num w:numId="12">
    <w:abstractNumId w:val="8"/>
  </w:num>
  <w:num w:numId="13">
    <w:abstractNumId w:val="5"/>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1"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aliases w:val="Body,arial,normal"/>
    <w:uiPriority w:val="1"/>
    <w:qFormat/>
    <w:rsid w:val="00D15E62"/>
    <w:pPr>
      <w:widowControl w:val="0"/>
      <w:spacing w:after="120" w:line="240" w:lineRule="atLeast"/>
    </w:pPr>
    <w:rPr>
      <w:rFonts w:ascii="Arial" w:eastAsia="Times New Roman" w:hAnsi="Arial" w:cs="Times New Roman"/>
      <w:kern w:val="2"/>
    </w:rPr>
  </w:style>
  <w:style w:type="paragraph" w:styleId="Heading1">
    <w:name w:val="heading 1"/>
    <w:basedOn w:val="Normal"/>
    <w:next w:val="Normal"/>
    <w:link w:val="Heading1Char"/>
    <w:uiPriority w:val="9"/>
    <w:rsid w:val="009F1F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8520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8520D"/>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LGA TITLE"/>
    <w:basedOn w:val="Normal"/>
    <w:next w:val="Normal"/>
    <w:link w:val="Heading4Char"/>
    <w:uiPriority w:val="9"/>
    <w:rsid w:val="007D6682"/>
    <w:pPr>
      <w:spacing w:line="400" w:lineRule="exact"/>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2A7"/>
    <w:pPr>
      <w:tabs>
        <w:tab w:val="center" w:pos="4513"/>
        <w:tab w:val="right" w:pos="9026"/>
      </w:tabs>
    </w:pPr>
  </w:style>
  <w:style w:type="paragraph" w:customStyle="1" w:styleId="H1LGA">
    <w:name w:val="H1 LGA"/>
    <w:basedOn w:val="Heading1"/>
    <w:next w:val="Bodycopy"/>
    <w:qFormat/>
    <w:rsid w:val="009D6442"/>
    <w:pPr>
      <w:spacing w:before="120"/>
    </w:pPr>
    <w:rPr>
      <w:rFonts w:ascii="Arial" w:eastAsia="Times New Roman" w:hAnsi="Arial" w:cs="Arial"/>
      <w:b/>
      <w:color w:val="000000" w:themeColor="text1"/>
      <w:sz w:val="52"/>
      <w:szCs w:val="52"/>
      <w:lang w:val="en-US"/>
    </w:rPr>
  </w:style>
  <w:style w:type="paragraph" w:customStyle="1" w:styleId="LGAintrotext">
    <w:name w:val="LGA intro text"/>
    <w:basedOn w:val="Normal"/>
    <w:next w:val="Normal"/>
    <w:qFormat/>
    <w:rsid w:val="00C77025"/>
    <w:pPr>
      <w:adjustRightInd w:val="0"/>
      <w:snapToGrid w:val="0"/>
      <w:spacing w:after="360" w:line="360" w:lineRule="exact"/>
    </w:pPr>
    <w:rPr>
      <w:color w:val="9B2C98"/>
      <w:sz w:val="28"/>
    </w:rPr>
  </w:style>
  <w:style w:type="character" w:customStyle="1" w:styleId="HeaderChar">
    <w:name w:val="Header Char"/>
    <w:basedOn w:val="DefaultParagraphFont"/>
    <w:link w:val="Header"/>
    <w:uiPriority w:val="99"/>
    <w:rsid w:val="005372A7"/>
    <w:rPr>
      <w:sz w:val="22"/>
    </w:rPr>
  </w:style>
  <w:style w:type="paragraph" w:styleId="Footer">
    <w:name w:val="footer"/>
    <w:basedOn w:val="Normal"/>
    <w:link w:val="FooterChar"/>
    <w:uiPriority w:val="99"/>
    <w:unhideWhenUsed/>
    <w:rsid w:val="005372A7"/>
    <w:pPr>
      <w:tabs>
        <w:tab w:val="center" w:pos="4513"/>
        <w:tab w:val="right" w:pos="9026"/>
      </w:tabs>
    </w:pPr>
  </w:style>
  <w:style w:type="character" w:customStyle="1" w:styleId="FooterChar">
    <w:name w:val="Footer Char"/>
    <w:basedOn w:val="DefaultParagraphFont"/>
    <w:link w:val="Footer"/>
    <w:uiPriority w:val="99"/>
    <w:rsid w:val="005372A7"/>
    <w:rPr>
      <w:sz w:val="22"/>
    </w:rPr>
  </w:style>
  <w:style w:type="numbering" w:customStyle="1" w:styleId="LGABulletslevel1">
    <w:name w:val="LGA Bullets level 1"/>
    <w:basedOn w:val="NoList"/>
    <w:uiPriority w:val="99"/>
    <w:rsid w:val="00400A51"/>
    <w:pPr>
      <w:numPr>
        <w:numId w:val="2"/>
      </w:numPr>
    </w:pPr>
  </w:style>
  <w:style w:type="paragraph" w:customStyle="1" w:styleId="LGApagenumber">
    <w:name w:val="LGA page number"/>
    <w:basedOn w:val="Normal"/>
    <w:qFormat/>
    <w:rsid w:val="00CA6CB6"/>
    <w:pPr>
      <w:ind w:left="1560"/>
    </w:pPr>
    <w:rPr>
      <w:b/>
      <w:szCs w:val="22"/>
      <w:lang w:val="en-US"/>
    </w:rPr>
  </w:style>
  <w:style w:type="numbering" w:customStyle="1" w:styleId="LGA2">
    <w:name w:val="LGA  2"/>
    <w:basedOn w:val="NoList"/>
    <w:uiPriority w:val="99"/>
    <w:rsid w:val="00400A51"/>
    <w:pPr>
      <w:numPr>
        <w:numId w:val="3"/>
      </w:numPr>
    </w:pPr>
  </w:style>
  <w:style w:type="numbering" w:customStyle="1" w:styleId="Style2">
    <w:name w:val="Style2"/>
    <w:basedOn w:val="NoList"/>
    <w:uiPriority w:val="99"/>
    <w:rsid w:val="00B223D9"/>
    <w:pPr>
      <w:numPr>
        <w:numId w:val="4"/>
      </w:numPr>
    </w:pPr>
  </w:style>
  <w:style w:type="numbering" w:customStyle="1" w:styleId="bull1">
    <w:name w:val="bull 1"/>
    <w:basedOn w:val="NoList"/>
    <w:uiPriority w:val="99"/>
    <w:rsid w:val="00B223D9"/>
    <w:pPr>
      <w:numPr>
        <w:numId w:val="5"/>
      </w:numPr>
    </w:pPr>
  </w:style>
  <w:style w:type="numbering" w:customStyle="1" w:styleId="bullet1">
    <w:name w:val="bullet 1"/>
    <w:basedOn w:val="NoList"/>
    <w:uiPriority w:val="99"/>
    <w:rsid w:val="00FB2952"/>
    <w:pPr>
      <w:numPr>
        <w:numId w:val="6"/>
      </w:numPr>
    </w:pPr>
  </w:style>
  <w:style w:type="numbering" w:customStyle="1" w:styleId="Style3">
    <w:name w:val="Style3"/>
    <w:basedOn w:val="NoList"/>
    <w:uiPriority w:val="99"/>
    <w:rsid w:val="00FB2952"/>
    <w:pPr>
      <w:numPr>
        <w:numId w:val="7"/>
      </w:numPr>
    </w:pPr>
  </w:style>
  <w:style w:type="paragraph" w:styleId="BalloonText">
    <w:name w:val="Balloon Text"/>
    <w:basedOn w:val="Normal"/>
    <w:link w:val="BalloonTextChar"/>
    <w:uiPriority w:val="99"/>
    <w:semiHidden/>
    <w:unhideWhenUsed/>
    <w:rsid w:val="007A315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3157"/>
    <w:rPr>
      <w:rFonts w:ascii="Lucida Grande" w:hAnsi="Lucida Grande" w:cs="Lucida Grande"/>
      <w:sz w:val="18"/>
      <w:szCs w:val="18"/>
    </w:rPr>
  </w:style>
  <w:style w:type="character" w:styleId="PageNumber">
    <w:name w:val="page number"/>
    <w:basedOn w:val="DefaultParagraphFont"/>
    <w:uiPriority w:val="99"/>
    <w:semiHidden/>
    <w:unhideWhenUsed/>
    <w:rsid w:val="007A3157"/>
  </w:style>
  <w:style w:type="paragraph" w:styleId="NormalWeb">
    <w:name w:val="Normal (Web)"/>
    <w:basedOn w:val="Normal"/>
    <w:uiPriority w:val="99"/>
    <w:unhideWhenUsed/>
    <w:rsid w:val="00F54F92"/>
    <w:pPr>
      <w:spacing w:before="100" w:beforeAutospacing="1" w:after="100" w:afterAutospacing="1"/>
    </w:pPr>
    <w:rPr>
      <w:rFonts w:ascii="Times New Roman" w:hAnsi="Times New Roman"/>
      <w:sz w:val="20"/>
      <w:szCs w:val="20"/>
    </w:rPr>
  </w:style>
  <w:style w:type="character" w:customStyle="1" w:styleId="Heading4Char">
    <w:name w:val="Heading 4 Char"/>
    <w:aliases w:val="LGA TITLE Char"/>
    <w:basedOn w:val="DefaultParagraphFont"/>
    <w:link w:val="Heading4"/>
    <w:uiPriority w:val="9"/>
    <w:rsid w:val="007D6682"/>
    <w:rPr>
      <w:rFonts w:ascii="Arial" w:eastAsia="Times New Roman" w:hAnsi="Arial" w:cs="Times New Roman"/>
      <w:b/>
      <w:bCs/>
      <w:sz w:val="28"/>
      <w:szCs w:val="28"/>
    </w:rPr>
  </w:style>
  <w:style w:type="paragraph" w:customStyle="1" w:styleId="H2LGA">
    <w:name w:val="H2 LGA"/>
    <w:basedOn w:val="Heading2"/>
    <w:next w:val="Bodycopy"/>
    <w:qFormat/>
    <w:rsid w:val="00C77025"/>
    <w:pPr>
      <w:spacing w:before="360" w:after="40" w:line="420" w:lineRule="exact"/>
    </w:pPr>
    <w:rPr>
      <w:rFonts w:ascii="Arial" w:eastAsia="Times New Roman" w:hAnsi="Arial" w:cs="Times New Roman"/>
      <w:b/>
      <w:color w:val="9B2C98"/>
      <w:sz w:val="36"/>
      <w:szCs w:val="36"/>
    </w:rPr>
  </w:style>
  <w:style w:type="paragraph" w:customStyle="1" w:styleId="H3LGA">
    <w:name w:val="H3 LGA"/>
    <w:basedOn w:val="Heading3"/>
    <w:next w:val="Bodycopy"/>
    <w:qFormat/>
    <w:rsid w:val="009D6442"/>
    <w:pPr>
      <w:spacing w:before="360" w:line="340" w:lineRule="exact"/>
    </w:pPr>
    <w:rPr>
      <w:rFonts w:ascii="Arial" w:eastAsia="Times New Roman" w:hAnsi="Arial" w:cs="Arial"/>
      <w:b/>
      <w:color w:val="000000" w:themeColor="text1"/>
      <w:szCs w:val="28"/>
    </w:rPr>
  </w:style>
  <w:style w:type="paragraph" w:customStyle="1" w:styleId="Bodycopy">
    <w:name w:val="Body copy"/>
    <w:qFormat/>
    <w:rsid w:val="00C77025"/>
    <w:pPr>
      <w:widowControl w:val="0"/>
      <w:spacing w:after="120" w:line="360" w:lineRule="exact"/>
    </w:pPr>
    <w:rPr>
      <w:rFonts w:ascii="Arial" w:eastAsia="Times New Roman" w:hAnsi="Arial" w:cs="Times New Roman"/>
      <w:szCs w:val="28"/>
      <w:shd w:val="clear" w:color="auto" w:fill="FFFFFF"/>
    </w:rPr>
  </w:style>
  <w:style w:type="paragraph" w:customStyle="1" w:styleId="LGAbullets">
    <w:name w:val="LGA bullets"/>
    <w:basedOn w:val="List"/>
    <w:link w:val="LGAbulletsChar"/>
    <w:qFormat/>
    <w:rsid w:val="00504B10"/>
    <w:pPr>
      <w:numPr>
        <w:numId w:val="9"/>
      </w:numPr>
      <w:spacing w:after="240" w:line="400" w:lineRule="exact"/>
      <w:ind w:right="567"/>
    </w:pPr>
    <w:rPr>
      <w:szCs w:val="22"/>
    </w:rPr>
  </w:style>
  <w:style w:type="paragraph" w:customStyle="1" w:styleId="Covereventname">
    <w:name w:val="Cover event name"/>
    <w:basedOn w:val="H1LGA"/>
    <w:next w:val="H2LGA"/>
    <w:rsid w:val="00B14707"/>
    <w:pPr>
      <w:keepNext w:val="0"/>
      <w:keepLines w:val="0"/>
      <w:outlineLvl w:val="9"/>
    </w:pPr>
    <w:rPr>
      <w:color w:val="951A80"/>
      <w:sz w:val="84"/>
    </w:rPr>
  </w:style>
  <w:style w:type="paragraph" w:customStyle="1" w:styleId="numbers">
    <w:name w:val="numbers"/>
    <w:basedOn w:val="Normal"/>
    <w:rsid w:val="00A02CAC"/>
    <w:pPr>
      <w:tabs>
        <w:tab w:val="right" w:pos="10490"/>
      </w:tabs>
      <w:ind w:left="1418"/>
    </w:pPr>
    <w:rPr>
      <w:b/>
      <w:color w:val="000000" w:themeColor="text1"/>
      <w:szCs w:val="22"/>
      <w:lang w:val="en-US"/>
    </w:rPr>
  </w:style>
  <w:style w:type="table" w:styleId="TableGrid">
    <w:name w:val="Table Grid"/>
    <w:basedOn w:val="TableNormal"/>
    <w:uiPriority w:val="59"/>
    <w:rsid w:val="003737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99"/>
    <w:rsid w:val="003737D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1D0E03"/>
    <w:rPr>
      <w:iCs/>
      <w:color w:val="9B2C98"/>
      <w:szCs w:val="18"/>
    </w:rPr>
  </w:style>
  <w:style w:type="character" w:customStyle="1" w:styleId="Heading1Char">
    <w:name w:val="Heading 1 Char"/>
    <w:basedOn w:val="DefaultParagraphFont"/>
    <w:link w:val="Heading1"/>
    <w:uiPriority w:val="9"/>
    <w:rsid w:val="009F1F4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98520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98520D"/>
    <w:rPr>
      <w:rFonts w:asciiTheme="majorHAnsi" w:eastAsiaTheme="majorEastAsia" w:hAnsiTheme="majorHAnsi" w:cstheme="majorBidi"/>
      <w:color w:val="243F60" w:themeColor="accent1" w:themeShade="7F"/>
    </w:rPr>
  </w:style>
  <w:style w:type="paragraph" w:styleId="ListBullet">
    <w:name w:val="List Bullet"/>
    <w:basedOn w:val="Normal"/>
    <w:uiPriority w:val="99"/>
    <w:semiHidden/>
    <w:unhideWhenUsed/>
    <w:qFormat/>
    <w:rsid w:val="0098520D"/>
    <w:pPr>
      <w:numPr>
        <w:numId w:val="1"/>
      </w:numPr>
      <w:contextualSpacing/>
    </w:pPr>
  </w:style>
  <w:style w:type="paragraph" w:styleId="List">
    <w:name w:val="List"/>
    <w:basedOn w:val="Normal"/>
    <w:uiPriority w:val="99"/>
    <w:semiHidden/>
    <w:unhideWhenUsed/>
    <w:rsid w:val="008F5F53"/>
    <w:pPr>
      <w:ind w:left="283" w:hanging="283"/>
      <w:contextualSpacing/>
    </w:pPr>
  </w:style>
  <w:style w:type="character" w:styleId="Hyperlink">
    <w:name w:val="Hyperlink"/>
    <w:basedOn w:val="DefaultParagraphFont"/>
    <w:uiPriority w:val="99"/>
    <w:unhideWhenUsed/>
    <w:rsid w:val="00C84BCF"/>
    <w:rPr>
      <w:color w:val="0000FF" w:themeColor="hyperlink"/>
      <w:u w:val="single"/>
    </w:rPr>
  </w:style>
  <w:style w:type="character" w:customStyle="1" w:styleId="UnresolvedMention1">
    <w:name w:val="Unresolved Mention1"/>
    <w:basedOn w:val="DefaultParagraphFont"/>
    <w:uiPriority w:val="99"/>
    <w:semiHidden/>
    <w:unhideWhenUsed/>
    <w:rsid w:val="00C84BCF"/>
    <w:rPr>
      <w:color w:val="605E5C"/>
      <w:shd w:val="clear" w:color="auto" w:fill="E1DFDD"/>
    </w:rPr>
  </w:style>
  <w:style w:type="numbering" w:customStyle="1" w:styleId="CurrentList1">
    <w:name w:val="Current List1"/>
    <w:uiPriority w:val="99"/>
    <w:rsid w:val="00504B10"/>
    <w:pPr>
      <w:numPr>
        <w:numId w:val="8"/>
      </w:numPr>
    </w:pPr>
  </w:style>
  <w:style w:type="paragraph" w:customStyle="1" w:styleId="H4LGA">
    <w:name w:val="H4 LGA"/>
    <w:basedOn w:val="Heading4"/>
    <w:next w:val="Normal"/>
    <w:rsid w:val="005467C7"/>
    <w:pPr>
      <w:keepNext/>
      <w:keepLines/>
      <w:spacing w:before="360" w:line="340" w:lineRule="exact"/>
    </w:pPr>
    <w:rPr>
      <w:rFonts w:cs="Arial"/>
      <w:b w:val="0"/>
      <w:color w:val="951B81"/>
      <w:sz w:val="24"/>
      <w:lang w:val="en-US"/>
    </w:rPr>
  </w:style>
  <w:style w:type="paragraph" w:customStyle="1" w:styleId="LGAsubbullet">
    <w:name w:val="LGA sub bullet"/>
    <w:basedOn w:val="LGAbullets"/>
    <w:link w:val="LGAsubbulletChar"/>
    <w:qFormat/>
    <w:rsid w:val="00870609"/>
    <w:pPr>
      <w:numPr>
        <w:numId w:val="0"/>
      </w:numPr>
      <w:spacing w:after="120" w:line="360" w:lineRule="exact"/>
      <w:ind w:left="700" w:right="0" w:hanging="281"/>
      <w:contextualSpacing w:val="0"/>
    </w:pPr>
    <w:rPr>
      <w:shd w:val="clear" w:color="auto" w:fill="FFFFFF"/>
    </w:rPr>
  </w:style>
  <w:style w:type="character" w:customStyle="1" w:styleId="LGAbulletsChar">
    <w:name w:val="LGA bullets Char"/>
    <w:basedOn w:val="DefaultParagraphFont"/>
    <w:link w:val="LGAbullets"/>
    <w:rsid w:val="00870609"/>
    <w:rPr>
      <w:rFonts w:ascii="Arial" w:eastAsia="Times New Roman" w:hAnsi="Arial" w:cs="Times New Roman"/>
      <w:kern w:val="2"/>
      <w:szCs w:val="22"/>
    </w:rPr>
  </w:style>
  <w:style w:type="character" w:customStyle="1" w:styleId="LGAsubbulletChar">
    <w:name w:val="LGA sub bullet Char"/>
    <w:basedOn w:val="LGAbulletsChar"/>
    <w:link w:val="LGAsubbullet"/>
    <w:rsid w:val="00870609"/>
    <w:rPr>
      <w:rFonts w:ascii="Arial" w:eastAsia="Times New Roman" w:hAnsi="Arial" w:cs="Times New Roman"/>
      <w:kern w:val="2"/>
      <w:szCs w:val="22"/>
    </w:rPr>
  </w:style>
  <w:style w:type="paragraph" w:styleId="ListParagraph">
    <w:name w:val="List Paragraph"/>
    <w:basedOn w:val="Normal"/>
    <w:uiPriority w:val="34"/>
    <w:qFormat/>
    <w:rsid w:val="00D15E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CYM0178</dc:title>
  <cp:revision>0</cp:revision>
</cp:coreProperties>
</file>