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D6D6B" w:rsidRPr="006D6D6B" w:rsidP="006D6D6B">
      <w:pPr>
        <w:pStyle w:val="Heading1"/>
        <w:spacing w:before="80"/>
        <w:jc w:val="center"/>
        <w:rPr>
          <w:rFonts w:asciiTheme="minorHAnsi" w:hAnsiTheme="minorHAnsi"/>
          <w:b/>
          <w:bCs/>
          <w:color w:val="auto"/>
          <w:sz w:val="36"/>
          <w:szCs w:val="36"/>
        </w:rPr>
      </w:pPr>
      <w:r w:rsidRPr="006D6D6B">
        <w:rPr>
          <w:rFonts w:asciiTheme="minorHAnsi" w:hAnsiTheme="minorHAnsi"/>
          <w:b/>
          <w:bCs/>
          <w:color w:val="auto"/>
          <w:sz w:val="36"/>
          <w:szCs w:val="36"/>
        </w:rPr>
        <w:t>Written Submitted by Impact on Urban Health</w:t>
      </w:r>
      <w:r w:rsidRPr="006D6D6B">
        <w:rPr>
          <w:rFonts w:asciiTheme="minorHAnsi" w:hAnsiTheme="minorHAnsi"/>
          <w:b/>
          <w:bCs/>
          <w:color w:val="auto"/>
          <w:sz w:val="36"/>
          <w:szCs w:val="36"/>
        </w:rPr>
        <w:t xml:space="preserve"> </w:t>
      </w:r>
      <w:r w:rsidRPr="006D6D6B">
        <w:rPr>
          <w:rFonts w:asciiTheme="minorHAnsi" w:hAnsiTheme="minorHAnsi"/>
          <w:b/>
          <w:bCs/>
          <w:color w:val="auto"/>
          <w:sz w:val="36"/>
          <w:szCs w:val="36"/>
        </w:rPr>
        <w:t>(CYM017</w:t>
      </w:r>
      <w:r>
        <w:rPr>
          <w:rFonts w:asciiTheme="minorHAnsi" w:hAnsiTheme="minorHAnsi"/>
          <w:b/>
          <w:bCs/>
          <w:color w:val="auto"/>
          <w:sz w:val="36"/>
          <w:szCs w:val="36"/>
        </w:rPr>
        <w:t>5</w:t>
      </w:r>
      <w:r w:rsidRPr="006D6D6B">
        <w:rPr>
          <w:rFonts w:asciiTheme="minorHAnsi" w:hAnsiTheme="minorHAnsi"/>
          <w:b/>
          <w:bCs/>
          <w:color w:val="auto"/>
          <w:sz w:val="36"/>
          <w:szCs w:val="36"/>
        </w:rPr>
        <w:t>)</w:t>
      </w:r>
    </w:p>
    <w:p w:rsidR="006D6D6B" w:rsidP="00D72893">
      <w:pPr>
        <w:pStyle w:val="Heading1"/>
        <w:spacing w:before="80"/>
        <w:rPr>
          <w:color w:val="auto"/>
        </w:rPr>
      </w:pPr>
    </w:p>
    <w:p w:rsidR="006D6D6B" w:rsidP="00D72893">
      <w:pPr>
        <w:pStyle w:val="Heading1"/>
        <w:spacing w:before="80"/>
        <w:rPr>
          <w:color w:val="auto"/>
        </w:rPr>
      </w:pPr>
    </w:p>
    <w:p w:rsidR="006D6D6B" w:rsidP="00D72893">
      <w:pPr>
        <w:pStyle w:val="Heading1"/>
        <w:spacing w:before="80"/>
        <w:rPr>
          <w:color w:val="auto"/>
        </w:rPr>
      </w:pPr>
    </w:p>
    <w:p w:rsidR="00E152BF" w:rsidRPr="006D6D6B" w:rsidP="00D72893">
      <w:pPr>
        <w:pStyle w:val="Heading1"/>
        <w:spacing w:before="80"/>
        <w:rPr>
          <w:color w:val="auto"/>
        </w:rPr>
      </w:pPr>
      <w:r w:rsidRPr="006D6D6B">
        <w:rPr>
          <w:color w:val="auto"/>
        </w:rPr>
        <w:t>Children and Young People’s Mental Hea</w:t>
      </w:r>
      <w:r w:rsidRPr="006D6D6B">
        <w:rPr>
          <w:color w:val="auto"/>
        </w:rPr>
        <w:t>l</w:t>
      </w:r>
      <w:r w:rsidRPr="006D6D6B">
        <w:rPr>
          <w:color w:val="auto"/>
        </w:rPr>
        <w:t>th</w:t>
      </w:r>
      <w:r w:rsidRPr="006D6D6B">
        <w:rPr>
          <w:color w:val="auto"/>
        </w:rPr>
        <w:t xml:space="preserve"> Inquiry</w:t>
      </w:r>
    </w:p>
    <w:p w:rsidR="00E152BF" w:rsidRPr="006D6D6B" w:rsidP="00D72893">
      <w:pPr>
        <w:rPr>
          <w:b/>
          <w:bCs/>
          <w:sz w:val="28"/>
          <w:szCs w:val="28"/>
        </w:rPr>
      </w:pPr>
      <w:r w:rsidRPr="006D6D6B">
        <w:rPr>
          <w:b/>
          <w:bCs/>
          <w:sz w:val="28"/>
          <w:szCs w:val="28"/>
        </w:rPr>
        <w:t>Evidence from Impact on Urban Health</w:t>
      </w:r>
    </w:p>
    <w:p w:rsidR="00E152BF" w:rsidRPr="006D6D6B" w:rsidP="00D72893">
      <w:pPr>
        <w:rPr>
          <w:b/>
          <w:bCs/>
        </w:rPr>
      </w:pPr>
    </w:p>
    <w:p w:rsidR="00E152BF" w:rsidRPr="006D6D6B" w:rsidP="00322D85">
      <w:pPr>
        <w:rPr>
          <w:b/>
          <w:bCs/>
        </w:rPr>
      </w:pPr>
      <w:r w:rsidRPr="006D6D6B">
        <w:rPr>
          <w:b/>
          <w:bCs/>
        </w:rPr>
        <w:t>About Impact on Urban Health</w:t>
      </w:r>
    </w:p>
    <w:p w:rsidR="00E152BF" w:rsidRPr="006D6D6B" w:rsidP="00322D85">
      <w:pPr>
        <w:rPr>
          <w:sz w:val="22"/>
          <w:szCs w:val="22"/>
        </w:rPr>
      </w:pPr>
      <w:r>
        <w:fldChar w:fldCharType="begin"/>
      </w:r>
      <w:r>
        <w:instrText xml:space="preserve"> HYPERLINK "https://urbanhealth.org.uk/" </w:instrText>
      </w:r>
      <w:r>
        <w:fldChar w:fldCharType="separate"/>
      </w:r>
      <w:r w:rsidRPr="006D6D6B">
        <w:rPr>
          <w:rStyle w:val="Hyperlink"/>
          <w:color w:val="auto"/>
          <w:sz w:val="22"/>
          <w:szCs w:val="22"/>
        </w:rPr>
        <w:t>Impact on Urban Health</w:t>
      </w:r>
      <w:r>
        <w:fldChar w:fldCharType="end"/>
      </w:r>
      <w:r w:rsidRPr="006D6D6B">
        <w:rPr>
          <w:sz w:val="22"/>
          <w:szCs w:val="22"/>
        </w:rPr>
        <w:t xml:space="preserve"> is a part of Guy’s and St Thomas’ Foundation, one of the largest health foundations in the country. We explore how living in cities impacts people’s health. We take an applied approach, testing solutions to complex health issues. While we focus our efforts on inner-city London and work in areas that experience the widest health inequalities, we seek to generate evidence and learning that can benefit people in cities across the UK and around the world. </w:t>
      </w:r>
    </w:p>
    <w:p w:rsidR="00E152BF" w:rsidRPr="006D6D6B" w:rsidP="00322D85">
      <w:pPr>
        <w:rPr>
          <w:sz w:val="22"/>
          <w:szCs w:val="22"/>
        </w:rPr>
      </w:pPr>
      <w:r w:rsidRPr="006D6D6B">
        <w:rPr>
          <w:sz w:val="22"/>
          <w:szCs w:val="22"/>
        </w:rPr>
        <w:t xml:space="preserve">We are supportive of the Department of Education and the Department for Health and Social Care’s work on improving children’s mental health and stand ready to help you through our evidence base and networks, including through the provision of oral evidence. </w:t>
      </w:r>
    </w:p>
    <w:p w:rsidR="00E152BF" w:rsidRPr="006D6D6B" w:rsidP="00D72893">
      <w:pPr>
        <w:rPr>
          <w:b/>
          <w:bCs/>
        </w:rPr>
      </w:pPr>
    </w:p>
    <w:p w:rsidR="00E152BF" w:rsidRPr="006D6D6B" w:rsidP="00D72893">
      <w:pPr>
        <w:rPr>
          <w:b/>
          <w:bCs/>
        </w:rPr>
      </w:pPr>
      <w:r w:rsidRPr="006D6D6B">
        <w:rPr>
          <w:b/>
          <w:bCs/>
        </w:rPr>
        <w:t>Our approach to this response</w:t>
      </w:r>
    </w:p>
    <w:p w:rsidR="00E152BF" w:rsidRPr="006D6D6B" w:rsidP="00A66A54">
      <w:pPr>
        <w:rPr>
          <w:sz w:val="22"/>
          <w:szCs w:val="22"/>
        </w:rPr>
      </w:pPr>
      <w:r w:rsidRPr="006D6D6B">
        <w:rPr>
          <w:sz w:val="22"/>
          <w:szCs w:val="22"/>
        </w:rPr>
        <w:t>Millions of children and families are trapped in poverty which causes significant harm to children’s mental health.</w:t>
      </w:r>
    </w:p>
    <w:p w:rsidR="00E152BF" w:rsidRPr="006D6D6B" w:rsidP="00A66A54">
      <w:pPr>
        <w:rPr>
          <w:sz w:val="22"/>
          <w:szCs w:val="22"/>
        </w:rPr>
      </w:pPr>
      <w:r w:rsidRPr="006D6D6B">
        <w:rPr>
          <w:sz w:val="22"/>
          <w:szCs w:val="22"/>
        </w:rPr>
        <w:t>Structural racism amplifies poverty for children from ethnic minority backgrounds. When a family is forced to live in unsuitable housing, work low-paid, unstable jobs, or rely on foodbanks, this affects every aspect of a child’s life. </w:t>
      </w:r>
    </w:p>
    <w:p w:rsidR="00E152BF" w:rsidRPr="006D6D6B" w:rsidP="00D72893">
      <w:pPr>
        <w:rPr>
          <w:sz w:val="22"/>
          <w:szCs w:val="22"/>
        </w:rPr>
      </w:pPr>
      <w:r w:rsidRPr="006D6D6B">
        <w:rPr>
          <w:sz w:val="22"/>
          <w:szCs w:val="22"/>
        </w:rPr>
        <w:t xml:space="preserve">When considering interventions on children’s mental health, we must therefore take into account the context which children and their families </w:t>
      </w:r>
      <w:r w:rsidRPr="006D6D6B">
        <w:rPr>
          <w:sz w:val="22"/>
          <w:szCs w:val="22"/>
        </w:rPr>
        <w:t>live</w:t>
      </w:r>
      <w:r w:rsidRPr="006D6D6B">
        <w:rPr>
          <w:sz w:val="22"/>
          <w:szCs w:val="22"/>
        </w:rPr>
        <w:t>. This core consideration is central to our responses to this consultation.</w:t>
      </w:r>
    </w:p>
    <w:p w:rsidR="00E152BF" w:rsidRPr="006D6D6B" w:rsidP="00D72893">
      <w:pPr>
        <w:rPr>
          <w:b/>
          <w:bCs/>
        </w:rPr>
      </w:pPr>
    </w:p>
    <w:p w:rsidR="00E152BF" w:rsidRPr="006D6D6B" w:rsidP="00D66991">
      <w:pPr>
        <w:rPr>
          <w:b/>
          <w:bCs/>
        </w:rPr>
      </w:pPr>
      <w:r w:rsidRPr="006D6D6B">
        <w:rPr>
          <w:b/>
          <w:bCs/>
        </w:rPr>
        <w:t>How effectively are education and community providers identifying and responding to children and young people’s mental health needs? </w:t>
      </w:r>
    </w:p>
    <w:p w:rsidR="00E152BF" w:rsidRPr="006D6D6B" w:rsidP="00D66991">
      <w:pPr>
        <w:numPr>
          <w:ilvl w:val="0"/>
          <w:numId w:val="6"/>
        </w:numPr>
        <w:rPr>
          <w:b/>
          <w:bCs/>
        </w:rPr>
      </w:pPr>
      <w:r w:rsidRPr="006D6D6B">
        <w:rPr>
          <w:b/>
          <w:bCs/>
        </w:rPr>
        <w:t>What role should staff in early years settings, schools, colleges and universities play in supporting the mental health of children and young people, what support and training do they need to enable them to take on this role?</w:t>
      </w:r>
    </w:p>
    <w:p w:rsidR="00E152BF" w:rsidRPr="006D6D6B" w:rsidP="00D66991">
      <w:pPr>
        <w:numPr>
          <w:ilvl w:val="0"/>
          <w:numId w:val="6"/>
        </w:numPr>
        <w:rPr>
          <w:b/>
          <w:bCs/>
        </w:rPr>
      </w:pPr>
      <w:r w:rsidRPr="006D6D6B">
        <w:rPr>
          <w:b/>
          <w:bCs/>
        </w:rPr>
        <w:t xml:space="preserve">How do inspection and accountability frameworks such as Ofsted, the Office for Students or DfE guidance support or hinder education settings in prioritising mental health provision and should any changes be made? </w:t>
      </w:r>
    </w:p>
    <w:p w:rsidR="00E152BF" w:rsidRPr="006D6D6B" w:rsidP="0078013A">
      <w:pPr>
        <w:rPr>
          <w:sz w:val="22"/>
          <w:szCs w:val="22"/>
        </w:rPr>
      </w:pPr>
      <w:r w:rsidRPr="006D6D6B">
        <w:rPr>
          <w:sz w:val="22"/>
          <w:szCs w:val="22"/>
        </w:rPr>
        <w:t>The education system is not currently set up to meet the mental health and wellbeing needs of children and their families</w:t>
      </w:r>
      <w:r w:rsidRPr="006D6D6B">
        <w:rPr>
          <w:sz w:val="22"/>
          <w:szCs w:val="22"/>
        </w:rPr>
        <w:t>. Schools are often forced to act as an additional emergency service.</w:t>
      </w:r>
      <w:r w:rsidRPr="006D6D6B">
        <w:rPr>
          <w:sz w:val="22"/>
          <w:szCs w:val="22"/>
        </w:rPr>
        <w:t xml:space="preserve"> There are, however, examples of good practice and schools taking a holistic approach.</w:t>
      </w:r>
    </w:p>
    <w:p w:rsidR="00E152BF" w:rsidRPr="006D6D6B" w:rsidP="0078013A">
      <w:pPr>
        <w:rPr>
          <w:sz w:val="22"/>
          <w:szCs w:val="22"/>
        </w:rPr>
      </w:pPr>
      <w:r w:rsidRPr="006D6D6B">
        <w:rPr>
          <w:sz w:val="22"/>
          <w:szCs w:val="22"/>
        </w:rPr>
        <w:t xml:space="preserve">A gold-standard example is the </w:t>
      </w:r>
      <w:r w:rsidRPr="006D6D6B">
        <w:rPr>
          <w:b/>
          <w:bCs/>
          <w:sz w:val="22"/>
          <w:szCs w:val="22"/>
        </w:rPr>
        <w:t>Old Kent Road Family Zone (OKRFZ)</w:t>
      </w:r>
      <w:r w:rsidRPr="006D6D6B">
        <w:rPr>
          <w:sz w:val="22"/>
          <w:szCs w:val="22"/>
        </w:rPr>
        <w:t>,</w:t>
      </w:r>
      <w:r w:rsidRPr="006D6D6B">
        <w:rPr>
          <w:sz w:val="22"/>
          <w:szCs w:val="22"/>
        </w:rPr>
        <w:t xml:space="preserve"> facilitated by Surrey Square Primary School (SSQ) and funded by Impact on Urban Health.</w:t>
      </w:r>
      <w:r>
        <w:rPr>
          <w:rStyle w:val="FootnoteReference"/>
          <w:sz w:val="22"/>
          <w:szCs w:val="22"/>
        </w:rPr>
        <w:footnoteReference w:id="2"/>
      </w:r>
      <w:r w:rsidRPr="006D6D6B">
        <w:rPr>
          <w:sz w:val="22"/>
          <w:szCs w:val="22"/>
        </w:rPr>
        <w:t xml:space="preserve"> Key features include:</w:t>
      </w:r>
    </w:p>
    <w:p w:rsidR="00E152BF" w:rsidRPr="006D6D6B" w:rsidP="0078013A">
      <w:pPr>
        <w:numPr>
          <w:ilvl w:val="0"/>
          <w:numId w:val="7"/>
        </w:numPr>
        <w:rPr>
          <w:sz w:val="22"/>
          <w:szCs w:val="22"/>
        </w:rPr>
      </w:pPr>
      <w:r w:rsidRPr="006D6D6B">
        <w:rPr>
          <w:b/>
          <w:bCs/>
          <w:sz w:val="22"/>
          <w:szCs w:val="22"/>
        </w:rPr>
        <w:t>Community-led co-design:</w:t>
      </w:r>
      <w:r w:rsidRPr="006D6D6B">
        <w:rPr>
          <w:sz w:val="22"/>
          <w:szCs w:val="22"/>
        </w:rPr>
        <w:t xml:space="preserve"> OKRFZ established a Community Board consisting of regular meetings between parents and key local organisations like Citizens UK to ensure decisions are made by the community. Through extensive community listening, the board identifies root causes of poor health and wellbeing and co-designs preventative services ‘with’ the community not ‘for’ or ‘to’ them.</w:t>
      </w:r>
    </w:p>
    <w:p w:rsidR="00E152BF" w:rsidRPr="006D6D6B" w:rsidP="0078013A">
      <w:pPr>
        <w:numPr>
          <w:ilvl w:val="0"/>
          <w:numId w:val="7"/>
        </w:numPr>
        <w:rPr>
          <w:sz w:val="22"/>
          <w:szCs w:val="22"/>
        </w:rPr>
      </w:pPr>
      <w:r w:rsidRPr="006D6D6B">
        <w:rPr>
          <w:b/>
          <w:bCs/>
          <w:sz w:val="22"/>
          <w:szCs w:val="22"/>
        </w:rPr>
        <w:t>A positive approach:</w:t>
      </w:r>
      <w:r w:rsidRPr="006D6D6B">
        <w:rPr>
          <w:sz w:val="22"/>
          <w:szCs w:val="22"/>
        </w:rPr>
        <w:t xml:space="preserve"> The zone has successfully shifted away from a deficit-based approach that focused overtly negatively on problems, instead celebrating and recognising existing community strengths. More than 450 community members now engage monthly, providing wrap-around support through partnerships with 20 local organisations.</w:t>
      </w:r>
    </w:p>
    <w:p w:rsidR="00E152BF" w:rsidRPr="006D6D6B" w:rsidP="0078013A">
      <w:pPr>
        <w:rPr>
          <w:sz w:val="22"/>
          <w:szCs w:val="22"/>
        </w:rPr>
      </w:pPr>
      <w:r w:rsidRPr="006D6D6B">
        <w:rPr>
          <w:sz w:val="22"/>
          <w:szCs w:val="22"/>
        </w:rPr>
        <w:t>A report by State of Life on Surrey Square Primary School (SSQ) shows that prioritising wellbeing is a powerful driver of both social and economic outcomes. By nurturing the</w:t>
      </w:r>
      <w:r w:rsidRPr="006D6D6B">
        <w:rPr>
          <w:sz w:val="22"/>
          <w:szCs w:val="22"/>
        </w:rPr>
        <w:t xml:space="preserve">n </w:t>
      </w:r>
      <w:r w:rsidRPr="006D6D6B">
        <w:rPr>
          <w:sz w:val="22"/>
          <w:szCs w:val="22"/>
        </w:rPr>
        <w:t>whole child and focusing on wellbeing, SSQ achieved above-average academic results (68% of pupils reaching expected KS2 standards vs 61% nationally). This progress translates to an estimated £29,000 to £57,000 per pupil in lifetime productivity, generating between £1.7 million and £3.4 million in economic value for a single cohort of sixty pupils.</w:t>
      </w:r>
    </w:p>
    <w:p w:rsidR="00E152BF" w:rsidRPr="006D6D6B" w:rsidP="0078013A">
      <w:pPr>
        <w:rPr>
          <w:b/>
          <w:bCs/>
          <w:sz w:val="22"/>
          <w:szCs w:val="22"/>
        </w:rPr>
      </w:pPr>
      <w:r w:rsidRPr="006D6D6B">
        <w:rPr>
          <w:b/>
          <w:bCs/>
          <w:sz w:val="22"/>
          <w:szCs w:val="22"/>
        </w:rPr>
        <w:t>The role of staff and the support and training they need</w:t>
      </w:r>
    </w:p>
    <w:p w:rsidR="00E152BF" w:rsidRPr="006D6D6B" w:rsidP="0078013A">
      <w:pPr>
        <w:rPr>
          <w:sz w:val="22"/>
          <w:szCs w:val="22"/>
        </w:rPr>
      </w:pPr>
      <w:r w:rsidRPr="006D6D6B">
        <w:rPr>
          <w:sz w:val="22"/>
          <w:szCs w:val="22"/>
        </w:rPr>
        <w:t>Staff and school leaders must be empowered to act as facilitators who co-create solutions with their communities, prioritising relationships and preventative mental health practices.</w:t>
      </w:r>
      <w:r>
        <w:rPr>
          <w:rStyle w:val="FootnoteReference"/>
          <w:sz w:val="22"/>
          <w:szCs w:val="22"/>
        </w:rPr>
        <w:footnoteReference w:id="3"/>
      </w:r>
      <w:r w:rsidRPr="006D6D6B">
        <w:rPr>
          <w:sz w:val="22"/>
          <w:szCs w:val="22"/>
        </w:rPr>
        <w:t xml:space="preserve"> However, school leaders are currently grappling with complex social issues that too often fall outside of their core training.</w:t>
      </w:r>
    </w:p>
    <w:p w:rsidR="00E152BF" w:rsidRPr="006D6D6B" w:rsidP="0078013A">
      <w:pPr>
        <w:rPr>
          <w:sz w:val="22"/>
          <w:szCs w:val="22"/>
        </w:rPr>
      </w:pPr>
      <w:r w:rsidRPr="006D6D6B">
        <w:rPr>
          <w:sz w:val="22"/>
          <w:szCs w:val="22"/>
        </w:rPr>
        <w:t xml:space="preserve">Existing professional development programmes, such as the National Professional Qualifications (NPQs), do not adequately equip leaders for this reality. The current NPQ suite over-emphasises instructional leadership and the 'science' of pedagogy, while neglecting the skills required to build relational trust, foster a positive wellbeing culture, and solve complex, systemic community problems. </w:t>
      </w:r>
      <w:r w:rsidRPr="006D6D6B">
        <w:rPr>
          <w:sz w:val="22"/>
          <w:szCs w:val="22"/>
        </w:rPr>
        <w:t>We support proposals for the Department for Education (DfE) to undertake an independent expert review of leadership development provision, particularly the NPQH and NPQEL.</w:t>
      </w:r>
      <w:r>
        <w:rPr>
          <w:rStyle w:val="FootnoteReference"/>
          <w:sz w:val="22"/>
          <w:szCs w:val="22"/>
        </w:rPr>
        <w:footnoteReference w:id="4"/>
      </w:r>
      <w:r w:rsidRPr="006D6D6B">
        <w:rPr>
          <w:sz w:val="22"/>
          <w:szCs w:val="22"/>
        </w:rPr>
        <w:t> </w:t>
      </w:r>
    </w:p>
    <w:p w:rsidR="00E152BF" w:rsidRPr="006D6D6B" w:rsidP="0078013A">
      <w:pPr>
        <w:rPr>
          <w:sz w:val="22"/>
          <w:szCs w:val="22"/>
        </w:rPr>
      </w:pPr>
      <w:r w:rsidRPr="006D6D6B">
        <w:rPr>
          <w:sz w:val="22"/>
          <w:szCs w:val="22"/>
        </w:rPr>
        <w:t>Alternative models, such as Big Education’s Leadership Programme Plus (BELP+)</w:t>
      </w:r>
      <w:r w:rsidRPr="006D6D6B">
        <w:rPr>
          <w:sz w:val="22"/>
          <w:szCs w:val="22"/>
        </w:rPr>
        <w:t xml:space="preserve"> and Class 13’s </w:t>
      </w:r>
      <w:r w:rsidRPr="006D6D6B">
        <w:rPr>
          <w:sz w:val="22"/>
          <w:szCs w:val="22"/>
        </w:rPr>
        <w:t>e</w:t>
      </w:r>
      <w:r w:rsidRPr="006D6D6B">
        <w:rPr>
          <w:sz w:val="22"/>
          <w:szCs w:val="22"/>
        </w:rPr>
        <w:t>qui</w:t>
      </w:r>
      <w:r w:rsidRPr="006D6D6B">
        <w:rPr>
          <w:sz w:val="22"/>
          <w:szCs w:val="22"/>
        </w:rPr>
        <w:t>ty</w:t>
      </w:r>
      <w:r w:rsidRPr="006D6D6B">
        <w:rPr>
          <w:sz w:val="22"/>
          <w:szCs w:val="22"/>
        </w:rPr>
        <w:t>-</w:t>
      </w:r>
      <w:r w:rsidRPr="006D6D6B">
        <w:rPr>
          <w:sz w:val="22"/>
          <w:szCs w:val="22"/>
        </w:rPr>
        <w:t>f</w:t>
      </w:r>
      <w:r w:rsidRPr="006D6D6B">
        <w:rPr>
          <w:sz w:val="22"/>
          <w:szCs w:val="22"/>
        </w:rPr>
        <w:t xml:space="preserve">ocused </w:t>
      </w:r>
      <w:r w:rsidRPr="006D6D6B">
        <w:rPr>
          <w:sz w:val="22"/>
          <w:szCs w:val="22"/>
        </w:rPr>
        <w:t>e</w:t>
      </w:r>
      <w:r w:rsidRPr="006D6D6B">
        <w:rPr>
          <w:sz w:val="22"/>
          <w:szCs w:val="22"/>
        </w:rPr>
        <w:t xml:space="preserve">ducational </w:t>
      </w:r>
      <w:r w:rsidRPr="006D6D6B">
        <w:rPr>
          <w:sz w:val="22"/>
          <w:szCs w:val="22"/>
        </w:rPr>
        <w:t>t</w:t>
      </w:r>
      <w:r w:rsidRPr="006D6D6B">
        <w:rPr>
          <w:sz w:val="22"/>
          <w:szCs w:val="22"/>
        </w:rPr>
        <w:t xml:space="preserve">raining </w:t>
      </w:r>
      <w:r w:rsidRPr="006D6D6B">
        <w:rPr>
          <w:sz w:val="22"/>
          <w:szCs w:val="22"/>
        </w:rPr>
        <w:t xml:space="preserve">programmes </w:t>
      </w:r>
      <w:r w:rsidRPr="006D6D6B">
        <w:rPr>
          <w:sz w:val="22"/>
          <w:szCs w:val="22"/>
        </w:rPr>
        <w:t xml:space="preserve">for </w:t>
      </w:r>
      <w:r w:rsidRPr="006D6D6B">
        <w:rPr>
          <w:sz w:val="22"/>
          <w:szCs w:val="22"/>
        </w:rPr>
        <w:t>t</w:t>
      </w:r>
      <w:r w:rsidRPr="006D6D6B">
        <w:rPr>
          <w:sz w:val="22"/>
          <w:szCs w:val="22"/>
        </w:rPr>
        <w:t>eachers</w:t>
      </w:r>
      <w:r w:rsidRPr="006D6D6B">
        <w:rPr>
          <w:sz w:val="22"/>
          <w:szCs w:val="22"/>
        </w:rPr>
        <w:t>, are already successfully piloting this shift by equipping leaders with practical skills in human-centred design, strategic community partnerships, and systems thinking.</w:t>
      </w:r>
      <w:r>
        <w:rPr>
          <w:rStyle w:val="FootnoteReference"/>
          <w:sz w:val="22"/>
          <w:szCs w:val="22"/>
        </w:rPr>
        <w:footnoteReference w:id="5"/>
      </w:r>
    </w:p>
    <w:p w:rsidR="00E152BF" w:rsidRPr="006D6D6B" w:rsidP="0078013A">
      <w:pPr>
        <w:rPr>
          <w:b/>
          <w:bCs/>
          <w:sz w:val="22"/>
          <w:szCs w:val="22"/>
        </w:rPr>
      </w:pPr>
      <w:r w:rsidRPr="006D6D6B">
        <w:rPr>
          <w:b/>
          <w:bCs/>
          <w:sz w:val="22"/>
          <w:szCs w:val="22"/>
        </w:rPr>
        <w:t>The issues surrounding current inspection and accountability frameworks </w:t>
      </w:r>
    </w:p>
    <w:p w:rsidR="00E152BF" w:rsidRPr="006D6D6B" w:rsidP="0078013A">
      <w:pPr>
        <w:rPr>
          <w:sz w:val="22"/>
          <w:szCs w:val="22"/>
        </w:rPr>
      </w:pPr>
      <w:r w:rsidRPr="006D6D6B">
        <w:rPr>
          <w:sz w:val="22"/>
          <w:szCs w:val="22"/>
        </w:rPr>
        <w:t>Current accountability frameworks hinder education settings from prioritising mental health and community provision.</w:t>
      </w:r>
    </w:p>
    <w:p w:rsidR="00E152BF" w:rsidRPr="006D6D6B" w:rsidP="0078013A">
      <w:pPr>
        <w:rPr>
          <w:sz w:val="22"/>
          <w:szCs w:val="22"/>
        </w:rPr>
      </w:pPr>
      <w:r w:rsidRPr="006D6D6B">
        <w:rPr>
          <w:sz w:val="22"/>
          <w:szCs w:val="22"/>
        </w:rPr>
        <w:t>England's high-stakes accountability system, such as Ofsted, creates rigid definitions of success.</w:t>
      </w:r>
      <w:r>
        <w:rPr>
          <w:rStyle w:val="FootnoteReference"/>
          <w:sz w:val="22"/>
          <w:szCs w:val="22"/>
        </w:rPr>
        <w:footnoteReference w:id="6"/>
      </w:r>
      <w:r w:rsidRPr="006D6D6B">
        <w:rPr>
          <w:sz w:val="22"/>
          <w:szCs w:val="22"/>
        </w:rPr>
        <w:t xml:space="preserve"> Leaders are heavily judged on narrow academic metrics and so are incentivised to focus on short-term priorities and interventions to meet these targets. These frameworks do not consistently account for or value the deep pastoral work that educators do daily to create safe, supportive environments where children and young people can thrive. </w:t>
      </w:r>
      <w:r w:rsidRPr="006D6D6B">
        <w:rPr>
          <w:sz w:val="22"/>
          <w:szCs w:val="22"/>
        </w:rPr>
        <w:t>This prevents leaders from dedicating time and resources to the broader, underlying "wicked" challenges their communities face, such as the consequences of children in families facing food insecurity, unsafe housing and the impacts of systemic racism.</w:t>
      </w:r>
    </w:p>
    <w:p w:rsidR="00E152BF" w:rsidRPr="006D6D6B" w:rsidP="0078013A">
      <w:pPr>
        <w:rPr>
          <w:sz w:val="22"/>
          <w:szCs w:val="22"/>
        </w:rPr>
      </w:pPr>
      <w:r w:rsidRPr="006D6D6B">
        <w:rPr>
          <w:sz w:val="22"/>
          <w:szCs w:val="22"/>
        </w:rPr>
        <w:t>We echo the Big Education Trust in suggesting that reforms are needed to incentivise reflective developmental review rather than compliance-driven performance metrics, and to strengthen alignment between education accountability systems and health services.</w:t>
      </w:r>
    </w:p>
    <w:p w:rsidR="00E152BF" w:rsidRPr="006D6D6B" w:rsidP="0078013A">
      <w:pPr>
        <w:rPr>
          <w:sz w:val="22"/>
          <w:szCs w:val="22"/>
        </w:rPr>
      </w:pPr>
      <w:r w:rsidRPr="006D6D6B">
        <w:rPr>
          <w:sz w:val="22"/>
          <w:szCs w:val="22"/>
        </w:rPr>
        <w:t>The government must urgently review the role of Ofsted in relation to school leadership to ensure it fosters, rather than penalises, holistic community support. Inspection frameworks must acknowledge the complex, multi-dimensional nature of school leadership, avoid short-term, data-driven incentives that may distract leaders from the long-term best interests of their pupils' mental health, and reduce the excessively high-stakes nature of inspections to alleviate leadership burnout.</w:t>
      </w:r>
    </w:p>
    <w:p w:rsidR="00E152BF" w:rsidRPr="006D6D6B" w:rsidP="00D72893">
      <w:pPr>
        <w:rPr>
          <w:b/>
          <w:bCs/>
        </w:rPr>
      </w:pPr>
    </w:p>
    <w:p w:rsidR="00E152BF" w:rsidRPr="006D6D6B" w:rsidP="001D45C3">
      <w:pPr>
        <w:rPr>
          <w:b/>
          <w:bCs/>
        </w:rPr>
      </w:pPr>
      <w:r w:rsidRPr="006D6D6B">
        <w:rPr>
          <w:b/>
          <w:bCs/>
        </w:rPr>
        <w:t>What opportunities are there to provide mental health support for children and young people through community</w:t>
      </w:r>
      <w:r w:rsidRPr="006D6D6B">
        <w:rPr>
          <w:b/>
          <w:bCs/>
        </w:rPr>
        <w:noBreakHyphen/>
        <w:t>based approaches? What resources or support is needed to deliver them? </w:t>
      </w:r>
    </w:p>
    <w:p w:rsidR="00E152BF" w:rsidRPr="006D6D6B" w:rsidP="001D45C3">
      <w:pPr>
        <w:numPr>
          <w:ilvl w:val="0"/>
          <w:numId w:val="8"/>
        </w:numPr>
        <w:rPr>
          <w:b/>
          <w:bCs/>
        </w:rPr>
      </w:pPr>
      <w:r w:rsidRPr="006D6D6B">
        <w:rPr>
          <w:b/>
          <w:bCs/>
        </w:rPr>
        <w:t>What regional and local variability is there in provision of open-access mental health support across the country and how can this be reduced?</w:t>
      </w:r>
    </w:p>
    <w:p w:rsidR="00E152BF" w:rsidRPr="006D6D6B" w:rsidP="001D45C3">
      <w:pPr>
        <w:rPr>
          <w:sz w:val="22"/>
          <w:szCs w:val="22"/>
        </w:rPr>
      </w:pPr>
      <w:r w:rsidRPr="006D6D6B">
        <w:rPr>
          <w:sz w:val="22"/>
          <w:szCs w:val="22"/>
        </w:rPr>
        <w:t xml:space="preserve">Community based approaches can provide a transformational opportunity that is both accessible and tailored to local needs for young people if done right. There is significant opportunity to provide mental health support through community-based approaches. An excellent example is The Nest – a holistic </w:t>
      </w:r>
      <w:r w:rsidRPr="006D6D6B">
        <w:rPr>
          <w:sz w:val="22"/>
          <w:szCs w:val="22"/>
        </w:rPr>
        <w:t>youth mental health hub in Southwark for 4- to 25-year-olds.</w:t>
      </w:r>
      <w:r>
        <w:rPr>
          <w:rStyle w:val="FootnoteReference"/>
          <w:sz w:val="22"/>
          <w:szCs w:val="22"/>
        </w:rPr>
        <w:footnoteReference w:id="7"/>
      </w:r>
      <w:r w:rsidRPr="006D6D6B">
        <w:rPr>
          <w:sz w:val="22"/>
          <w:szCs w:val="22"/>
          <w:vertAlign w:val="superscript"/>
        </w:rPr>
        <w:t xml:space="preserve"> </w:t>
      </w:r>
      <w:r w:rsidRPr="006D6D6B">
        <w:rPr>
          <w:sz w:val="22"/>
          <w:szCs w:val="22"/>
        </w:rPr>
        <w:t> It offers a variety of flexible services, including integrative counselling, art and music therapy, family systemic therapy, and a unique drop-in service. An evaluation of the service found that 64% of young people aged 11 to 25 achieved a reliable improvement in psychological well-being. Furthermore, 95% of young people reported a good experience with the service, citing improvements in anxiety, mood, and day-to-day coping strategies.</w:t>
      </w:r>
    </w:p>
    <w:p w:rsidR="00E152BF" w:rsidRPr="006D6D6B" w:rsidP="001D45C3">
      <w:pPr>
        <w:rPr>
          <w:sz w:val="22"/>
          <w:szCs w:val="22"/>
        </w:rPr>
      </w:pPr>
      <w:r w:rsidRPr="006D6D6B">
        <w:rPr>
          <w:sz w:val="22"/>
          <w:szCs w:val="22"/>
        </w:rPr>
        <w:t>There are several key features underpinning the success of The Nest that could be applied more widely to improve outcomes: </w:t>
      </w:r>
    </w:p>
    <w:p w:rsidR="00E152BF" w:rsidRPr="006D6D6B" w:rsidP="001D45C3">
      <w:pPr>
        <w:numPr>
          <w:ilvl w:val="0"/>
          <w:numId w:val="9"/>
        </w:numPr>
        <w:rPr>
          <w:sz w:val="22"/>
          <w:szCs w:val="22"/>
        </w:rPr>
      </w:pPr>
      <w:r w:rsidRPr="006D6D6B">
        <w:rPr>
          <w:sz w:val="22"/>
          <w:szCs w:val="22"/>
        </w:rPr>
        <w:t>An environment that is informal and non-clinical with diverse and relatable staff;</w:t>
      </w:r>
    </w:p>
    <w:p w:rsidR="00E152BF" w:rsidRPr="006D6D6B" w:rsidP="001D45C3">
      <w:pPr>
        <w:numPr>
          <w:ilvl w:val="0"/>
          <w:numId w:val="9"/>
        </w:numPr>
        <w:rPr>
          <w:sz w:val="22"/>
          <w:szCs w:val="22"/>
        </w:rPr>
      </w:pPr>
      <w:r w:rsidRPr="006D6D6B">
        <w:rPr>
          <w:sz w:val="22"/>
          <w:szCs w:val="22"/>
        </w:rPr>
        <w:t>High youth involvement;</w:t>
      </w:r>
    </w:p>
    <w:p w:rsidR="00E152BF" w:rsidRPr="006D6D6B" w:rsidP="001D45C3">
      <w:pPr>
        <w:numPr>
          <w:ilvl w:val="0"/>
          <w:numId w:val="9"/>
        </w:numPr>
        <w:rPr>
          <w:sz w:val="22"/>
          <w:szCs w:val="22"/>
        </w:rPr>
      </w:pPr>
      <w:r w:rsidRPr="006D6D6B">
        <w:rPr>
          <w:sz w:val="22"/>
          <w:szCs w:val="22"/>
        </w:rPr>
        <w:t>Concurrent long-term funding to operate holistic services; </w:t>
      </w:r>
    </w:p>
    <w:p w:rsidR="00E152BF" w:rsidRPr="006D6D6B" w:rsidP="001D45C3">
      <w:pPr>
        <w:numPr>
          <w:ilvl w:val="0"/>
          <w:numId w:val="9"/>
        </w:numPr>
        <w:rPr>
          <w:sz w:val="22"/>
          <w:szCs w:val="22"/>
        </w:rPr>
      </w:pPr>
      <w:r w:rsidRPr="006D6D6B">
        <w:rPr>
          <w:sz w:val="22"/>
          <w:szCs w:val="22"/>
        </w:rPr>
        <w:t>Being highly integrated with other local practitioners and localised support, such as translation services. </w:t>
      </w:r>
    </w:p>
    <w:p w:rsidR="00E152BF" w:rsidRPr="006D6D6B" w:rsidP="001D45C3">
      <w:pPr>
        <w:rPr>
          <w:sz w:val="22"/>
          <w:szCs w:val="22"/>
        </w:rPr>
      </w:pPr>
      <w:r w:rsidRPr="006D6D6B">
        <w:rPr>
          <w:sz w:val="22"/>
          <w:szCs w:val="22"/>
        </w:rPr>
        <w:t>Looking more broadly, we recently funded a report from the IPPR which made a number of</w:t>
      </w:r>
      <w:r w:rsidRPr="006D6D6B">
        <w:rPr>
          <w:sz w:val="22"/>
          <w:szCs w:val="22"/>
        </w:rPr>
        <w:t xml:space="preserve"> recommendations on how to deliver community-based, holistic support for mental health and wider health needs.</w:t>
      </w:r>
      <w:r>
        <w:rPr>
          <w:rStyle w:val="FootnoteReference"/>
          <w:sz w:val="22"/>
          <w:szCs w:val="22"/>
        </w:rPr>
        <w:footnoteReference w:id="8"/>
      </w:r>
      <w:r w:rsidRPr="006D6D6B">
        <w:rPr>
          <w:sz w:val="22"/>
          <w:szCs w:val="22"/>
        </w:rPr>
        <w:t xml:space="preserve"> This included: </w:t>
      </w:r>
    </w:p>
    <w:p w:rsidR="00E152BF" w:rsidRPr="006D6D6B" w:rsidP="001D45C3">
      <w:pPr>
        <w:numPr>
          <w:ilvl w:val="0"/>
          <w:numId w:val="10"/>
        </w:numPr>
        <w:rPr>
          <w:sz w:val="22"/>
          <w:szCs w:val="22"/>
        </w:rPr>
      </w:pPr>
      <w:r w:rsidRPr="006D6D6B">
        <w:rPr>
          <w:b/>
          <w:bCs/>
          <w:sz w:val="22"/>
          <w:szCs w:val="22"/>
        </w:rPr>
        <w:t>Ensuring Neighbourhood Health Centres are designed around the needs of families and children</w:t>
      </w:r>
      <w:r w:rsidRPr="006D6D6B">
        <w:rPr>
          <w:sz w:val="22"/>
          <w:szCs w:val="22"/>
        </w:rPr>
        <w:t xml:space="preserve"> e.g. ensuring centres include welcoming, family-friendly spaces that enable informal connection and peer support alongside professional care;  defaulting to co-location with – or at least close proximity to – services for children, young people and families, such as Family Hubs, Young Futures Hubs, community midwifery and health visiting; embedding multidisciplinary pathways specifically for children and young people within NHCs, integrating community paediatrics, health visiting, speech and language, and </w:t>
      </w:r>
      <w:r w:rsidRPr="006D6D6B">
        <w:rPr>
          <w:sz w:val="22"/>
          <w:szCs w:val="22"/>
        </w:rPr>
        <w:t>SEND and mental health support as appropriate.</w:t>
      </w:r>
    </w:p>
    <w:p w:rsidR="00E152BF" w:rsidRPr="006D6D6B" w:rsidP="001D45C3">
      <w:pPr>
        <w:numPr>
          <w:ilvl w:val="0"/>
          <w:numId w:val="10"/>
        </w:numPr>
        <w:rPr>
          <w:sz w:val="22"/>
          <w:szCs w:val="22"/>
        </w:rPr>
      </w:pPr>
      <w:r w:rsidRPr="006D6D6B">
        <w:rPr>
          <w:b/>
          <w:bCs/>
          <w:sz w:val="22"/>
          <w:szCs w:val="22"/>
        </w:rPr>
        <w:t>Introducing short, structured support for parents of children with health or developmental needs awaiting specialist help</w:t>
      </w:r>
      <w:r w:rsidRPr="006D6D6B">
        <w:rPr>
          <w:sz w:val="22"/>
          <w:szCs w:val="22"/>
        </w:rPr>
        <w:t xml:space="preserve"> e.g. deliver support through Family Hubs and online platforms, cofacilitated by professionals and trained parents; creating onward opportunities for informal peer support, countering isolation by connecting parents with others in similar situations; promoting support through Family Hubs, schools, CAMHS and SEND services to reach families early and ensure equitable access.</w:t>
      </w:r>
    </w:p>
    <w:p w:rsidR="00E152BF" w:rsidRPr="006D6D6B" w:rsidP="00D72893">
      <w:pPr>
        <w:rPr>
          <w:b/>
          <w:bCs/>
          <w:sz w:val="22"/>
          <w:szCs w:val="22"/>
        </w:rPr>
      </w:pPr>
    </w:p>
    <w:p w:rsidR="00E152BF" w:rsidRPr="006D6D6B" w:rsidP="001939B9">
      <w:pPr>
        <w:rPr>
          <w:b/>
          <w:bCs/>
        </w:rPr>
      </w:pPr>
      <w:r w:rsidRPr="006D6D6B">
        <w:rPr>
          <w:b/>
          <w:bCs/>
        </w:rPr>
        <w:t>What evidence is there that effective delivery of mental health support for children and young people in education settings and open-access provision reduces demand on Child and Adolescent Mental Health Services (CAMHS) and acute NHS services? </w:t>
      </w:r>
    </w:p>
    <w:p w:rsidR="00E152BF" w:rsidRPr="006D6D6B" w:rsidP="00F06100">
      <w:pPr>
        <w:numPr>
          <w:ilvl w:val="0"/>
          <w:numId w:val="13"/>
        </w:numPr>
        <w:rPr>
          <w:b/>
          <w:bCs/>
        </w:rPr>
      </w:pPr>
      <w:r w:rsidRPr="006D6D6B">
        <w:rPr>
          <w:b/>
          <w:bCs/>
        </w:rPr>
        <w:t>How effective are current early</w:t>
      </w:r>
      <w:r w:rsidRPr="006D6D6B">
        <w:rPr>
          <w:b/>
          <w:bCs/>
        </w:rPr>
        <w:t xml:space="preserve"> </w:t>
      </w:r>
      <w:r w:rsidRPr="006D6D6B">
        <w:rPr>
          <w:b/>
          <w:bCs/>
        </w:rPr>
        <w:t>intervention models across health and education, in identifying mental health concerns in children and young people at the earliest possible stage?  </w:t>
      </w:r>
    </w:p>
    <w:p w:rsidR="00E152BF" w:rsidRPr="006D6D6B" w:rsidP="00F06100">
      <w:pPr>
        <w:numPr>
          <w:ilvl w:val="0"/>
          <w:numId w:val="13"/>
        </w:numPr>
      </w:pPr>
      <w:r w:rsidRPr="006D6D6B">
        <w:rPr>
          <w:b/>
          <w:bCs/>
        </w:rPr>
        <w:t>How effective are current referral pathways between education, community services and NHS services in ensuring timely and appropriate access to mental health support for children and young people?</w:t>
      </w:r>
      <w:r w:rsidRPr="006D6D6B">
        <w:t> </w:t>
      </w:r>
    </w:p>
    <w:p w:rsidR="00E152BF" w:rsidRPr="006D6D6B" w:rsidP="00F06100">
      <w:pPr>
        <w:rPr>
          <w:sz w:val="22"/>
          <w:szCs w:val="22"/>
        </w:rPr>
      </w:pPr>
      <w:r w:rsidRPr="006D6D6B">
        <w:rPr>
          <w:sz w:val="22"/>
          <w:szCs w:val="22"/>
        </w:rPr>
        <w:t>There is strong evidence that providing mental health support through education settings and community-embedded open-access hubs significantly alleviates the burden on acute NHS services and CAMHS.</w:t>
      </w:r>
    </w:p>
    <w:p w:rsidR="00E152BF" w:rsidRPr="006D6D6B" w:rsidP="00F06100">
      <w:pPr>
        <w:rPr>
          <w:sz w:val="22"/>
          <w:szCs w:val="22"/>
        </w:rPr>
      </w:pPr>
      <w:r w:rsidRPr="006D6D6B">
        <w:rPr>
          <w:sz w:val="22"/>
          <w:szCs w:val="22"/>
        </w:rPr>
        <w:t>For example, The Nest (an open-access, early-intervention youth mental health hub in Southwark for 4- to 25-year-olds) allows children and young people to self-refer or be referred by professionals (teachers, GPs, social workers), with all referrals triaged within one working week. Impact on Urban Health funded an evaluation of the hub’s effectiveness.</w:t>
      </w:r>
      <w:r>
        <w:rPr>
          <w:rStyle w:val="FootnoteReference"/>
          <w:sz w:val="22"/>
          <w:szCs w:val="22"/>
        </w:rPr>
        <w:footnoteReference w:id="9"/>
      </w:r>
    </w:p>
    <w:p w:rsidR="00E152BF" w:rsidRPr="006D6D6B" w:rsidP="00F06100">
      <w:pPr>
        <w:rPr>
          <w:sz w:val="22"/>
          <w:szCs w:val="22"/>
        </w:rPr>
      </w:pPr>
      <w:r w:rsidRPr="006D6D6B">
        <w:rPr>
          <w:sz w:val="22"/>
          <w:szCs w:val="22"/>
        </w:rPr>
        <w:t>Wait times between referral and treatment at The Nest average just 3.5 months, compared to 12 to 18 months at the local CAMHS. 64% of young people aged 11 to 25 achieved a reliable improvement in psychological distress, a very positive indication of an effective service. This demonstrates that community hubs can effectively treat issues before they escalate to acute NHS services.</w:t>
      </w:r>
    </w:p>
    <w:p w:rsidR="00E152BF" w:rsidRPr="006D6D6B" w:rsidP="00F06100">
      <w:pPr>
        <w:rPr>
          <w:sz w:val="22"/>
          <w:szCs w:val="22"/>
        </w:rPr>
      </w:pPr>
      <w:r w:rsidRPr="006D6D6B">
        <w:rPr>
          <w:sz w:val="22"/>
          <w:szCs w:val="22"/>
        </w:rPr>
        <w:t>In-school interventions can also show quantifiable success. For example, Place2Be’s one-to-one counselling in schools (such as the provision at Surrey Square Primary School) has been shown to deliver an average 2.1 point reduction in Strengths and Difficulties Questionnaire (SDQ) scores compared to control groups.</w:t>
      </w:r>
      <w:r>
        <w:rPr>
          <w:rStyle w:val="FootnoteReference"/>
          <w:sz w:val="22"/>
          <w:szCs w:val="22"/>
        </w:rPr>
        <w:footnoteReference w:id="10"/>
      </w:r>
      <w:r w:rsidRPr="006D6D6B">
        <w:rPr>
          <w:sz w:val="22"/>
          <w:szCs w:val="22"/>
        </w:rPr>
        <w:t xml:space="preserve"> By addressing emotional and behavioural difficulties early within the school environment, these interventions reduce the likelihood of children requiring specialist clinical psychiatric care later on, benefiting both the children themselves and the capacity of NHS services.</w:t>
      </w:r>
    </w:p>
    <w:p w:rsidR="00E152BF" w:rsidRPr="006D6D6B" w:rsidP="00F06100">
      <w:pPr>
        <w:rPr>
          <w:sz w:val="22"/>
          <w:szCs w:val="22"/>
        </w:rPr>
      </w:pPr>
      <w:r w:rsidRPr="006D6D6B">
        <w:rPr>
          <w:sz w:val="22"/>
          <w:szCs w:val="22"/>
        </w:rPr>
        <w:t>Alongside direct interventions, shared tools that strengthen communication across services can also support early identification. For example, Oval Learning has developed a Parent Child “Building Our Village Journal”, a shared record held by both the parent and child to enable information sharing across education, health, social care and voluntary sector services. This helps families avoid repeatedly retelling their story, keeps track of meetings and outcomes, and helps identify and strengthen a child’s net</w:t>
      </w:r>
      <w:r w:rsidRPr="006D6D6B">
        <w:rPr>
          <w:sz w:val="22"/>
          <w:szCs w:val="22"/>
        </w:rPr>
        <w:t>work of trusted adults.</w:t>
      </w:r>
    </w:p>
    <w:p w:rsidR="00E152BF" w:rsidRPr="006D6D6B" w:rsidP="00912CC1">
      <w:pPr>
        <w:rPr>
          <w:sz w:val="22"/>
          <w:szCs w:val="22"/>
        </w:rPr>
      </w:pPr>
      <w:r w:rsidRPr="006D6D6B">
        <w:rPr>
          <w:b/>
          <w:bCs/>
          <w:sz w:val="22"/>
          <w:szCs w:val="22"/>
        </w:rPr>
        <w:t>Effectiveness of current early-intervention models</w:t>
      </w:r>
    </w:p>
    <w:p w:rsidR="00E152BF" w:rsidRPr="006D6D6B" w:rsidP="00912CC1">
      <w:pPr>
        <w:rPr>
          <w:sz w:val="22"/>
          <w:szCs w:val="22"/>
        </w:rPr>
      </w:pPr>
      <w:r w:rsidRPr="006D6D6B">
        <w:rPr>
          <w:sz w:val="22"/>
          <w:szCs w:val="22"/>
        </w:rPr>
        <w:t>The effectiveness of early intervention is highly dependent on the model used and the cultural competency of the professionals involved. Early support hubs like The Nest are highly effective because they remove clinical barriers. </w:t>
      </w:r>
    </w:p>
    <w:p w:rsidR="00E152BF" w:rsidRPr="006D6D6B" w:rsidP="00912CC1">
      <w:pPr>
        <w:rPr>
          <w:sz w:val="22"/>
          <w:szCs w:val="22"/>
        </w:rPr>
      </w:pPr>
      <w:r w:rsidRPr="006D6D6B">
        <w:rPr>
          <w:sz w:val="22"/>
          <w:szCs w:val="22"/>
        </w:rPr>
        <w:t xml:space="preserve">However, outside of these targeted hubs, current early-intervention models across health and education often fail to identify concerns accurately, particularly for minority groups. Impact on Urban </w:t>
      </w:r>
      <w:r w:rsidRPr="006D6D6B">
        <w:rPr>
          <w:sz w:val="22"/>
          <w:szCs w:val="22"/>
        </w:rPr>
        <w:t xml:space="preserve">Health </w:t>
      </w:r>
      <w:r w:rsidRPr="006D6D6B">
        <w:rPr>
          <w:sz w:val="22"/>
          <w:szCs w:val="22"/>
        </w:rPr>
        <w:t>partnered</w:t>
      </w:r>
      <w:r w:rsidRPr="006D6D6B">
        <w:rPr>
          <w:sz w:val="22"/>
          <w:szCs w:val="22"/>
        </w:rPr>
        <w:t xml:space="preserve"> with Global </w:t>
      </w:r>
      <w:r w:rsidRPr="006D6D6B">
        <w:rPr>
          <w:sz w:val="22"/>
          <w:szCs w:val="22"/>
        </w:rPr>
        <w:t>Child and</w:t>
      </w:r>
      <w:r w:rsidRPr="006D6D6B">
        <w:rPr>
          <w:sz w:val="22"/>
          <w:szCs w:val="22"/>
        </w:rPr>
        <w:t xml:space="preserve"> Maternal Health </w:t>
      </w:r>
      <w:r w:rsidRPr="006D6D6B">
        <w:rPr>
          <w:sz w:val="22"/>
          <w:szCs w:val="22"/>
        </w:rPr>
        <w:t>to explore</w:t>
      </w:r>
      <w:r w:rsidRPr="006D6D6B">
        <w:rPr>
          <w:sz w:val="22"/>
          <w:szCs w:val="22"/>
        </w:rPr>
        <w:t xml:space="preserve"> the experiences of Black children with Special Educational Needs and Disabilities (SEND).</w:t>
      </w:r>
      <w:r>
        <w:rPr>
          <w:rStyle w:val="FootnoteReference"/>
          <w:sz w:val="22"/>
          <w:szCs w:val="22"/>
        </w:rPr>
        <w:footnoteReference w:id="11"/>
      </w:r>
      <w:r w:rsidRPr="006D6D6B">
        <w:rPr>
          <w:sz w:val="22"/>
          <w:szCs w:val="22"/>
        </w:rPr>
        <w:t xml:space="preserve"> The research reveals severe diagnostic flaws</w:t>
      </w:r>
      <w:r w:rsidRPr="006D6D6B">
        <w:rPr>
          <w:sz w:val="22"/>
          <w:szCs w:val="22"/>
        </w:rPr>
        <w:t xml:space="preserve"> - </w:t>
      </w:r>
      <w:r w:rsidRPr="006D6D6B">
        <w:rPr>
          <w:sz w:val="22"/>
          <w:szCs w:val="22"/>
        </w:rPr>
        <w:t>frequently misidentified by teachers as "bad behaviour" or disruption</w:t>
      </w:r>
      <w:r w:rsidRPr="006D6D6B">
        <w:rPr>
          <w:sz w:val="22"/>
          <w:szCs w:val="22"/>
        </w:rPr>
        <w:t xml:space="preserve"> - </w:t>
      </w:r>
      <w:r w:rsidRPr="006D6D6B">
        <w:rPr>
          <w:sz w:val="22"/>
          <w:szCs w:val="22"/>
        </w:rPr>
        <w:t>leading to exclusion rather than early mental health intervention. There is a lack of training for teaching staff to identify the indicators of underlying mental health or SEND needs.</w:t>
      </w:r>
    </w:p>
    <w:p w:rsidR="00E152BF" w:rsidRPr="006D6D6B" w:rsidP="00912CC1">
      <w:pPr>
        <w:rPr>
          <w:sz w:val="22"/>
          <w:szCs w:val="22"/>
        </w:rPr>
      </w:pPr>
      <w:r w:rsidRPr="006D6D6B">
        <w:rPr>
          <w:sz w:val="22"/>
          <w:szCs w:val="22"/>
        </w:rPr>
        <w:t>Greater systematic collaboration between mainstream and special schools could also strengthen early identification and mental health supportive practice. Structured opportunities such as joint continuing professional development, job shadowing and site visits would allow staff to share expertise and approaches, particularly in supporting children with SEND and complex needs.</w:t>
      </w:r>
    </w:p>
    <w:p w:rsidR="00E152BF" w:rsidRPr="006D6D6B" w:rsidP="00574025">
      <w:pPr>
        <w:rPr>
          <w:sz w:val="22"/>
          <w:szCs w:val="22"/>
        </w:rPr>
      </w:pPr>
      <w:r w:rsidRPr="006D6D6B">
        <w:rPr>
          <w:b/>
          <w:bCs/>
          <w:sz w:val="22"/>
          <w:szCs w:val="22"/>
        </w:rPr>
        <w:t>Effectiveness of current referral pathways</w:t>
      </w:r>
    </w:p>
    <w:p w:rsidR="00E152BF" w:rsidRPr="006D6D6B" w:rsidP="00574025">
      <w:pPr>
        <w:rPr>
          <w:sz w:val="22"/>
          <w:szCs w:val="22"/>
        </w:rPr>
      </w:pPr>
      <w:r w:rsidRPr="006D6D6B">
        <w:rPr>
          <w:sz w:val="22"/>
          <w:szCs w:val="22"/>
        </w:rPr>
        <w:t>Currently, standard referral pathways between education, community services, and the NHS are heavily fragmented, though local "anchor" models provide a blueprint for how to fix this.</w:t>
      </w:r>
    </w:p>
    <w:p w:rsidR="00E152BF" w:rsidRPr="006D6D6B" w:rsidP="00574025">
      <w:pPr>
        <w:rPr>
          <w:sz w:val="22"/>
          <w:szCs w:val="22"/>
        </w:rPr>
      </w:pPr>
      <w:r w:rsidRPr="006D6D6B">
        <w:rPr>
          <w:sz w:val="22"/>
          <w:szCs w:val="22"/>
        </w:rPr>
        <w:t>Parents report that professionals across different agencies simply do not communicate with each other. Consequently, care coordination pressure is felt on the families, with parents having to act as messengers between paediatricians, schools, and appointment teams. </w:t>
      </w:r>
    </w:p>
    <w:p w:rsidR="00E152BF" w:rsidRPr="006D6D6B" w:rsidP="00574025">
      <w:pPr>
        <w:rPr>
          <w:sz w:val="22"/>
          <w:szCs w:val="22"/>
        </w:rPr>
      </w:pPr>
      <w:r w:rsidRPr="006D6D6B">
        <w:rPr>
          <w:sz w:val="22"/>
          <w:szCs w:val="22"/>
        </w:rPr>
        <w:t xml:space="preserve">One practical improvement would be to introduce automatic voluntary and community sector signposting when a child is referred to CAMHS. When a child is placed on a waiting list, families could receive an </w:t>
      </w:r>
      <w:r w:rsidRPr="006D6D6B">
        <w:rPr>
          <w:sz w:val="22"/>
          <w:szCs w:val="22"/>
        </w:rPr>
        <w:t>area-based</w:t>
      </w:r>
      <w:r w:rsidRPr="006D6D6B">
        <w:rPr>
          <w:sz w:val="22"/>
          <w:szCs w:val="22"/>
        </w:rPr>
        <w:t xml:space="preserve"> information pack outlining relevant local support, with the option to opt in to contact from a community provider to discuss their needs and interests. Parents could also be offered access to local peer support networks delivered by voluntary and community organisations working closely with schools and health services. Strengthening parental confidence and peer support is particularly important for families navigating SEND and can help support children’s mental health while they wait for specialist care.</w:t>
      </w:r>
    </w:p>
    <w:p w:rsidR="00E152BF" w:rsidRPr="006D6D6B" w:rsidP="00574025">
      <w:pPr>
        <w:rPr>
          <w:sz w:val="22"/>
          <w:szCs w:val="22"/>
        </w:rPr>
      </w:pPr>
      <w:r w:rsidRPr="006D6D6B">
        <w:rPr>
          <w:sz w:val="22"/>
          <w:szCs w:val="22"/>
        </w:rPr>
        <w:t>Where referral pathways do work effectively, it is usually because a trusted community acts as an anchor institution to be a convening "bridge." The Old Kent Road Family Zone is a highly successful example of this. Because the school is a trusted entity, it brings the NHS, the local council, and community charities directly to the families. This allows residents to access GP appointments, health advice, and housing support in a familiar, stigma-free environment, effectively bypassing the traditional, disjoi</w:t>
      </w:r>
      <w:r w:rsidRPr="006D6D6B">
        <w:rPr>
          <w:sz w:val="22"/>
          <w:szCs w:val="22"/>
        </w:rPr>
        <w:t>nted referral maze.</w:t>
      </w:r>
      <w:r>
        <w:rPr>
          <w:rStyle w:val="FootnoteReference"/>
          <w:sz w:val="22"/>
          <w:szCs w:val="22"/>
        </w:rPr>
        <w:footnoteReference w:id="12"/>
      </w:r>
    </w:p>
    <w:p w:rsidR="00E152BF" w:rsidRPr="006D6D6B" w:rsidP="00574025">
      <w:pPr>
        <w:rPr>
          <w:sz w:val="22"/>
          <w:szCs w:val="22"/>
        </w:rPr>
      </w:pPr>
    </w:p>
    <w:p w:rsidR="00E152BF" w:rsidRPr="006D6D6B" w:rsidP="00574025">
      <w:pPr>
        <w:rPr>
          <w:b/>
          <w:bCs/>
        </w:rPr>
      </w:pPr>
      <w:r w:rsidRPr="006D6D6B">
        <w:rPr>
          <w:b/>
          <w:bCs/>
        </w:rPr>
        <w:t>How well do current pathways link to delivery of SEND services? What changes would most effectively strengthen referral pathways for children with SEND?</w:t>
      </w:r>
    </w:p>
    <w:p w:rsidR="00E152BF" w:rsidRPr="006D6D6B" w:rsidP="00E541CE">
      <w:pPr>
        <w:rPr>
          <w:sz w:val="22"/>
          <w:szCs w:val="22"/>
        </w:rPr>
      </w:pPr>
      <w:r w:rsidRPr="006D6D6B">
        <w:rPr>
          <w:sz w:val="22"/>
          <w:szCs w:val="22"/>
        </w:rPr>
        <w:t>Current referral pathways are highly fragmented, difficult to navigate, and place an immense burden on families. The Black Child SEND report by Global Child and Maternal Health, one of our partners, highlights that pathways are failing to link seamlessly to service delivery.</w:t>
      </w:r>
      <w:r>
        <w:rPr>
          <w:rStyle w:val="FootnoteReference"/>
          <w:sz w:val="22"/>
          <w:szCs w:val="22"/>
        </w:rPr>
        <w:footnoteReference w:id="13"/>
      </w:r>
    </w:p>
    <w:p w:rsidR="00E152BF" w:rsidRPr="006D6D6B" w:rsidP="00E541CE">
      <w:pPr>
        <w:rPr>
          <w:sz w:val="22"/>
          <w:szCs w:val="22"/>
        </w:rPr>
      </w:pPr>
      <w:r w:rsidRPr="006D6D6B">
        <w:rPr>
          <w:sz w:val="22"/>
          <w:szCs w:val="22"/>
        </w:rPr>
        <w:t>Only 29% of surveyed parents in South London felt that professionals worked well together. Parents report that agencies operating in the same building often fail to communicate, forcing parents to act as messengers between paediatricians, schools, and appointment teams.</w:t>
      </w:r>
    </w:p>
    <w:p w:rsidR="00E152BF" w:rsidRPr="006D6D6B" w:rsidP="00E541CE">
      <w:pPr>
        <w:rPr>
          <w:sz w:val="22"/>
          <w:szCs w:val="22"/>
        </w:rPr>
      </w:pPr>
      <w:r w:rsidRPr="006D6D6B">
        <w:rPr>
          <w:sz w:val="22"/>
          <w:szCs w:val="22"/>
        </w:rPr>
        <w:t>59% of parents found it difficult to even begin the SEND support process, and 53% reported being unhappy with the overall process. Parents frequently describe securing support as a "fight" or "combat," requiring huge personal sacrifices to advocate for their child.</w:t>
      </w:r>
    </w:p>
    <w:p w:rsidR="00E152BF" w:rsidRPr="006D6D6B" w:rsidP="00E541CE">
      <w:pPr>
        <w:rPr>
          <w:sz w:val="22"/>
          <w:szCs w:val="22"/>
        </w:rPr>
      </w:pPr>
      <w:r w:rsidRPr="006D6D6B">
        <w:rPr>
          <w:sz w:val="22"/>
          <w:szCs w:val="22"/>
        </w:rPr>
        <w:t>The pathways are particularly ineffective for Black and mixed-heritage children. Despite being over-represented for SEND, Black children are less likely to receive adequate support. Many teachers lack adequate SEND training and cultural competency around neurodivergent traits, for example misunderstanding and punishing self-stimulatory behaviour to regulate emotions.</w:t>
      </w:r>
    </w:p>
    <w:p w:rsidR="00E152BF" w:rsidRPr="006D6D6B" w:rsidP="00E541CE">
      <w:pPr>
        <w:rPr>
          <w:b/>
          <w:bCs/>
          <w:sz w:val="22"/>
          <w:szCs w:val="22"/>
        </w:rPr>
      </w:pPr>
      <w:r w:rsidRPr="006D6D6B">
        <w:rPr>
          <w:b/>
          <w:bCs/>
          <w:sz w:val="22"/>
          <w:szCs w:val="22"/>
        </w:rPr>
        <w:t>Potential changes to strengthen referral pathways for children with SEND</w:t>
      </w:r>
    </w:p>
    <w:p w:rsidR="00E152BF" w:rsidRPr="006D6D6B" w:rsidP="00213AAB">
      <w:pPr>
        <w:rPr>
          <w:sz w:val="22"/>
          <w:szCs w:val="22"/>
        </w:rPr>
      </w:pPr>
      <w:r w:rsidRPr="006D6D6B">
        <w:rPr>
          <w:sz w:val="22"/>
          <w:szCs w:val="22"/>
        </w:rPr>
        <w:t>To fix these disjointed pathways and ensure equitable access, we recommend several systemic changes:</w:t>
      </w:r>
    </w:p>
    <w:p w:rsidR="00E152BF" w:rsidRPr="006D6D6B" w:rsidP="00213AAB">
      <w:pPr>
        <w:numPr>
          <w:ilvl w:val="0"/>
          <w:numId w:val="14"/>
        </w:numPr>
        <w:rPr>
          <w:sz w:val="22"/>
          <w:szCs w:val="22"/>
        </w:rPr>
      </w:pPr>
      <w:r w:rsidRPr="006D6D6B">
        <w:rPr>
          <w:sz w:val="22"/>
          <w:szCs w:val="22"/>
        </w:rPr>
        <w:t>Local Authorities must outline and embed strict cross-agency working practices (such as the ‘team around the child/family’ approach) with a named lead professional to coordinate their care across services.</w:t>
      </w:r>
    </w:p>
    <w:p w:rsidR="00E152BF" w:rsidRPr="006D6D6B" w:rsidP="00213AAB">
      <w:pPr>
        <w:numPr>
          <w:ilvl w:val="0"/>
          <w:numId w:val="14"/>
        </w:numPr>
        <w:rPr>
          <w:sz w:val="22"/>
          <w:szCs w:val="22"/>
        </w:rPr>
      </w:pPr>
      <w:r w:rsidRPr="006D6D6B">
        <w:rPr>
          <w:sz w:val="22"/>
          <w:szCs w:val="22"/>
        </w:rPr>
        <w:t>To help families navigate the complex Education, Health and Care (EHC) plan process, there must be expanded access to independent SEND advocates and supporters for all families.</w:t>
      </w:r>
    </w:p>
    <w:p w:rsidR="00E152BF" w:rsidRPr="006D6D6B" w:rsidP="00213AAB">
      <w:pPr>
        <w:numPr>
          <w:ilvl w:val="0"/>
          <w:numId w:val="14"/>
        </w:numPr>
        <w:rPr>
          <w:sz w:val="22"/>
          <w:szCs w:val="22"/>
        </w:rPr>
      </w:pPr>
      <w:r w:rsidRPr="006D6D6B">
        <w:rPr>
          <w:sz w:val="22"/>
          <w:szCs w:val="22"/>
        </w:rPr>
        <w:t>To ensure needs are identified accurately and early, the Initial Teacher Training Core Content Framework must be updated to close gaps in SEND knowledge. All current teaching staff should be required to undertake mandatory SEND awareness training.</w:t>
      </w:r>
    </w:p>
    <w:p w:rsidR="00E152BF" w:rsidRPr="006D6D6B" w:rsidP="00213AAB">
      <w:pPr>
        <w:numPr>
          <w:ilvl w:val="0"/>
          <w:numId w:val="14"/>
        </w:numPr>
        <w:rPr>
          <w:sz w:val="22"/>
          <w:szCs w:val="22"/>
        </w:rPr>
      </w:pPr>
      <w:r w:rsidRPr="006D6D6B">
        <w:rPr>
          <w:sz w:val="22"/>
          <w:szCs w:val="22"/>
        </w:rPr>
        <w:t>Professionals across health, social care, and education should receive ongoing training on socio-cultural differences in SEND to eliminate discriminatory attitudes.</w:t>
      </w:r>
    </w:p>
    <w:p w:rsidR="00E152BF" w:rsidRPr="006D6D6B" w:rsidP="00213AAB">
      <w:pPr>
        <w:numPr>
          <w:ilvl w:val="0"/>
          <w:numId w:val="14"/>
        </w:numPr>
        <w:rPr>
          <w:sz w:val="22"/>
          <w:szCs w:val="22"/>
        </w:rPr>
      </w:pPr>
      <w:r w:rsidRPr="006D6D6B">
        <w:rPr>
          <w:sz w:val="22"/>
          <w:szCs w:val="22"/>
        </w:rPr>
        <w:t>Families should be provided with clearer information regarding SEND processes, their legal rights, entitlements, and how to navigate formal appeals and complaints at the very start of the support journey.</w:t>
      </w:r>
    </w:p>
    <w:p w:rsidR="00E152BF" w:rsidRPr="006D6D6B" w:rsidP="00213AAB">
      <w:pPr>
        <w:numPr>
          <w:ilvl w:val="0"/>
          <w:numId w:val="14"/>
        </w:numPr>
        <w:rPr>
          <w:sz w:val="22"/>
          <w:szCs w:val="22"/>
        </w:rPr>
      </w:pPr>
      <w:r w:rsidRPr="006D6D6B">
        <w:rPr>
          <w:sz w:val="22"/>
          <w:szCs w:val="22"/>
        </w:rPr>
        <w:t>Automatic voluntary and community sector signposting when a child is referred to CAMHS. This will accelerate access to relevant local support. This is particularly important for families navigating SEND, neurodivergence and attachment challenges, who often face long waits for specialist care. </w:t>
      </w:r>
    </w:p>
    <w:p w:rsidR="00E152BF" w:rsidRPr="006D6D6B" w:rsidP="00213AAB">
      <w:pPr>
        <w:numPr>
          <w:ilvl w:val="0"/>
          <w:numId w:val="14"/>
        </w:numPr>
        <w:rPr>
          <w:sz w:val="22"/>
          <w:szCs w:val="22"/>
        </w:rPr>
      </w:pPr>
      <w:r w:rsidRPr="006D6D6B">
        <w:rPr>
          <w:sz w:val="22"/>
          <w:szCs w:val="22"/>
        </w:rPr>
        <w:t xml:space="preserve">Shifting investment further upstream into the early years. Supporting secure attachment, co-regulation and family stability in the 0 to 5 period is more effective than waiting until adolescence to intervene - when it is too clinically reactive. As national programmes such as Mental Health Support Teams and Young Futures Hubs expand, their impact will also do better when connected with local </w:t>
      </w:r>
      <w:r w:rsidRPr="006D6D6B">
        <w:rPr>
          <w:sz w:val="22"/>
          <w:szCs w:val="22"/>
        </w:rPr>
        <w:t>place-based</w:t>
      </w:r>
      <w:r w:rsidRPr="006D6D6B">
        <w:rPr>
          <w:sz w:val="22"/>
          <w:szCs w:val="22"/>
        </w:rPr>
        <w:t xml:space="preserve"> ecosystems, including schools and voluntary organisations, and therefore funding models should reflect these ‘bridging’ roles too.</w:t>
      </w:r>
    </w:p>
    <w:p w:rsidR="00E152BF" w:rsidRPr="006D6D6B" w:rsidP="00E541CE">
      <w:pPr>
        <w:rPr>
          <w:sz w:val="22"/>
          <w:szCs w:val="22"/>
        </w:rPr>
      </w:pPr>
    </w:p>
    <w:p w:rsidR="00E152BF" w:rsidRPr="006D6D6B" w:rsidP="007E46B8">
      <w:pPr>
        <w:rPr>
          <w:b/>
          <w:bCs/>
        </w:rPr>
      </w:pPr>
      <w:r w:rsidRPr="006D6D6B">
        <w:rPr>
          <w:b/>
          <w:bCs/>
        </w:rPr>
        <w:t>What practical barriers affect joint working between education settings, local authorities, NHS services and voluntary and community sector organisations in supporting children and young people’s mental health, and how could these be addressed? </w:t>
      </w:r>
    </w:p>
    <w:p w:rsidR="00E152BF" w:rsidRPr="006D6D6B" w:rsidP="00355E0A">
      <w:pPr>
        <w:pStyle w:val="ListParagraph"/>
        <w:numPr>
          <w:ilvl w:val="0"/>
          <w:numId w:val="16"/>
        </w:numPr>
        <w:rPr>
          <w:b/>
          <w:bCs/>
        </w:rPr>
      </w:pPr>
      <w:r w:rsidRPr="006D6D6B">
        <w:rPr>
          <w:b/>
          <w:bCs/>
        </w:rPr>
        <w:t xml:space="preserve">How can education-based, voluntary and community, and health workforces collaborate to optimise the mental health workforce and ensure sufficient support for children within capacity constraints? </w:t>
      </w:r>
    </w:p>
    <w:p w:rsidR="00E152BF" w:rsidRPr="006D6D6B" w:rsidP="007E46B8">
      <w:pPr>
        <w:rPr>
          <w:sz w:val="22"/>
          <w:szCs w:val="22"/>
        </w:rPr>
      </w:pPr>
      <w:r w:rsidRPr="006D6D6B">
        <w:rPr>
          <w:sz w:val="22"/>
          <w:szCs w:val="22"/>
        </w:rPr>
        <w:t xml:space="preserve">Services are currently too siloed. Agencies work in isolation, leaving parents to act as messengers between schools, the NHS and local authorities. Communities often </w:t>
      </w:r>
      <w:r w:rsidRPr="006D6D6B">
        <w:rPr>
          <w:sz w:val="22"/>
          <w:szCs w:val="22"/>
        </w:rPr>
        <w:t>lack trust in</w:t>
      </w:r>
      <w:r w:rsidRPr="006D6D6B">
        <w:rPr>
          <w:sz w:val="22"/>
          <w:szCs w:val="22"/>
        </w:rPr>
        <w:t xml:space="preserve"> statutory services, especially where there are barriers and friction due to fragmented responses, or if they have experienced interventions that are imposed on them rather than developed with them. Finally, precarious and short-term funding forces interventions and collaboration that may be reactive rather than preventative. </w:t>
      </w:r>
    </w:p>
    <w:p w:rsidR="00E152BF" w:rsidRPr="006D6D6B" w:rsidP="007E46B8">
      <w:pPr>
        <w:rPr>
          <w:sz w:val="22"/>
          <w:szCs w:val="22"/>
        </w:rPr>
      </w:pPr>
      <w:r w:rsidRPr="006D6D6B">
        <w:rPr>
          <w:sz w:val="22"/>
          <w:szCs w:val="22"/>
        </w:rPr>
        <w:t>A ‘whole school approach’ is needed. Schools are well-placed to facilitate other support services, given their role as trusted anchor institutions. For this to happen effectively, strong and empowering leadership is essential from school leaders, given the specific culture and practice shift needed, as well as coordinating with other partners so that schools don’t act alone as a fourth emergency service. The previously quoted OKRFZ is a good example of strong leadership that has enabled interventions at sca</w:t>
      </w:r>
      <w:r w:rsidRPr="006D6D6B">
        <w:rPr>
          <w:sz w:val="22"/>
          <w:szCs w:val="22"/>
        </w:rPr>
        <w:t xml:space="preserve">le. </w:t>
      </w:r>
    </w:p>
    <w:p w:rsidR="00E152BF" w:rsidRPr="006D6D6B" w:rsidP="007E46B8">
      <w:pPr>
        <w:rPr>
          <w:sz w:val="22"/>
          <w:szCs w:val="22"/>
        </w:rPr>
      </w:pPr>
      <w:r w:rsidRPr="006D6D6B">
        <w:rPr>
          <w:sz w:val="22"/>
          <w:szCs w:val="22"/>
        </w:rPr>
        <w:t>Through targeted training – for example the Big Education Leadership Programme – leaders can be equipped to shift from being the "sole experts" to acting as facilitators who coordinate solutions with health and voluntary partners.</w:t>
      </w:r>
    </w:p>
    <w:p w:rsidR="00E152BF" w:rsidP="007E46B8">
      <w:pPr>
        <w:rPr>
          <w:sz w:val="22"/>
          <w:szCs w:val="22"/>
        </w:rPr>
      </w:pPr>
      <w:r w:rsidRPr="006D6D6B">
        <w:rPr>
          <w:sz w:val="22"/>
          <w:szCs w:val="22"/>
        </w:rPr>
        <w:t>Success requires long-term commitment, meaning proper and flexible core funding (such as the five-year funding OKRFZ received) to allow partners to focus on sustainable, systemic change.</w:t>
      </w:r>
    </w:p>
    <w:p w:rsidR="006D6D6B" w:rsidP="007E46B8">
      <w:pPr>
        <w:rPr>
          <w:sz w:val="22"/>
          <w:szCs w:val="22"/>
        </w:rPr>
      </w:pPr>
    </w:p>
    <w:p w:rsidR="006D6D6B" w:rsidRPr="006D6D6B" w:rsidP="007E46B8">
      <w:pPr>
        <w:rPr>
          <w:b/>
          <w:bCs/>
          <w:i/>
          <w:iCs/>
          <w:sz w:val="22"/>
          <w:szCs w:val="22"/>
        </w:rPr>
      </w:pPr>
      <w:r w:rsidRPr="006D6D6B">
        <w:rPr>
          <w:b/>
          <w:bCs/>
          <w:i/>
          <w:iCs/>
          <w:sz w:val="22"/>
          <w:szCs w:val="22"/>
        </w:rPr>
        <w:t>March 2026</w:t>
      </w:r>
    </w:p>
    <w:sectPr w:rsidSect="004A4F2A">
      <w:pgSz w:w="11906" w:h="16838"/>
      <w:pgMar w:top="1440" w:right="1440" w:bottom="1440" w:left="1440" w:header="1531" w:footer="51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152BF" w:rsidP="00370F8E">
      <w:pPr>
        <w:spacing w:after="0" w:line="240" w:lineRule="auto"/>
      </w:pPr>
      <w:r>
        <w:separator/>
      </w:r>
    </w:p>
  </w:footnote>
  <w:footnote w:type="continuationSeparator" w:id="1">
    <w:p w:rsidR="00E152BF" w:rsidP="00370F8E">
      <w:pPr>
        <w:spacing w:after="0" w:line="240" w:lineRule="auto"/>
      </w:pPr>
      <w:r>
        <w:continuationSeparator/>
      </w:r>
    </w:p>
  </w:footnote>
  <w:footnote w:id="2">
    <w:p w:rsidR="00E152BF">
      <w:pPr>
        <w:pStyle w:val="FootnoteText"/>
      </w:pPr>
      <w:r>
        <w:rPr>
          <w:rStyle w:val="FootnoteReference"/>
        </w:rPr>
        <w:footnoteRef/>
      </w:r>
      <w:r>
        <w:t xml:space="preserve"> L</w:t>
      </w:r>
      <w:r w:rsidRPr="00A42F4B">
        <w:t>ocal Government Association, “</w:t>
      </w:r>
      <w:r>
        <w:fldChar w:fldCharType="begin"/>
      </w:r>
      <w:r>
        <w:instrText xml:space="preserve"> HYPERLINK "https://www.local.gov.uk/case-studies/old-kent-road-family-zone-community-led-approach-tackling-health-inequalities-london" \l "learning-and-next-steps-" </w:instrText>
      </w:r>
      <w:r>
        <w:fldChar w:fldCharType="separate"/>
      </w:r>
      <w:r w:rsidRPr="00A42F4B">
        <w:rPr>
          <w:rStyle w:val="Hyperlink"/>
        </w:rPr>
        <w:t>Old Kent Road Family Zone: A Community-Led Approach to Tackling Health Inequalities: London Borough of Southwark</w:t>
      </w:r>
      <w:r>
        <w:fldChar w:fldCharType="end"/>
      </w:r>
      <w:r w:rsidRPr="00A42F4B">
        <w:t>” (Feb 2026)</w:t>
      </w:r>
    </w:p>
  </w:footnote>
  <w:footnote w:id="3">
    <w:p w:rsidR="00E152BF">
      <w:pPr>
        <w:pStyle w:val="FootnoteText"/>
      </w:pPr>
      <w:r>
        <w:rPr>
          <w:rStyle w:val="FootnoteReference"/>
        </w:rPr>
        <w:footnoteRef/>
      </w:r>
      <w:r>
        <w:t xml:space="preserve"> </w:t>
      </w:r>
      <w:r w:rsidRPr="00B61B4E">
        <w:t>Big Education, “</w:t>
      </w:r>
      <w:r>
        <w:fldChar w:fldCharType="begin"/>
      </w:r>
      <w:r>
        <w:instrText xml:space="preserve"> HYPERLINK "https://bigeducation.org/family-zones/" </w:instrText>
      </w:r>
      <w:r>
        <w:fldChar w:fldCharType="separate"/>
      </w:r>
      <w:r w:rsidRPr="00B61B4E">
        <w:rPr>
          <w:rStyle w:val="Hyperlink"/>
        </w:rPr>
        <w:t>Family Zones</w:t>
      </w:r>
      <w:r>
        <w:fldChar w:fldCharType="end"/>
      </w:r>
      <w:r w:rsidRPr="00B61B4E">
        <w:t>” (accessed Feb 2026)</w:t>
      </w:r>
    </w:p>
  </w:footnote>
  <w:footnote w:id="4">
    <w:p w:rsidR="00E152BF">
      <w:pPr>
        <w:pStyle w:val="FootnoteText"/>
      </w:pPr>
      <w:r>
        <w:rPr>
          <w:rStyle w:val="FootnoteReference"/>
        </w:rPr>
        <w:footnoteRef/>
      </w:r>
      <w:r>
        <w:t xml:space="preserve"> </w:t>
      </w:r>
      <w:r w:rsidRPr="002976EF">
        <w:t>Big Education, The Centre for Education and Youth, “</w:t>
      </w:r>
      <w:r>
        <w:fldChar w:fldCharType="begin"/>
      </w:r>
      <w:r>
        <w:instrText xml:space="preserve"> HYPERLINK "https://bigeducation.org/wp-content/uploads/2024/01/Big_Education_Rethinking_Leadership.pdf" </w:instrText>
      </w:r>
      <w:r>
        <w:fldChar w:fldCharType="separate"/>
      </w:r>
      <w:r w:rsidRPr="002976EF">
        <w:rPr>
          <w:rStyle w:val="Hyperlink"/>
        </w:rPr>
        <w:t>What else? What next? What if?</w:t>
      </w:r>
      <w:r>
        <w:fldChar w:fldCharType="end"/>
      </w:r>
      <w:r w:rsidRPr="002976EF">
        <w:t>” (2024)</w:t>
      </w:r>
    </w:p>
  </w:footnote>
  <w:footnote w:id="5">
    <w:p w:rsidR="00E152BF">
      <w:pPr>
        <w:pStyle w:val="FootnoteText"/>
      </w:pPr>
      <w:r>
        <w:rPr>
          <w:rStyle w:val="FootnoteReference"/>
        </w:rPr>
        <w:footnoteRef/>
      </w:r>
      <w:r>
        <w:t xml:space="preserve"> </w:t>
      </w:r>
      <w:r w:rsidRPr="002976EF">
        <w:t>Big Education, “</w:t>
      </w:r>
      <w:r>
        <w:fldChar w:fldCharType="begin"/>
      </w:r>
      <w:r>
        <w:instrText xml:space="preserve"> HYPERLINK "https://bigeducation.org/big-education-leadership-programme/" </w:instrText>
      </w:r>
      <w:r>
        <w:fldChar w:fldCharType="separate"/>
      </w:r>
      <w:r w:rsidRPr="002976EF">
        <w:rPr>
          <w:rStyle w:val="Hyperlink"/>
        </w:rPr>
        <w:t>Big Education Leadership Programme</w:t>
      </w:r>
      <w:r>
        <w:fldChar w:fldCharType="end"/>
      </w:r>
      <w:r w:rsidRPr="002976EF">
        <w:t>” (accessed Feb 2026)</w:t>
      </w:r>
      <w:r>
        <w:t xml:space="preserve">; </w:t>
      </w:r>
      <w:r>
        <w:t>Class 13, “</w:t>
      </w:r>
      <w:r>
        <w:fldChar w:fldCharType="begin"/>
      </w:r>
      <w:r>
        <w:instrText xml:space="preserve"> HYPERLINK "https://www.class13.org/our-programmes/" </w:instrText>
      </w:r>
      <w:r>
        <w:fldChar w:fldCharType="separate"/>
      </w:r>
      <w:r>
        <w:rPr>
          <w:rStyle w:val="Hyperlink"/>
        </w:rPr>
        <w:t>Class 13: Our Programmes</w:t>
      </w:r>
      <w:r>
        <w:fldChar w:fldCharType="end"/>
      </w:r>
      <w:r>
        <w:t>”, (accessed March 2026)</w:t>
      </w:r>
    </w:p>
  </w:footnote>
  <w:footnote w:id="6">
    <w:p w:rsidR="00E152BF">
      <w:pPr>
        <w:pStyle w:val="FootnoteText"/>
      </w:pPr>
      <w:r>
        <w:rPr>
          <w:rStyle w:val="FootnoteReference"/>
        </w:rPr>
        <w:footnoteRef/>
      </w:r>
      <w:r>
        <w:t xml:space="preserve"> </w:t>
      </w:r>
      <w:r w:rsidRPr="007211A1">
        <w:t>Big Education, The Centre for Education and Youth, “</w:t>
      </w:r>
      <w:r>
        <w:fldChar w:fldCharType="begin"/>
      </w:r>
      <w:r>
        <w:instrText xml:space="preserve"> HYPERLINK "https://bigeducation.org/wp-content/uploads/2024/01/Big_Education_Rethinking_Leadership.pdf" </w:instrText>
      </w:r>
      <w:r>
        <w:fldChar w:fldCharType="separate"/>
      </w:r>
      <w:r w:rsidRPr="007211A1">
        <w:rPr>
          <w:rStyle w:val="Hyperlink"/>
        </w:rPr>
        <w:t>What else? What next? What if?</w:t>
      </w:r>
      <w:r>
        <w:fldChar w:fldCharType="end"/>
      </w:r>
      <w:r w:rsidRPr="007211A1">
        <w:t>” (2024)</w:t>
      </w:r>
    </w:p>
  </w:footnote>
  <w:footnote w:id="7">
    <w:p w:rsidR="00E152BF">
      <w:pPr>
        <w:pStyle w:val="FootnoteText"/>
      </w:pPr>
      <w:r>
        <w:rPr>
          <w:rStyle w:val="FootnoteReference"/>
        </w:rPr>
        <w:footnoteRef/>
      </w:r>
      <w:r>
        <w:t xml:space="preserve"> </w:t>
      </w:r>
      <w:r w:rsidRPr="00D62017">
        <w:t>Centre for Evidence and Implementation, “</w:t>
      </w:r>
      <w:r>
        <w:fldChar w:fldCharType="begin"/>
      </w:r>
      <w:r>
        <w:instrText xml:space="preserve"> HYPERLINK "https://www.ceiglobal.org/work-and-insights/assessing-novel-early-intervention-service-youth-mental-health" </w:instrText>
      </w:r>
      <w:r>
        <w:fldChar w:fldCharType="separate"/>
      </w:r>
      <w:r w:rsidRPr="00D62017">
        <w:rPr>
          <w:rStyle w:val="Hyperlink"/>
        </w:rPr>
        <w:t>Assessing a novel early intervention service in youth mental health</w:t>
      </w:r>
      <w:r>
        <w:fldChar w:fldCharType="end"/>
      </w:r>
      <w:r w:rsidRPr="00D62017">
        <w:t>” (2025)</w:t>
      </w:r>
    </w:p>
  </w:footnote>
  <w:footnote w:id="8">
    <w:p w:rsidR="00E152BF">
      <w:pPr>
        <w:pStyle w:val="FootnoteText"/>
      </w:pPr>
      <w:r>
        <w:rPr>
          <w:rStyle w:val="FootnoteReference"/>
        </w:rPr>
        <w:footnoteRef/>
      </w:r>
      <w:r>
        <w:t xml:space="preserve"> </w:t>
      </w:r>
      <w:r w:rsidRPr="00F71363">
        <w:t>IPPR, “</w:t>
      </w:r>
      <w:r>
        <w:fldChar w:fldCharType="begin"/>
      </w:r>
      <w:r>
        <w:instrText xml:space="preserve"> HYPERLINK "https://www.ippr.org/articles/it-takes-a-village-childrens-health" </w:instrText>
      </w:r>
      <w:r>
        <w:fldChar w:fldCharType="separate"/>
      </w:r>
      <w:r w:rsidRPr="00F71363">
        <w:rPr>
          <w:rStyle w:val="Hyperlink"/>
        </w:rPr>
        <w:t>It takes a village: Empowering families and communities to improve children's health</w:t>
      </w:r>
      <w:r>
        <w:fldChar w:fldCharType="end"/>
      </w:r>
      <w:r w:rsidRPr="00F71363">
        <w:t>” (Nov 2025)</w:t>
      </w:r>
    </w:p>
  </w:footnote>
  <w:footnote w:id="9">
    <w:p w:rsidR="00E152BF">
      <w:pPr>
        <w:pStyle w:val="FootnoteText"/>
      </w:pPr>
      <w:r>
        <w:rPr>
          <w:rStyle w:val="FootnoteReference"/>
        </w:rPr>
        <w:footnoteRef/>
      </w:r>
      <w:r>
        <w:t xml:space="preserve"> </w:t>
      </w:r>
      <w:r w:rsidRPr="00EC3490">
        <w:t>Centre for Evidence and Implementation, “</w:t>
      </w:r>
      <w:r>
        <w:fldChar w:fldCharType="begin"/>
      </w:r>
      <w:r>
        <w:instrText xml:space="preserve"> HYPERLINK "https://www.ceiglobal.org/work-and-insights/assessing-novel-early-intervention-service-youth-mental-health" </w:instrText>
      </w:r>
      <w:r>
        <w:fldChar w:fldCharType="separate"/>
      </w:r>
      <w:r w:rsidRPr="00EC3490">
        <w:rPr>
          <w:rStyle w:val="Hyperlink"/>
        </w:rPr>
        <w:t>Assessing a novel early intervention service in youth mental health</w:t>
      </w:r>
      <w:r>
        <w:fldChar w:fldCharType="end"/>
      </w:r>
      <w:r w:rsidRPr="00EC3490">
        <w:t>” (2025)</w:t>
      </w:r>
    </w:p>
  </w:footnote>
  <w:footnote w:id="10">
    <w:p w:rsidR="00E152BF">
      <w:pPr>
        <w:pStyle w:val="FootnoteText"/>
      </w:pPr>
      <w:r>
        <w:rPr>
          <w:rStyle w:val="FootnoteReference"/>
        </w:rPr>
        <w:footnoteRef/>
      </w:r>
      <w:r>
        <w:t xml:space="preserve"> </w:t>
      </w:r>
      <w:r w:rsidRPr="0015231C">
        <w:t>Local Government Association “</w:t>
      </w:r>
      <w:r>
        <w:fldChar w:fldCharType="begin"/>
      </w:r>
      <w:r>
        <w:instrText xml:space="preserve"> HYPERLINK "https://www.local.gov.uk/case-studies/old-kent-road-family-zone-community-led-approach-tackling-health-inequalities-london" </w:instrText>
      </w:r>
      <w:r>
        <w:fldChar w:fldCharType="separate"/>
      </w:r>
      <w:r w:rsidRPr="0015231C">
        <w:rPr>
          <w:rStyle w:val="Hyperlink"/>
        </w:rPr>
        <w:t>Old Kent Road Family Zone: A Community-Led Approach to Tackling Health Inequalities: London Borough of Southwark</w:t>
      </w:r>
      <w:r>
        <w:fldChar w:fldCharType="end"/>
      </w:r>
      <w:r w:rsidRPr="0015231C">
        <w:t>” (2026)</w:t>
      </w:r>
    </w:p>
  </w:footnote>
  <w:footnote w:id="11">
    <w:p w:rsidR="00E152BF">
      <w:pPr>
        <w:pStyle w:val="FootnoteText"/>
      </w:pPr>
      <w:r>
        <w:rPr>
          <w:rStyle w:val="FootnoteReference"/>
        </w:rPr>
        <w:footnoteRef/>
      </w:r>
      <w:r>
        <w:t xml:space="preserve"> </w:t>
      </w:r>
      <w:r w:rsidRPr="00B84295">
        <w:t>Global Child and Maternal Health, “</w:t>
      </w:r>
      <w:r>
        <w:fldChar w:fldCharType="begin"/>
      </w:r>
      <w:r>
        <w:instrText xml:space="preserve"> HYPERLINK "https://globalcmh.org/projects/black-child-send/" </w:instrText>
      </w:r>
      <w:r>
        <w:fldChar w:fldCharType="separate"/>
      </w:r>
      <w:r w:rsidRPr="00B84295">
        <w:rPr>
          <w:rStyle w:val="Hyperlink"/>
        </w:rPr>
        <w:t>The Black Child SEND Report</w:t>
      </w:r>
      <w:r>
        <w:fldChar w:fldCharType="end"/>
      </w:r>
      <w:r w:rsidRPr="00B84295">
        <w:t>” (2024)</w:t>
      </w:r>
    </w:p>
  </w:footnote>
  <w:footnote w:id="12">
    <w:p w:rsidR="00E152BF">
      <w:pPr>
        <w:pStyle w:val="FootnoteText"/>
      </w:pPr>
      <w:r>
        <w:rPr>
          <w:rStyle w:val="FootnoteReference"/>
        </w:rPr>
        <w:footnoteRef/>
      </w:r>
      <w:r>
        <w:t xml:space="preserve"> </w:t>
      </w:r>
      <w:r w:rsidRPr="00574025">
        <w:t>Local Government Association “</w:t>
      </w:r>
      <w:r>
        <w:fldChar w:fldCharType="begin"/>
      </w:r>
      <w:r>
        <w:instrText xml:space="preserve"> HYPERLINK "https://www.local.gov.uk/case-studies/old-kent-road-family-zone-community-led-approach-tackling-health-inequalities-london" </w:instrText>
      </w:r>
      <w:r>
        <w:fldChar w:fldCharType="separate"/>
      </w:r>
      <w:r w:rsidRPr="00574025">
        <w:rPr>
          <w:rStyle w:val="Hyperlink"/>
        </w:rPr>
        <w:t>Old Kent Road Family Zone: A Community-Led Approach to Tackling Health Inequalities: London Borough of Southwark</w:t>
      </w:r>
      <w:r>
        <w:fldChar w:fldCharType="end"/>
      </w:r>
      <w:r w:rsidRPr="00574025">
        <w:t>” (2026)</w:t>
      </w:r>
    </w:p>
  </w:footnote>
  <w:footnote w:id="13">
    <w:p w:rsidR="00E152BF">
      <w:pPr>
        <w:pStyle w:val="FootnoteText"/>
      </w:pPr>
      <w:r>
        <w:rPr>
          <w:rStyle w:val="FootnoteReference"/>
        </w:rPr>
        <w:footnoteRef/>
      </w:r>
      <w:r>
        <w:t xml:space="preserve"> </w:t>
      </w:r>
      <w:r w:rsidRPr="006145FB">
        <w:t>Global Child and Maternal Health, “</w:t>
      </w:r>
      <w:r>
        <w:fldChar w:fldCharType="begin"/>
      </w:r>
      <w:r>
        <w:instrText xml:space="preserve"> HYPERLINK "https://globalcmh.org/projects/black-child-send/" </w:instrText>
      </w:r>
      <w:r>
        <w:fldChar w:fldCharType="separate"/>
      </w:r>
      <w:r w:rsidRPr="006145FB">
        <w:rPr>
          <w:rStyle w:val="Hyperlink"/>
        </w:rPr>
        <w:t>The Black Child SEND Report</w:t>
      </w:r>
      <w:r>
        <w:fldChar w:fldCharType="end"/>
      </w:r>
      <w:r w:rsidRPr="006145FB">
        <w:t>” (2024)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433CA8"/>
    <w:multiLevelType w:val="multilevel"/>
    <w:tmpl w:val="68D4F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07374E"/>
    <w:multiLevelType w:val="multilevel"/>
    <w:tmpl w:val="DC8C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BD22B56"/>
    <w:multiLevelType w:val="hybridMultilevel"/>
    <w:tmpl w:val="724081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F066B8F"/>
    <w:multiLevelType w:val="hybridMultilevel"/>
    <w:tmpl w:val="3208A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91F3566"/>
    <w:multiLevelType w:val="hybridMultilevel"/>
    <w:tmpl w:val="814CC2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D6F2800"/>
    <w:multiLevelType w:val="multilevel"/>
    <w:tmpl w:val="9386F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8EC0233"/>
    <w:multiLevelType w:val="multilevel"/>
    <w:tmpl w:val="F7762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D93879"/>
    <w:multiLevelType w:val="hybridMultilevel"/>
    <w:tmpl w:val="7164A5D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558A4E49"/>
    <w:multiLevelType w:val="multilevel"/>
    <w:tmpl w:val="37284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B35049"/>
    <w:multiLevelType w:val="multilevel"/>
    <w:tmpl w:val="AE0E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4731C4"/>
    <w:multiLevelType w:val="hybridMultilevel"/>
    <w:tmpl w:val="27040E7A"/>
    <w:lvl w:ilvl="0">
      <w:start w:val="1"/>
      <w:numFmt w:val="bullet"/>
      <w:pStyle w:val="Bullets"/>
      <w:lvlText w:val="—"/>
      <w:lvlJc w:val="left"/>
      <w:pPr>
        <w:ind w:left="720" w:hanging="360"/>
      </w:pPr>
      <w:rPr>
        <w:rFonts w:ascii="Aptos Display" w:hAnsi="Aptos Display"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FCC6AE6"/>
    <w:multiLevelType w:val="hybridMultilevel"/>
    <w:tmpl w:val="93AEE42E"/>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2761D1F"/>
    <w:multiLevelType w:val="multilevel"/>
    <w:tmpl w:val="C6400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BDE7E73"/>
    <w:multiLevelType w:val="hybridMultilevel"/>
    <w:tmpl w:val="A1D85E66"/>
    <w:lvl w:ilvl="0">
      <w:start w:val="1"/>
      <w:numFmt w:val="bullet"/>
      <w:lvlText w:val="—"/>
      <w:lvlJc w:val="left"/>
      <w:pPr>
        <w:ind w:left="720" w:hanging="360"/>
      </w:pPr>
      <w:rPr>
        <w:rFonts w:ascii="Aptos Display" w:hAnsi="Aptos Display" w:hint="default"/>
      </w:rPr>
    </w:lvl>
    <w:lvl w:ilvl="1">
      <w:start w:val="1"/>
      <w:numFmt w:val="bullet"/>
      <w:pStyle w:val="Subbullets"/>
      <w:lvlText w:val="—"/>
      <w:lvlJc w:val="left"/>
      <w:pPr>
        <w:ind w:left="1440" w:hanging="360"/>
      </w:pPr>
      <w:rPr>
        <w:rFonts w:ascii="Aptos Display" w:hAnsi="Aptos Display"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74B76526"/>
    <w:multiLevelType w:val="multilevel"/>
    <w:tmpl w:val="6F1C1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11"/>
  </w:num>
  <w:num w:numId="4">
    <w:abstractNumId w:val="2"/>
  </w:num>
  <w:num w:numId="5">
    <w:abstractNumId w:val="4"/>
  </w:num>
  <w:num w:numId="6">
    <w:abstractNumId w:val="9"/>
  </w:num>
  <w:num w:numId="7">
    <w:abstractNumId w:val="5"/>
  </w:num>
  <w:num w:numId="8">
    <w:abstractNumId w:val="14"/>
  </w:num>
  <w:num w:numId="9">
    <w:abstractNumId w:val="0"/>
  </w:num>
  <w:num w:numId="10">
    <w:abstractNumId w:val="8"/>
  </w:num>
  <w:num w:numId="11">
    <w:abstractNumId w:val="12"/>
    <w:lvlOverride w:ilvl="0">
      <w:lvl w:ilvl="0">
        <w:start w:val="0"/>
        <w:numFmt w:val="bullet"/>
        <w:lvlText w:val="o"/>
        <w:lvlJc w:val="left"/>
        <w:pPr>
          <w:tabs>
            <w:tab w:val="num" w:pos="720"/>
          </w:tabs>
          <w:ind w:left="720" w:hanging="360"/>
        </w:pPr>
        <w:rPr>
          <w:rFonts w:ascii="Courier New" w:hAnsi="Courier New" w:hint="default"/>
          <w:sz w:val="20"/>
        </w:rPr>
      </w:lvl>
    </w:lvlOverride>
  </w:num>
  <w:num w:numId="12">
    <w:abstractNumId w:val="12"/>
    <w:lvlOverride w:ilvl="0">
      <w:lvl w:ilvl="0">
        <w:start w:val="0"/>
        <w:numFmt w:val="bullet"/>
        <w:lvlText w:val="o"/>
        <w:lvlJc w:val="left"/>
        <w:pPr>
          <w:tabs>
            <w:tab w:val="num" w:pos="720"/>
          </w:tabs>
          <w:ind w:left="720" w:hanging="360"/>
        </w:pPr>
        <w:rPr>
          <w:rFonts w:ascii="Courier New" w:hAnsi="Courier New" w:hint="default"/>
          <w:sz w:val="20"/>
        </w:rPr>
      </w:lvl>
    </w:lvlOverride>
  </w:num>
  <w:num w:numId="13">
    <w:abstractNumId w:val="7"/>
  </w:num>
  <w:num w:numId="14">
    <w:abstractNumId w:val="6"/>
  </w:num>
  <w:num w:numId="15">
    <w:abstractNumId w:val="1"/>
    <w:lvlOverride w:ilvl="0">
      <w:lvl w:ilvl="0">
        <w:start w:val="0"/>
        <w:numFmt w:val="bullet"/>
        <w:lvlText w:val="o"/>
        <w:lvlJc w:val="left"/>
        <w:pPr>
          <w:tabs>
            <w:tab w:val="num" w:pos="720"/>
          </w:tabs>
          <w:ind w:left="720" w:hanging="360"/>
        </w:pPr>
        <w:rPr>
          <w:rFonts w:ascii="Courier New" w:hAnsi="Courier New" w:hint="default"/>
          <w:sz w:val="20"/>
        </w:rPr>
      </w:lvl>
    </w:lvlOverride>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link w:val="Heading1Char"/>
    <w:uiPriority w:val="9"/>
    <w:qFormat/>
    <w:rsid w:val="003E1044"/>
    <w:pPr>
      <w:keepNext/>
      <w:keepLines/>
      <w:spacing w:before="360" w:after="80"/>
      <w:outlineLvl w:val="0"/>
    </w:pPr>
    <w:rPr>
      <w:rFonts w:asciiTheme="majorHAnsi" w:eastAsiaTheme="majorEastAsia" w:hAnsiTheme="majorHAnsi" w:cstheme="majorBidi"/>
      <w:color w:val="007E8A" w:themeColor="accent1"/>
      <w:sz w:val="40"/>
      <w:szCs w:val="40"/>
    </w:rPr>
  </w:style>
  <w:style w:type="paragraph" w:styleId="Heading2">
    <w:name w:val="heading 2"/>
    <w:basedOn w:val="Normal"/>
    <w:next w:val="Normal"/>
    <w:link w:val="Heading2Char"/>
    <w:uiPriority w:val="9"/>
    <w:semiHidden/>
    <w:unhideWhenUsed/>
    <w:qFormat/>
    <w:rsid w:val="001F03DF"/>
    <w:pPr>
      <w:keepNext/>
      <w:keepLines/>
      <w:spacing w:before="160" w:after="80"/>
      <w:outlineLvl w:val="1"/>
    </w:pPr>
    <w:rPr>
      <w:rFonts w:asciiTheme="majorHAnsi" w:eastAsiaTheme="majorEastAsia" w:hAnsiTheme="majorHAnsi" w:cstheme="majorBidi"/>
      <w:color w:val="005E67" w:themeColor="accent1" w:themeShade="BF"/>
      <w:sz w:val="32"/>
      <w:szCs w:val="32"/>
    </w:rPr>
  </w:style>
  <w:style w:type="paragraph" w:styleId="Heading3">
    <w:name w:val="heading 3"/>
    <w:basedOn w:val="Normal"/>
    <w:next w:val="Normal"/>
    <w:link w:val="Heading3Char"/>
    <w:uiPriority w:val="9"/>
    <w:semiHidden/>
    <w:unhideWhenUsed/>
    <w:qFormat/>
    <w:rsid w:val="001F03DF"/>
    <w:pPr>
      <w:keepNext/>
      <w:keepLines/>
      <w:spacing w:before="160" w:after="80"/>
      <w:outlineLvl w:val="2"/>
    </w:pPr>
    <w:rPr>
      <w:rFonts w:eastAsiaTheme="majorEastAsia" w:cstheme="majorBidi"/>
      <w:color w:val="005E67" w:themeColor="accent1" w:themeShade="BF"/>
      <w:sz w:val="28"/>
      <w:szCs w:val="28"/>
    </w:rPr>
  </w:style>
  <w:style w:type="paragraph" w:styleId="Heading4">
    <w:name w:val="heading 4"/>
    <w:basedOn w:val="Normal"/>
    <w:next w:val="Normal"/>
    <w:link w:val="Heading4Char"/>
    <w:uiPriority w:val="9"/>
    <w:semiHidden/>
    <w:unhideWhenUsed/>
    <w:qFormat/>
    <w:rsid w:val="001F03DF"/>
    <w:pPr>
      <w:keepNext/>
      <w:keepLines/>
      <w:spacing w:before="80" w:after="40"/>
      <w:outlineLvl w:val="3"/>
    </w:pPr>
    <w:rPr>
      <w:rFonts w:eastAsiaTheme="majorEastAsia" w:cstheme="majorBidi"/>
      <w:i/>
      <w:iCs/>
      <w:color w:val="005E67" w:themeColor="accent1" w:themeShade="BF"/>
    </w:rPr>
  </w:style>
  <w:style w:type="paragraph" w:styleId="Heading5">
    <w:name w:val="heading 5"/>
    <w:basedOn w:val="Normal"/>
    <w:next w:val="Normal"/>
    <w:link w:val="Heading5Char"/>
    <w:uiPriority w:val="9"/>
    <w:semiHidden/>
    <w:unhideWhenUsed/>
    <w:qFormat/>
    <w:rsid w:val="001F03DF"/>
    <w:pPr>
      <w:keepNext/>
      <w:keepLines/>
      <w:spacing w:before="80" w:after="40"/>
      <w:outlineLvl w:val="4"/>
    </w:pPr>
    <w:rPr>
      <w:rFonts w:eastAsiaTheme="majorEastAsia" w:cstheme="majorBidi"/>
      <w:color w:val="005E67" w:themeColor="accent1" w:themeShade="BF"/>
    </w:rPr>
  </w:style>
  <w:style w:type="paragraph" w:styleId="Heading6">
    <w:name w:val="heading 6"/>
    <w:basedOn w:val="Normal"/>
    <w:next w:val="Normal"/>
    <w:link w:val="Heading6Char"/>
    <w:uiPriority w:val="9"/>
    <w:semiHidden/>
    <w:unhideWhenUsed/>
    <w:qFormat/>
    <w:rsid w:val="001F03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3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3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3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1044"/>
    <w:rPr>
      <w:rFonts w:asciiTheme="majorHAnsi" w:eastAsiaTheme="majorEastAsia" w:hAnsiTheme="majorHAnsi" w:cstheme="majorBidi"/>
      <w:color w:val="007E8A" w:themeColor="accent1"/>
      <w:sz w:val="40"/>
      <w:szCs w:val="40"/>
    </w:rPr>
  </w:style>
  <w:style w:type="character" w:customStyle="1" w:styleId="Heading2Char">
    <w:name w:val="Heading 2 Char"/>
    <w:basedOn w:val="DefaultParagraphFont"/>
    <w:link w:val="Heading2"/>
    <w:uiPriority w:val="9"/>
    <w:semiHidden/>
    <w:rsid w:val="001F03DF"/>
    <w:rPr>
      <w:rFonts w:asciiTheme="majorHAnsi" w:eastAsiaTheme="majorEastAsia" w:hAnsiTheme="majorHAnsi" w:cstheme="majorBidi"/>
      <w:color w:val="005E67" w:themeColor="accent1" w:themeShade="BF"/>
      <w:sz w:val="32"/>
      <w:szCs w:val="32"/>
    </w:rPr>
  </w:style>
  <w:style w:type="character" w:customStyle="1" w:styleId="Heading3Char">
    <w:name w:val="Heading 3 Char"/>
    <w:basedOn w:val="DefaultParagraphFont"/>
    <w:link w:val="Heading3"/>
    <w:uiPriority w:val="9"/>
    <w:semiHidden/>
    <w:rsid w:val="001F03DF"/>
    <w:rPr>
      <w:rFonts w:eastAsiaTheme="majorEastAsia" w:cstheme="majorBidi"/>
      <w:color w:val="005E67" w:themeColor="accent1" w:themeShade="BF"/>
      <w:sz w:val="28"/>
      <w:szCs w:val="28"/>
    </w:rPr>
  </w:style>
  <w:style w:type="character" w:customStyle="1" w:styleId="Heading4Char">
    <w:name w:val="Heading 4 Char"/>
    <w:basedOn w:val="DefaultParagraphFont"/>
    <w:link w:val="Heading4"/>
    <w:uiPriority w:val="9"/>
    <w:semiHidden/>
    <w:rsid w:val="001F03DF"/>
    <w:rPr>
      <w:rFonts w:eastAsiaTheme="majorEastAsia" w:cstheme="majorBidi"/>
      <w:i/>
      <w:iCs/>
      <w:color w:val="005E67" w:themeColor="accent1" w:themeShade="BF"/>
    </w:rPr>
  </w:style>
  <w:style w:type="character" w:customStyle="1" w:styleId="Heading5Char">
    <w:name w:val="Heading 5 Char"/>
    <w:basedOn w:val="DefaultParagraphFont"/>
    <w:link w:val="Heading5"/>
    <w:uiPriority w:val="9"/>
    <w:semiHidden/>
    <w:rsid w:val="001F03DF"/>
    <w:rPr>
      <w:rFonts w:eastAsiaTheme="majorEastAsia" w:cstheme="majorBidi"/>
      <w:color w:val="005E67" w:themeColor="accent1" w:themeShade="BF"/>
    </w:rPr>
  </w:style>
  <w:style w:type="character" w:customStyle="1" w:styleId="Heading6Char">
    <w:name w:val="Heading 6 Char"/>
    <w:basedOn w:val="DefaultParagraphFont"/>
    <w:link w:val="Heading6"/>
    <w:uiPriority w:val="9"/>
    <w:semiHidden/>
    <w:rsid w:val="001F03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3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3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3DF"/>
    <w:rPr>
      <w:rFonts w:eastAsiaTheme="majorEastAsia" w:cstheme="majorBidi"/>
      <w:color w:val="272727" w:themeColor="text1" w:themeTint="D8"/>
    </w:rPr>
  </w:style>
  <w:style w:type="paragraph" w:styleId="Title">
    <w:name w:val="Title"/>
    <w:basedOn w:val="Normal"/>
    <w:next w:val="Normal"/>
    <w:link w:val="TitleChar"/>
    <w:uiPriority w:val="10"/>
    <w:qFormat/>
    <w:rsid w:val="001F03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3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1044"/>
    <w:pPr>
      <w:numPr>
        <w:ilvl w:val="1"/>
      </w:numPr>
    </w:pPr>
    <w:rPr>
      <w:rFonts w:eastAsiaTheme="majorEastAsia" w:cstheme="majorBidi"/>
      <w:b/>
      <w:color w:val="000000" w:themeColor="text1"/>
      <w:spacing w:val="15"/>
      <w:sz w:val="32"/>
      <w:szCs w:val="28"/>
    </w:rPr>
  </w:style>
  <w:style w:type="character" w:customStyle="1" w:styleId="SubtitleChar">
    <w:name w:val="Subtitle Char"/>
    <w:basedOn w:val="DefaultParagraphFont"/>
    <w:link w:val="Subtitle"/>
    <w:uiPriority w:val="11"/>
    <w:rsid w:val="003E1044"/>
    <w:rPr>
      <w:rFonts w:eastAsiaTheme="majorEastAsia" w:cstheme="majorBidi"/>
      <w:b/>
      <w:color w:val="000000" w:themeColor="text1"/>
      <w:spacing w:val="15"/>
      <w:sz w:val="32"/>
      <w:szCs w:val="28"/>
    </w:rPr>
  </w:style>
  <w:style w:type="paragraph" w:styleId="Quote">
    <w:name w:val="Quote"/>
    <w:basedOn w:val="Normal"/>
    <w:next w:val="Normal"/>
    <w:link w:val="QuoteChar"/>
    <w:uiPriority w:val="29"/>
    <w:qFormat/>
    <w:rsid w:val="001F03DF"/>
    <w:pPr>
      <w:spacing w:before="160"/>
      <w:jc w:val="center"/>
    </w:pPr>
    <w:rPr>
      <w:i/>
      <w:iCs/>
      <w:color w:val="404040" w:themeColor="text1" w:themeTint="BF"/>
    </w:rPr>
  </w:style>
  <w:style w:type="character" w:customStyle="1" w:styleId="QuoteChar">
    <w:name w:val="Quote Char"/>
    <w:basedOn w:val="DefaultParagraphFont"/>
    <w:link w:val="Quote"/>
    <w:uiPriority w:val="29"/>
    <w:rsid w:val="001F03DF"/>
    <w:rPr>
      <w:i/>
      <w:iCs/>
      <w:color w:val="404040" w:themeColor="text1" w:themeTint="BF"/>
    </w:rPr>
  </w:style>
  <w:style w:type="paragraph" w:styleId="ListParagraph">
    <w:name w:val="List Paragraph"/>
    <w:basedOn w:val="Normal"/>
    <w:link w:val="ListParagraphChar"/>
    <w:uiPriority w:val="34"/>
    <w:qFormat/>
    <w:rsid w:val="001F03DF"/>
    <w:pPr>
      <w:ind w:left="720"/>
      <w:contextualSpacing/>
    </w:pPr>
  </w:style>
  <w:style w:type="character" w:styleId="IntenseEmphasis">
    <w:name w:val="Intense Emphasis"/>
    <w:basedOn w:val="DefaultParagraphFont"/>
    <w:uiPriority w:val="21"/>
    <w:qFormat/>
    <w:rsid w:val="001F03DF"/>
    <w:rPr>
      <w:i/>
      <w:iCs/>
      <w:color w:val="005E67" w:themeColor="accent1" w:themeShade="BF"/>
    </w:rPr>
  </w:style>
  <w:style w:type="paragraph" w:styleId="IntenseQuote">
    <w:name w:val="Intense Quote"/>
    <w:basedOn w:val="Normal"/>
    <w:next w:val="Normal"/>
    <w:link w:val="IntenseQuoteChar"/>
    <w:uiPriority w:val="30"/>
    <w:qFormat/>
    <w:rsid w:val="001F03DF"/>
    <w:pPr>
      <w:pBdr>
        <w:top w:val="single" w:sz="4" w:space="10" w:color="005E67" w:themeColor="accent1" w:themeShade="BF"/>
        <w:bottom w:val="single" w:sz="4" w:space="10" w:color="005E67" w:themeColor="accent1" w:themeShade="BF"/>
      </w:pBdr>
      <w:spacing w:before="360" w:after="360"/>
      <w:ind w:left="864" w:right="864"/>
      <w:jc w:val="center"/>
    </w:pPr>
    <w:rPr>
      <w:i/>
      <w:iCs/>
      <w:color w:val="005E67" w:themeColor="accent1" w:themeShade="BF"/>
    </w:rPr>
  </w:style>
  <w:style w:type="character" w:customStyle="1" w:styleId="IntenseQuoteChar">
    <w:name w:val="Intense Quote Char"/>
    <w:basedOn w:val="DefaultParagraphFont"/>
    <w:link w:val="IntenseQuote"/>
    <w:uiPriority w:val="30"/>
    <w:rsid w:val="001F03DF"/>
    <w:rPr>
      <w:i/>
      <w:iCs/>
      <w:color w:val="005E67" w:themeColor="accent1" w:themeShade="BF"/>
    </w:rPr>
  </w:style>
  <w:style w:type="character" w:styleId="IntenseReference">
    <w:name w:val="Intense Reference"/>
    <w:basedOn w:val="DefaultParagraphFont"/>
    <w:uiPriority w:val="32"/>
    <w:qFormat/>
    <w:rsid w:val="001F03DF"/>
    <w:rPr>
      <w:b/>
      <w:bCs/>
      <w:smallCaps/>
      <w:color w:val="005E67" w:themeColor="accent1" w:themeShade="BF"/>
      <w:spacing w:val="5"/>
    </w:rPr>
  </w:style>
  <w:style w:type="paragraph" w:customStyle="1" w:styleId="Headings">
    <w:name w:val="Headings"/>
    <w:basedOn w:val="Normal"/>
    <w:link w:val="HeadingsChar"/>
    <w:rsid w:val="0057333F"/>
    <w:rPr>
      <w:rFonts w:asciiTheme="majorHAnsi" w:hAnsiTheme="majorHAnsi"/>
      <w:color w:val="007E8A" w:themeColor="accent1"/>
      <w:sz w:val="40"/>
      <w:szCs w:val="40"/>
    </w:rPr>
  </w:style>
  <w:style w:type="character" w:customStyle="1" w:styleId="HeadingsChar">
    <w:name w:val="Headings Char"/>
    <w:basedOn w:val="DefaultParagraphFont"/>
    <w:link w:val="Headings"/>
    <w:rsid w:val="0057333F"/>
    <w:rPr>
      <w:rFonts w:asciiTheme="majorHAnsi" w:hAnsiTheme="majorHAnsi"/>
      <w:color w:val="007E8A" w:themeColor="accent1"/>
      <w:sz w:val="40"/>
      <w:szCs w:val="40"/>
    </w:rPr>
  </w:style>
  <w:style w:type="paragraph" w:customStyle="1" w:styleId="Subheading">
    <w:name w:val="Subheading"/>
    <w:basedOn w:val="Normal"/>
    <w:link w:val="SubheadingChar"/>
    <w:rsid w:val="0057333F"/>
    <w:rPr>
      <w:b/>
      <w:bCs/>
      <w:sz w:val="32"/>
      <w:szCs w:val="32"/>
    </w:rPr>
  </w:style>
  <w:style w:type="character" w:customStyle="1" w:styleId="SubheadingChar">
    <w:name w:val="Subheading Char"/>
    <w:basedOn w:val="DefaultParagraphFont"/>
    <w:link w:val="Subheading"/>
    <w:rsid w:val="0057333F"/>
    <w:rPr>
      <w:b/>
      <w:bCs/>
      <w:sz w:val="32"/>
      <w:szCs w:val="32"/>
    </w:rPr>
  </w:style>
  <w:style w:type="paragraph" w:customStyle="1" w:styleId="Bodycopy">
    <w:name w:val="Body copy"/>
    <w:basedOn w:val="Normal"/>
    <w:link w:val="BodycopyChar"/>
    <w:qFormat/>
    <w:rsid w:val="0057333F"/>
  </w:style>
  <w:style w:type="character" w:customStyle="1" w:styleId="BodycopyChar">
    <w:name w:val="Body copy Char"/>
    <w:basedOn w:val="DefaultParagraphFont"/>
    <w:link w:val="Bodycopy"/>
    <w:rsid w:val="0057333F"/>
  </w:style>
  <w:style w:type="paragraph" w:customStyle="1" w:styleId="Bullets">
    <w:name w:val="Bullets"/>
    <w:basedOn w:val="ListParagraph"/>
    <w:link w:val="BulletsChar"/>
    <w:qFormat/>
    <w:rsid w:val="0057333F"/>
    <w:pPr>
      <w:numPr>
        <w:numId w:val="1"/>
      </w:numPr>
    </w:pPr>
  </w:style>
  <w:style w:type="character" w:customStyle="1" w:styleId="ListParagraphChar">
    <w:name w:val="List Paragraph Char"/>
    <w:basedOn w:val="DefaultParagraphFont"/>
    <w:link w:val="ListParagraph"/>
    <w:uiPriority w:val="34"/>
    <w:rsid w:val="0057333F"/>
  </w:style>
  <w:style w:type="character" w:customStyle="1" w:styleId="BulletsChar">
    <w:name w:val="Bullets Char"/>
    <w:basedOn w:val="ListParagraphChar"/>
    <w:link w:val="Bullets"/>
    <w:rsid w:val="0057333F"/>
  </w:style>
  <w:style w:type="paragraph" w:customStyle="1" w:styleId="Subbullets">
    <w:name w:val="Sub bullets"/>
    <w:basedOn w:val="Bullets"/>
    <w:link w:val="SubbulletsChar"/>
    <w:qFormat/>
    <w:rsid w:val="0057333F"/>
    <w:pPr>
      <w:numPr>
        <w:ilvl w:val="1"/>
        <w:numId w:val="2"/>
      </w:numPr>
    </w:pPr>
  </w:style>
  <w:style w:type="character" w:customStyle="1" w:styleId="SubbulletsChar">
    <w:name w:val="Sub bullets Char"/>
    <w:basedOn w:val="BulletsChar"/>
    <w:link w:val="Subbullets"/>
    <w:rsid w:val="0057333F"/>
  </w:style>
  <w:style w:type="table" w:styleId="TableGrid">
    <w:name w:val="Table Grid"/>
    <w:basedOn w:val="TableNormal"/>
    <w:uiPriority w:val="39"/>
    <w:rsid w:val="005733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370F8E"/>
    <w:pPr>
      <w:spacing w:after="0" w:line="240" w:lineRule="auto"/>
    </w:pPr>
    <w:rPr>
      <w:b/>
      <w:bCs/>
      <w:color w:val="FFFFFF" w:themeColor="background1"/>
    </w:rPr>
  </w:style>
  <w:style w:type="character" w:customStyle="1" w:styleId="TableheadingChar">
    <w:name w:val="Table heading Char"/>
    <w:basedOn w:val="DefaultParagraphFont"/>
    <w:link w:val="Tableheading"/>
    <w:rsid w:val="00370F8E"/>
    <w:rPr>
      <w:b/>
      <w:bCs/>
      <w:color w:val="FFFFFF" w:themeColor="background1"/>
    </w:rPr>
  </w:style>
  <w:style w:type="paragraph" w:styleId="Header">
    <w:name w:val="header"/>
    <w:basedOn w:val="Normal"/>
    <w:link w:val="HeaderChar"/>
    <w:uiPriority w:val="99"/>
    <w:unhideWhenUsed/>
    <w:rsid w:val="00370F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0F8E"/>
  </w:style>
  <w:style w:type="paragraph" w:styleId="Footer">
    <w:name w:val="footer"/>
    <w:basedOn w:val="Normal"/>
    <w:link w:val="FooterChar"/>
    <w:uiPriority w:val="99"/>
    <w:unhideWhenUsed/>
    <w:rsid w:val="00370F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0F8E"/>
  </w:style>
  <w:style w:type="character" w:styleId="CommentReference">
    <w:name w:val="annotation reference"/>
    <w:basedOn w:val="DefaultParagraphFont"/>
    <w:uiPriority w:val="99"/>
    <w:semiHidden/>
    <w:unhideWhenUsed/>
    <w:rsid w:val="00D72893"/>
    <w:rPr>
      <w:sz w:val="16"/>
      <w:szCs w:val="16"/>
    </w:rPr>
  </w:style>
  <w:style w:type="paragraph" w:styleId="CommentText">
    <w:name w:val="annotation text"/>
    <w:basedOn w:val="Normal"/>
    <w:link w:val="CommentTextChar"/>
    <w:uiPriority w:val="99"/>
    <w:unhideWhenUsed/>
    <w:rsid w:val="00D72893"/>
    <w:pPr>
      <w:spacing w:line="240" w:lineRule="auto"/>
    </w:pPr>
    <w:rPr>
      <w:sz w:val="20"/>
      <w:szCs w:val="20"/>
    </w:rPr>
  </w:style>
  <w:style w:type="character" w:customStyle="1" w:styleId="CommentTextChar">
    <w:name w:val="Comment Text Char"/>
    <w:basedOn w:val="DefaultParagraphFont"/>
    <w:link w:val="CommentText"/>
    <w:uiPriority w:val="99"/>
    <w:rsid w:val="00D72893"/>
    <w:rPr>
      <w:sz w:val="20"/>
      <w:szCs w:val="20"/>
    </w:rPr>
  </w:style>
  <w:style w:type="paragraph" w:styleId="CommentSubject">
    <w:name w:val="annotation subject"/>
    <w:basedOn w:val="CommentText"/>
    <w:next w:val="CommentText"/>
    <w:link w:val="CommentSubjectChar"/>
    <w:uiPriority w:val="99"/>
    <w:semiHidden/>
    <w:unhideWhenUsed/>
    <w:rsid w:val="00D72893"/>
    <w:rPr>
      <w:b/>
      <w:bCs/>
    </w:rPr>
  </w:style>
  <w:style w:type="character" w:customStyle="1" w:styleId="CommentSubjectChar">
    <w:name w:val="Comment Subject Char"/>
    <w:basedOn w:val="CommentTextChar"/>
    <w:link w:val="CommentSubject"/>
    <w:uiPriority w:val="99"/>
    <w:semiHidden/>
    <w:rsid w:val="00D72893"/>
    <w:rPr>
      <w:b/>
      <w:bCs/>
      <w:sz w:val="20"/>
      <w:szCs w:val="20"/>
    </w:rPr>
  </w:style>
  <w:style w:type="character" w:styleId="Hyperlink">
    <w:name w:val="Hyperlink"/>
    <w:basedOn w:val="DefaultParagraphFont"/>
    <w:uiPriority w:val="99"/>
    <w:unhideWhenUsed/>
    <w:rsid w:val="00322D85"/>
    <w:rPr>
      <w:color w:val="E6680C" w:themeColor="hyperlink"/>
      <w:u w:val="single"/>
    </w:rPr>
  </w:style>
  <w:style w:type="character" w:customStyle="1" w:styleId="UnresolvedMention1">
    <w:name w:val="Unresolved Mention1"/>
    <w:basedOn w:val="DefaultParagraphFont"/>
    <w:uiPriority w:val="99"/>
    <w:semiHidden/>
    <w:unhideWhenUsed/>
    <w:rsid w:val="00322D85"/>
    <w:rPr>
      <w:color w:val="605E5C"/>
      <w:shd w:val="clear" w:color="auto" w:fill="E1DFDD"/>
    </w:rPr>
  </w:style>
  <w:style w:type="paragraph" w:styleId="FootnoteText">
    <w:name w:val="footnote text"/>
    <w:basedOn w:val="Normal"/>
    <w:link w:val="FootnoteTextChar"/>
    <w:uiPriority w:val="99"/>
    <w:semiHidden/>
    <w:unhideWhenUsed/>
    <w:rsid w:val="00A42F4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2F4B"/>
    <w:rPr>
      <w:sz w:val="20"/>
      <w:szCs w:val="20"/>
    </w:rPr>
  </w:style>
  <w:style w:type="character" w:styleId="FootnoteReference">
    <w:name w:val="footnote reference"/>
    <w:basedOn w:val="DefaultParagraphFont"/>
    <w:uiPriority w:val="99"/>
    <w:semiHidden/>
    <w:unhideWhenUsed/>
    <w:rsid w:val="00A42F4B"/>
    <w:rPr>
      <w:vertAlign w:val="superscript"/>
    </w:rPr>
  </w:style>
  <w:style w:type="paragraph" w:styleId="NormalWeb">
    <w:name w:val="Normal (Web)"/>
    <w:basedOn w:val="Normal"/>
    <w:uiPriority w:val="99"/>
    <w:semiHidden/>
    <w:unhideWhenUsed/>
    <w:rsid w:val="00A42F4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Impact on Urban Health">
      <a:dk1>
        <a:srgbClr val="000000"/>
      </a:dk1>
      <a:lt1>
        <a:srgbClr val="FFFFFF"/>
      </a:lt1>
      <a:dk2>
        <a:srgbClr val="004045"/>
      </a:dk2>
      <a:lt2>
        <a:srgbClr val="E7E6E6"/>
      </a:lt2>
      <a:accent1>
        <a:srgbClr val="007E8A"/>
      </a:accent1>
      <a:accent2>
        <a:srgbClr val="5F4B8B"/>
      </a:accent2>
      <a:accent3>
        <a:srgbClr val="335524"/>
      </a:accent3>
      <a:accent4>
        <a:srgbClr val="E6680C"/>
      </a:accent4>
      <a:accent5>
        <a:srgbClr val="FFEA64"/>
      </a:accent5>
      <a:accent6>
        <a:srgbClr val="004045"/>
      </a:accent6>
      <a:hlink>
        <a:srgbClr val="E6680C"/>
      </a:hlink>
      <a:folHlink>
        <a:srgbClr val="E6680C"/>
      </a:folHlink>
    </a:clrScheme>
    <a:fontScheme name="Impact on Urban Health - Aptos">
      <a:majorFont>
        <a:latin typeface="Aptos Black"/>
        <a:ea typeface=""/>
        <a:cs typeface=""/>
      </a:majorFont>
      <a:minorFont>
        <a:latin typeface="Aptos Display"/>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139dbb6-d8bd-4132-a29c-e0a24b37966d}" enabled="0" method="" siteId="{7139dbb6-d8bd-4132-a29c-e0a24b37966d}" removed="1"/>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Written evidence - CYM0175</dc:title>
  <cp:revision>0</cp:revision>
</cp:coreProperties>
</file>