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5FCB" w:rsidRPr="00235FCB" w:rsidP="00235FCB">
      <w:pPr>
        <w:shd w:val="clear" w:color="auto" w:fill="FFFFFF" w:themeFill="background1"/>
        <w:jc w:val="center"/>
        <w:rPr>
          <w:rFonts w:eastAsiaTheme="minorEastAsia"/>
          <w:b/>
          <w:bCs/>
          <w:color w:val="000000" w:themeColor="text1"/>
          <w:sz w:val="22"/>
          <w:szCs w:val="22"/>
        </w:rPr>
      </w:pPr>
      <w:r w:rsidRPr="00235FCB">
        <w:rPr>
          <w:rFonts w:eastAsiaTheme="minorEastAsia"/>
          <w:b/>
          <w:bCs/>
          <w:color w:val="000000" w:themeColor="text1"/>
          <w:sz w:val="22"/>
          <w:szCs w:val="22"/>
        </w:rPr>
        <w:t>Written Submitted by Rebecca Clark</w:t>
      </w:r>
      <w:r>
        <w:rPr>
          <w:rFonts w:eastAsiaTheme="minorEastAsia"/>
          <w:b/>
          <w:bCs/>
          <w:color w:val="000000" w:themeColor="text1"/>
          <w:sz w:val="22"/>
          <w:szCs w:val="22"/>
        </w:rPr>
        <w:t xml:space="preserve">, </w:t>
      </w:r>
      <w:r w:rsidRPr="00235FCB">
        <w:rPr>
          <w:rFonts w:eastAsiaTheme="minorEastAsia"/>
          <w:b/>
          <w:bCs/>
          <w:color w:val="000000" w:themeColor="text1"/>
          <w:sz w:val="22"/>
          <w:szCs w:val="22"/>
        </w:rPr>
        <w:t>Dr Robyn Dowlen</w:t>
      </w:r>
      <w:r>
        <w:rPr>
          <w:rFonts w:eastAsiaTheme="minorEastAsia"/>
          <w:b/>
          <w:bCs/>
          <w:color w:val="000000" w:themeColor="text1"/>
          <w:sz w:val="22"/>
          <w:szCs w:val="22"/>
        </w:rPr>
        <w:t xml:space="preserve">, </w:t>
      </w:r>
      <w:r w:rsidRPr="00235FCB">
        <w:rPr>
          <w:rFonts w:eastAsiaTheme="minorEastAsia"/>
          <w:b/>
          <w:bCs/>
          <w:color w:val="000000" w:themeColor="text1"/>
          <w:sz w:val="22"/>
          <w:szCs w:val="22"/>
        </w:rPr>
        <w:t>Ken Fletcher</w:t>
      </w:r>
      <w:r>
        <w:rPr>
          <w:rFonts w:eastAsiaTheme="minorEastAsia"/>
          <w:b/>
          <w:bCs/>
          <w:color w:val="000000" w:themeColor="text1"/>
          <w:sz w:val="22"/>
          <w:szCs w:val="22"/>
        </w:rPr>
        <w:t xml:space="preserve">, </w:t>
      </w:r>
      <w:r w:rsidRPr="00235FCB">
        <w:rPr>
          <w:rFonts w:eastAsiaTheme="minorEastAsia"/>
          <w:b/>
          <w:bCs/>
          <w:color w:val="000000" w:themeColor="text1"/>
          <w:sz w:val="22"/>
          <w:szCs w:val="22"/>
        </w:rPr>
        <w:t>Professor Vicky Karkou</w:t>
      </w:r>
      <w:r>
        <w:rPr>
          <w:rFonts w:eastAsiaTheme="minorEastAsia"/>
          <w:b/>
          <w:bCs/>
          <w:color w:val="000000" w:themeColor="text1"/>
          <w:sz w:val="22"/>
          <w:szCs w:val="22"/>
        </w:rPr>
        <w:t xml:space="preserve">, </w:t>
      </w:r>
      <w:r w:rsidRPr="00235FCB">
        <w:rPr>
          <w:rFonts w:eastAsiaTheme="minorEastAsia"/>
          <w:b/>
          <w:bCs/>
          <w:color w:val="000000" w:themeColor="text1"/>
          <w:sz w:val="22"/>
          <w:szCs w:val="22"/>
        </w:rPr>
        <w:t>Dr Shaun Liverpool</w:t>
      </w:r>
      <w:r>
        <w:rPr>
          <w:rFonts w:eastAsiaTheme="minorEastAsia"/>
          <w:b/>
          <w:bCs/>
          <w:color w:val="000000" w:themeColor="text1"/>
          <w:sz w:val="22"/>
          <w:szCs w:val="22"/>
        </w:rPr>
        <w:t xml:space="preserve">, &amp; </w:t>
      </w:r>
      <w:r w:rsidRPr="00235FCB">
        <w:rPr>
          <w:rFonts w:eastAsiaTheme="minorEastAsia"/>
          <w:b/>
          <w:bCs/>
          <w:color w:val="000000" w:themeColor="text1"/>
          <w:sz w:val="22"/>
          <w:szCs w:val="22"/>
        </w:rPr>
        <w:t>Dr Anna Smirnova (CYM01</w:t>
      </w:r>
      <w:r>
        <w:rPr>
          <w:rFonts w:eastAsiaTheme="minorEastAsia"/>
          <w:b/>
          <w:bCs/>
          <w:color w:val="000000" w:themeColor="text1"/>
          <w:sz w:val="22"/>
          <w:szCs w:val="22"/>
        </w:rPr>
        <w:t>70</w:t>
      </w:r>
      <w:r w:rsidRPr="00235FCB">
        <w:rPr>
          <w:rFonts w:eastAsiaTheme="minorEastAsia"/>
          <w:b/>
          <w:bCs/>
          <w:color w:val="000000" w:themeColor="text1"/>
          <w:sz w:val="22"/>
          <w:szCs w:val="22"/>
        </w:rPr>
        <w:t>)</w:t>
      </w:r>
    </w:p>
    <w:p w:rsidR="00235FCB" w:rsidP="00FF410A">
      <w:pPr>
        <w:shd w:val="clear" w:color="auto" w:fill="FFFFFF" w:themeFill="background1"/>
        <w:rPr>
          <w:rFonts w:eastAsiaTheme="minorEastAsia"/>
          <w:b/>
          <w:bCs/>
          <w:color w:val="000000" w:themeColor="text1"/>
          <w:sz w:val="22"/>
          <w:szCs w:val="22"/>
        </w:rPr>
      </w:pPr>
    </w:p>
    <w:p w:rsidR="00235FCB" w:rsidP="00FF410A">
      <w:pPr>
        <w:shd w:val="clear" w:color="auto" w:fill="FFFFFF" w:themeFill="background1"/>
        <w:rPr>
          <w:rFonts w:eastAsiaTheme="minorEastAsia"/>
          <w:b/>
          <w:bCs/>
          <w:color w:val="000000" w:themeColor="text1"/>
          <w:sz w:val="22"/>
          <w:szCs w:val="22"/>
        </w:rPr>
      </w:pPr>
    </w:p>
    <w:p w:rsidR="00235FCB" w:rsidP="00FF410A">
      <w:pPr>
        <w:shd w:val="clear" w:color="auto" w:fill="FFFFFF" w:themeFill="background1"/>
        <w:rPr>
          <w:rFonts w:eastAsiaTheme="minorEastAsia"/>
          <w:b/>
          <w:bCs/>
          <w:color w:val="000000" w:themeColor="text1"/>
          <w:sz w:val="22"/>
          <w:szCs w:val="22"/>
        </w:rPr>
      </w:pPr>
    </w:p>
    <w:p w:rsidR="00235FCB" w:rsidP="00FF410A">
      <w:pPr>
        <w:shd w:val="clear" w:color="auto" w:fill="FFFFFF" w:themeFill="background1"/>
        <w:rPr>
          <w:rFonts w:eastAsiaTheme="minorEastAsia"/>
          <w:b/>
          <w:bCs/>
          <w:color w:val="000000" w:themeColor="text1"/>
          <w:sz w:val="22"/>
          <w:szCs w:val="22"/>
        </w:rPr>
      </w:pPr>
    </w:p>
    <w:p w:rsidR="00E424F7" w:rsidRPr="00A871C4" w:rsidP="00FF410A">
      <w:pPr>
        <w:shd w:val="clear" w:color="auto" w:fill="FFFFFF" w:themeFill="background1"/>
        <w:rPr>
          <w:rFonts w:eastAsiaTheme="minorEastAsia"/>
          <w:color w:val="000000" w:themeColor="text1"/>
          <w:sz w:val="22"/>
          <w:szCs w:val="22"/>
        </w:rPr>
      </w:pPr>
      <w:r w:rsidRPr="00A871C4">
        <w:rPr>
          <w:rFonts w:eastAsiaTheme="minorEastAsia"/>
          <w:b/>
          <w:bCs/>
          <w:color w:val="000000" w:themeColor="text1"/>
          <w:sz w:val="22"/>
          <w:szCs w:val="22"/>
        </w:rPr>
        <w:t>Evidence in response to the following requests:</w:t>
      </w:r>
      <w:r w:rsidRPr="00A871C4">
        <w:rPr>
          <w:rFonts w:eastAsiaTheme="minorEastAsia"/>
          <w:color w:val="000000" w:themeColor="text1"/>
          <w:sz w:val="22"/>
          <w:szCs w:val="22"/>
        </w:rPr>
        <w:t xml:space="preserve"> </w:t>
      </w:r>
    </w:p>
    <w:p w:rsidR="00E424F7" w:rsidRPr="00A871C4" w:rsidP="00FF410A">
      <w:pPr>
        <w:shd w:val="clear" w:color="auto" w:fill="FFFFFF" w:themeFill="background1"/>
        <w:rPr>
          <w:rFonts w:eastAsiaTheme="minorEastAsia"/>
          <w:color w:val="000000" w:themeColor="text1"/>
          <w:sz w:val="22"/>
          <w:szCs w:val="22"/>
        </w:rPr>
      </w:pPr>
    </w:p>
    <w:tbl>
      <w:tblPr>
        <w:tblW w:w="0" w:type="auto"/>
        <w:tblLook w:val="06A0"/>
      </w:tblPr>
      <w:tblGrid>
        <w:gridCol w:w="9006"/>
      </w:tblGrid>
      <w:tr w:rsidTr="00DE3B35">
        <w:tblPrEx>
          <w:tblW w:w="0" w:type="auto"/>
          <w:tblLook w:val="06A0"/>
        </w:tblPrEx>
        <w:trPr>
          <w:trHeight w:val="895"/>
        </w:trPr>
        <w:tc>
          <w:tcPr>
            <w:tcW w:w="106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424F7" w:rsidRPr="00A871C4" w:rsidP="00DE3B35">
            <w:pPr>
              <w:shd w:val="clear" w:color="auto" w:fill="FFFFFF" w:themeFill="background1"/>
              <w:rPr>
                <w:rFonts w:eastAsiaTheme="minorEastAsia"/>
                <w:color w:val="000000" w:themeColor="text1"/>
                <w:sz w:val="22"/>
                <w:szCs w:val="22"/>
              </w:rPr>
            </w:pPr>
            <w:r w:rsidRPr="00A871C4">
              <w:rPr>
                <w:rFonts w:eastAsiaTheme="minorEastAsia"/>
                <w:b/>
                <w:bCs/>
                <w:color w:val="000000" w:themeColor="text1"/>
                <w:sz w:val="22"/>
                <w:szCs w:val="22"/>
              </w:rPr>
              <w:t>What practical barriers affect joint working between education settings, local authorities, NHS services and voluntary and community sector organisations in supporting children and young people’s mental health, and how could these be addressed? </w:t>
            </w:r>
            <w:r w:rsidRPr="00A871C4">
              <w:rPr>
                <w:rFonts w:eastAsiaTheme="minorEastAsia"/>
                <w:color w:val="000000" w:themeColor="text1"/>
                <w:sz w:val="22"/>
                <w:szCs w:val="22"/>
              </w:rPr>
              <w:t xml:space="preserve"> </w:t>
            </w:r>
          </w:p>
        </w:tc>
      </w:tr>
    </w:tbl>
    <w:p w:rsidR="00E424F7" w:rsidRPr="00DE3B35" w:rsidP="00FF410A">
      <w:pPr>
        <w:shd w:val="clear" w:color="auto" w:fill="FFFFFF" w:themeFill="background1"/>
        <w:spacing w:after="200"/>
        <w:rPr>
          <w:rFonts w:eastAsiaTheme="minorEastAsia"/>
          <w:color w:val="000000" w:themeColor="text1"/>
          <w:sz w:val="2"/>
          <w:szCs w:val="2"/>
        </w:rPr>
      </w:pPr>
    </w:p>
    <w:tbl>
      <w:tblPr>
        <w:tblW w:w="0" w:type="auto"/>
        <w:tblLook w:val="06A0"/>
      </w:tblPr>
      <w:tblGrid>
        <w:gridCol w:w="9006"/>
      </w:tblGrid>
      <w:tr w:rsidTr="00E06DF6">
        <w:tblPrEx>
          <w:tblW w:w="0" w:type="auto"/>
          <w:tblLook w:val="06A0"/>
        </w:tblPrEx>
        <w:trPr>
          <w:trHeight w:val="289"/>
        </w:trPr>
        <w:tc>
          <w:tcPr>
            <w:tcW w:w="1074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rsidR="00E424F7" w:rsidRPr="00A871C4" w:rsidP="00E06DF6">
            <w:pPr>
              <w:shd w:val="clear" w:color="auto" w:fill="FFFFFF" w:themeFill="background1"/>
              <w:spacing w:after="200"/>
              <w:rPr>
                <w:rFonts w:eastAsiaTheme="minorEastAsia"/>
                <w:color w:val="000000" w:themeColor="text1"/>
                <w:sz w:val="22"/>
                <w:szCs w:val="22"/>
              </w:rPr>
            </w:pPr>
            <w:r w:rsidRPr="00A871C4">
              <w:rPr>
                <w:rFonts w:eastAsiaTheme="minorEastAsia"/>
                <w:b/>
                <w:bCs/>
                <w:color w:val="000000" w:themeColor="text1"/>
                <w:sz w:val="22"/>
                <w:szCs w:val="22"/>
              </w:rPr>
              <w:t>How can education-based, voluntary and community, and health workforces collaborate to optimise the mental health workforce and ensure sufficient support for children within capacity constraints? </w:t>
            </w:r>
            <w:r w:rsidRPr="00A871C4">
              <w:rPr>
                <w:rFonts w:eastAsiaTheme="minorEastAsia"/>
                <w:color w:val="000000" w:themeColor="text1"/>
                <w:sz w:val="22"/>
                <w:szCs w:val="22"/>
              </w:rPr>
              <w:t xml:space="preserve"> </w:t>
            </w:r>
          </w:p>
        </w:tc>
      </w:tr>
    </w:tbl>
    <w:p w:rsidR="00E424F7" w:rsidRPr="00A871C4" w:rsidP="00FF410A">
      <w:pPr>
        <w:shd w:val="clear" w:color="auto" w:fill="FFFFFF" w:themeFill="background1"/>
        <w:rPr>
          <w:rFonts w:eastAsiaTheme="minorEastAsia"/>
          <w:color w:val="000000" w:themeColor="text1"/>
          <w:sz w:val="22"/>
          <w:szCs w:val="22"/>
        </w:rPr>
      </w:pPr>
      <w:r w:rsidRPr="00A871C4">
        <w:rPr>
          <w:rFonts w:eastAsiaTheme="minorEastAsia"/>
          <w:color w:val="000000" w:themeColor="text1"/>
          <w:sz w:val="22"/>
          <w:szCs w:val="22"/>
        </w:rPr>
        <w:t xml:space="preserve"> </w:t>
      </w:r>
    </w:p>
    <w:p w:rsidR="00E424F7" w:rsidRPr="00A871C4" w:rsidP="00FF410A">
      <w:pPr>
        <w:shd w:val="clear" w:color="auto" w:fill="FFFFFF" w:themeFill="background1"/>
        <w:spacing w:before="240" w:after="240"/>
        <w:jc w:val="both"/>
        <w:rPr>
          <w:rFonts w:eastAsiaTheme="minorEastAsia"/>
          <w:color w:val="000000" w:themeColor="text1"/>
          <w:sz w:val="22"/>
          <w:szCs w:val="22"/>
        </w:rPr>
      </w:pPr>
      <w:r w:rsidRPr="00A871C4">
        <w:rPr>
          <w:rFonts w:eastAsiaTheme="minorEastAsia"/>
          <w:color w:val="000000" w:themeColor="text1"/>
          <w:sz w:val="22"/>
          <w:szCs w:val="22"/>
        </w:rPr>
        <w:t xml:space="preserve">This contribution draws on evidence gathered as part of the </w:t>
      </w:r>
      <w:r w:rsidRPr="00A871C4">
        <w:rPr>
          <w:rFonts w:eastAsiaTheme="minorEastAsia"/>
          <w:b/>
          <w:bCs/>
          <w:color w:val="000000" w:themeColor="text1"/>
          <w:sz w:val="22"/>
          <w:szCs w:val="22"/>
        </w:rPr>
        <w:t>AHRC-funded project Arts4Us</w:t>
      </w:r>
      <w:r w:rsidRPr="00A871C4">
        <w:rPr>
          <w:rFonts w:eastAsiaTheme="minorEastAsia"/>
          <w:color w:val="000000" w:themeColor="text1"/>
          <w:sz w:val="22"/>
          <w:szCs w:val="22"/>
        </w:rPr>
        <w:t xml:space="preserve"> (AH/Z505493/1 (APP4917)), funded under the call: Mobilising community assets to tackle health inequalities (2024-2027). This submission is led by Dr Robyn Dowlen on behalf of colleagues within the Arts4Us project at the Research Centre for Arts and Wellbeing, Edge Hill University (listed above). </w:t>
      </w:r>
    </w:p>
    <w:p w:rsidR="00E424F7" w:rsidRPr="00A871C4" w:rsidP="00FF410A">
      <w:pPr>
        <w:shd w:val="clear" w:color="auto" w:fill="FFFFFF" w:themeFill="background1"/>
        <w:spacing w:before="240" w:after="240"/>
        <w:jc w:val="both"/>
        <w:rPr>
          <w:rFonts w:eastAsiaTheme="minorEastAsia"/>
          <w:color w:val="000000" w:themeColor="text1"/>
          <w:sz w:val="22"/>
          <w:szCs w:val="22"/>
        </w:rPr>
      </w:pPr>
      <w:r w:rsidRPr="00A871C4">
        <w:rPr>
          <w:rFonts w:eastAsiaTheme="minorEastAsia"/>
          <w:color w:val="000000" w:themeColor="text1"/>
          <w:sz w:val="22"/>
          <w:szCs w:val="22"/>
        </w:rPr>
        <w:t>This submission comes from the Research Centre for Arts and Wellbeing at Edge Hill University, a centre with regional, national and international reputation due to its strong emphasis on high-</w:t>
      </w:r>
      <w:r w:rsidRPr="00A871C4">
        <w:rPr>
          <w:rFonts w:eastAsiaTheme="minorEastAsia"/>
          <w:color w:val="000000" w:themeColor="text1"/>
          <w:sz w:val="22"/>
          <w:szCs w:val="22"/>
        </w:rPr>
        <w:t xml:space="preserve">quality research with interdisciplinary character and impactful knowledge exchange activities. The Centre works closely with the WHO, it has received external funding from bodies such as NIHR, AHRC, ESRC, Arts Council, the Welcome Trust and the European Union, and explores the role of the arts to supporting the health and wellbeing of individuals across the life span and their communities. </w:t>
      </w:r>
    </w:p>
    <w:p w:rsidR="00E424F7" w:rsidRPr="00A871C4" w:rsidP="00FF410A">
      <w:pPr>
        <w:shd w:val="clear" w:color="auto" w:fill="FFFFFF" w:themeFill="background1"/>
        <w:spacing w:before="240" w:after="240"/>
        <w:jc w:val="both"/>
        <w:rPr>
          <w:rFonts w:eastAsiaTheme="minorEastAsia"/>
          <w:color w:val="000000" w:themeColor="text1"/>
          <w:sz w:val="22"/>
          <w:szCs w:val="22"/>
        </w:rPr>
      </w:pPr>
      <w:r w:rsidRPr="00A871C4">
        <w:rPr>
          <w:rFonts w:eastAsiaTheme="minorEastAsia"/>
          <w:color w:val="000000" w:themeColor="text1"/>
          <w:sz w:val="22"/>
          <w:szCs w:val="22"/>
        </w:rPr>
        <w:t>The Arts4Us project aims to improve access to place-based arts activities to children and young people (CYP) who are most at risk of experiencing health inequalities. The project brings together a wide range of co-investigators from universities, arts and cultural organisations, VCFSE organisations, NHS services and our Young Arts4Us panel (a group of 9–25-year-olds who are trained lived experience experts who support the direction of the research). We submit evidence as researchers and practitioners workin</w:t>
      </w:r>
      <w:r w:rsidRPr="00A871C4">
        <w:rPr>
          <w:rFonts w:eastAsiaTheme="minorEastAsia"/>
          <w:color w:val="000000" w:themeColor="text1"/>
          <w:sz w:val="22"/>
          <w:szCs w:val="22"/>
        </w:rPr>
        <w:t xml:space="preserve">g on a live, large-scale, cross-sector project examining barriers and facilitators to accessing arts-based programmes that support CYP mental health and wellbeing.  </w:t>
      </w:r>
    </w:p>
    <w:p w:rsidR="00E424F7" w:rsidRPr="00A871C4" w:rsidP="00FF410A">
      <w:pPr>
        <w:shd w:val="clear" w:color="auto" w:fill="FFFFFF" w:themeFill="background1"/>
        <w:spacing w:before="240" w:after="240"/>
        <w:jc w:val="both"/>
        <w:rPr>
          <w:rFonts w:eastAsiaTheme="minorEastAsia"/>
          <w:color w:val="000000" w:themeColor="text1"/>
          <w:sz w:val="22"/>
          <w:szCs w:val="22"/>
        </w:rPr>
      </w:pPr>
      <w:r w:rsidRPr="00A871C4">
        <w:rPr>
          <w:rFonts w:eastAsiaTheme="minorEastAsia"/>
          <w:color w:val="000000" w:themeColor="text1"/>
          <w:sz w:val="22"/>
          <w:szCs w:val="22"/>
        </w:rPr>
        <w:t>In this submission, we focus on evidence relating to innovative creative programmes such as arts-based interventions (dance/movement, literary arts, media, music, theatre/performance, visual arts, craft and design) and place-based arts programmes that support CYP’s mental health and wellbeing. We include evidence relating to both arts-based programmes delivered by artists, arts teachers and community practitioners/youth workers with varied levels and types of expertise, as well as evidence from intervention</w:t>
      </w:r>
      <w:r w:rsidRPr="00A871C4">
        <w:rPr>
          <w:rFonts w:eastAsiaTheme="minorEastAsia"/>
          <w:color w:val="000000" w:themeColor="text1"/>
          <w:sz w:val="22"/>
          <w:szCs w:val="22"/>
        </w:rPr>
        <w:t xml:space="preserve">s delivered by regulated arts psycho/therapists (music, drama, dance movement and art therapists).   </w:t>
      </w:r>
    </w:p>
    <w:p w:rsidR="00E424F7" w:rsidRPr="00A871C4" w:rsidP="00FF410A">
      <w:pPr>
        <w:shd w:val="clear" w:color="auto" w:fill="FFFFFF" w:themeFill="background1"/>
        <w:jc w:val="both"/>
        <w:rPr>
          <w:rFonts w:eastAsiaTheme="minorEastAsia"/>
          <w:color w:val="000000" w:themeColor="text1"/>
          <w:sz w:val="22"/>
          <w:szCs w:val="22"/>
        </w:rPr>
      </w:pPr>
      <w:r w:rsidRPr="00A871C4">
        <w:rPr>
          <w:rFonts w:eastAsiaTheme="minorEastAsia"/>
          <w:color w:val="000000" w:themeColor="text1"/>
          <w:sz w:val="22"/>
          <w:szCs w:val="22"/>
        </w:rPr>
        <w:t xml:space="preserve">Specifically, for this request for evidence we draw on the following evidence sources: </w:t>
      </w:r>
    </w:p>
    <w:p w:rsidR="00E424F7" w:rsidRPr="00A871C4" w:rsidP="00FF410A">
      <w:pPr>
        <w:pStyle w:val="ListParagraph"/>
        <w:numPr>
          <w:ilvl w:val="0"/>
          <w:numId w:val="8"/>
        </w:numPr>
        <w:spacing w:before="240" w:after="240"/>
        <w:jc w:val="both"/>
        <w:rPr>
          <w:rFonts w:eastAsiaTheme="minorEastAsia"/>
          <w:color w:val="000000" w:themeColor="text1"/>
          <w:sz w:val="22"/>
          <w:szCs w:val="22"/>
        </w:rPr>
      </w:pPr>
      <w:r w:rsidRPr="00A871C4">
        <w:rPr>
          <w:rFonts w:eastAsiaTheme="minorEastAsia"/>
          <w:color w:val="000000" w:themeColor="text1"/>
          <w:sz w:val="22"/>
          <w:szCs w:val="22"/>
        </w:rPr>
        <w:t xml:space="preserve">Focus groups with children and young people (n=59) and parents (n=34) </w:t>
      </w:r>
    </w:p>
    <w:p w:rsidR="00E424F7" w:rsidRPr="00A871C4" w:rsidP="00FF410A">
      <w:pPr>
        <w:pStyle w:val="ListParagraph"/>
        <w:numPr>
          <w:ilvl w:val="0"/>
          <w:numId w:val="7"/>
        </w:numPr>
        <w:spacing w:before="240" w:after="240"/>
        <w:jc w:val="both"/>
        <w:rPr>
          <w:rFonts w:eastAsiaTheme="minorEastAsia"/>
          <w:color w:val="000000" w:themeColor="text1"/>
          <w:sz w:val="22"/>
          <w:szCs w:val="22"/>
        </w:rPr>
      </w:pPr>
      <w:r w:rsidRPr="00A871C4">
        <w:rPr>
          <w:rFonts w:eastAsiaTheme="minorEastAsia"/>
          <w:color w:val="000000" w:themeColor="text1"/>
          <w:sz w:val="22"/>
          <w:szCs w:val="22"/>
        </w:rPr>
        <w:t xml:space="preserve">A questionnaire with 240+ respondents from health, local authority, education, arts and VCFSE sectors, with accompanying focus groups with n=19 participants. </w:t>
      </w:r>
    </w:p>
    <w:p w:rsidR="00E424F7" w:rsidRPr="00A871C4" w:rsidP="00FF410A">
      <w:pPr>
        <w:pStyle w:val="ListParagraph"/>
        <w:numPr>
          <w:ilvl w:val="0"/>
          <w:numId w:val="7"/>
        </w:numPr>
        <w:spacing w:before="240" w:after="240"/>
        <w:jc w:val="both"/>
        <w:rPr>
          <w:rFonts w:eastAsiaTheme="minorEastAsia"/>
          <w:color w:val="000000" w:themeColor="text1"/>
          <w:sz w:val="22"/>
          <w:szCs w:val="22"/>
        </w:rPr>
      </w:pPr>
      <w:r w:rsidRPr="00A871C4">
        <w:rPr>
          <w:rFonts w:eastAsiaTheme="minorEastAsia"/>
          <w:color w:val="000000" w:themeColor="text1"/>
          <w:sz w:val="22"/>
          <w:szCs w:val="22"/>
        </w:rPr>
        <w:t xml:space="preserve">A review of published literature identifying barriers/facilitators to access to place-based arts initiatives </w:t>
      </w:r>
    </w:p>
    <w:p w:rsidR="00E424F7" w:rsidRPr="00A871C4" w:rsidP="00FF410A">
      <w:pPr>
        <w:shd w:val="clear" w:color="auto" w:fill="FFFFFF" w:themeFill="background1"/>
        <w:spacing w:after="200"/>
        <w:jc w:val="both"/>
        <w:rPr>
          <w:rFonts w:eastAsiaTheme="minorEastAsia"/>
          <w:b/>
          <w:bCs/>
          <w:color w:val="000000" w:themeColor="text1"/>
          <w:sz w:val="22"/>
          <w:szCs w:val="22"/>
        </w:rPr>
      </w:pPr>
      <w:r w:rsidRPr="00A871C4">
        <w:rPr>
          <w:rFonts w:eastAsiaTheme="minorEastAsia"/>
          <w:b/>
          <w:bCs/>
          <w:color w:val="000000" w:themeColor="text1"/>
          <w:sz w:val="22"/>
          <w:szCs w:val="22"/>
        </w:rPr>
        <w:t>What practical barriers affect joint working between education settings, local authorities, NHS services and voluntary and community sector organisations in supporting children and young people’s mental health, and how could these be addressed?</w:t>
      </w:r>
    </w:p>
    <w:p w:rsidR="00E424F7" w:rsidRPr="00A871C4" w:rsidP="00FF410A">
      <w:pPr>
        <w:shd w:val="clear" w:color="auto" w:fill="FFFFFF" w:themeFill="background1"/>
        <w:jc w:val="both"/>
        <w:rPr>
          <w:rFonts w:eastAsiaTheme="minorEastAsia"/>
          <w:color w:val="000000" w:themeColor="text1"/>
          <w:sz w:val="22"/>
          <w:szCs w:val="22"/>
        </w:rPr>
      </w:pPr>
      <w:r w:rsidRPr="00A871C4">
        <w:rPr>
          <w:rFonts w:eastAsiaTheme="minorEastAsia"/>
          <w:color w:val="000000" w:themeColor="text1"/>
          <w:sz w:val="22"/>
          <w:szCs w:val="22"/>
        </w:rPr>
        <w:t>Access to place-based arts initiatives that support children and young people’s mental health is currently uneven and often dependent on local infrastructure and awareness. Across our studies, drawing on data from young people, parents/carers, arts organisations, arts therapists and professionals across education, health and the voluntary sector, we identified a set of barriers that constrain access to such programmes, despite growing evidence demonstrating their benefits for mental health and wellbeing. Cr</w:t>
      </w:r>
      <w:r w:rsidRPr="00A871C4">
        <w:rPr>
          <w:rFonts w:eastAsiaTheme="minorEastAsia"/>
          <w:color w:val="000000" w:themeColor="text1"/>
          <w:sz w:val="22"/>
          <w:szCs w:val="22"/>
        </w:rPr>
        <w:t xml:space="preserve">ucially, access to these programmes is not determined by availability alone, but the effectiveness of joint working, information-sharing and referral pathways between sectors. </w:t>
      </w:r>
    </w:p>
    <w:p w:rsidR="00E424F7" w:rsidRPr="00A871C4" w:rsidP="00FF410A">
      <w:pPr>
        <w:shd w:val="clear" w:color="auto" w:fill="FFFFFF" w:themeFill="background1"/>
        <w:jc w:val="both"/>
        <w:rPr>
          <w:rFonts w:eastAsiaTheme="minorEastAsia"/>
          <w:color w:val="000000" w:themeColor="text1"/>
          <w:sz w:val="22"/>
          <w:szCs w:val="22"/>
        </w:rPr>
      </w:pPr>
    </w:p>
    <w:p w:rsidR="00E424F7" w:rsidRPr="00A871C4" w:rsidP="00FF410A">
      <w:pPr>
        <w:shd w:val="clear" w:color="auto" w:fill="FFFFFF" w:themeFill="background1"/>
        <w:jc w:val="both"/>
        <w:rPr>
          <w:rFonts w:eastAsiaTheme="minorEastAsia"/>
          <w:color w:val="000000" w:themeColor="text1"/>
          <w:sz w:val="22"/>
          <w:szCs w:val="22"/>
        </w:rPr>
      </w:pPr>
      <w:r w:rsidRPr="00A871C4">
        <w:rPr>
          <w:rFonts w:eastAsiaTheme="minorEastAsia"/>
          <w:color w:val="000000" w:themeColor="text1"/>
          <w:sz w:val="22"/>
          <w:szCs w:val="22"/>
        </w:rPr>
        <w:t xml:space="preserve">A key barrier is limited exposure to the arts within educational settings, alongside a broader undervaluing of their role in supporting mental health. Schools are a universal point of access and therefore a critical site for early engagement. However, stakeholders across sectors consistently report a decline in arts provision within the school day, alongside competing curricular pressures. This reduced exposure limits young people’s familiarity with and confidence in engaging with arts activities, which in </w:t>
      </w:r>
      <w:r w:rsidRPr="00A871C4">
        <w:rPr>
          <w:rFonts w:eastAsiaTheme="minorEastAsia"/>
          <w:color w:val="000000" w:themeColor="text1"/>
          <w:sz w:val="22"/>
          <w:szCs w:val="22"/>
        </w:rPr>
        <w:t xml:space="preserve">turn affects their willingness to access community-based or referred programmes. In practice, this creates a disconnect between sectors: while arts organisations and voluntary services may offer appropriate provision, young people are less likely to be identified, referred, or to self-initiate engagement due to low visibility and limited prior experience. </w:t>
      </w:r>
    </w:p>
    <w:p w:rsidR="00E424F7" w:rsidP="00FF410A">
      <w:pPr>
        <w:shd w:val="clear" w:color="auto" w:fill="FFFFFF" w:themeFill="background1"/>
        <w:jc w:val="both"/>
        <w:rPr>
          <w:rFonts w:eastAsiaTheme="minorEastAsia"/>
          <w:color w:val="000000" w:themeColor="text1"/>
        </w:rPr>
      </w:pPr>
    </w:p>
    <w:tbl>
      <w:tblPr>
        <w:tblStyle w:val="TableGrid"/>
        <w:tblW w:w="0" w:type="auto"/>
        <w:tblInd w:w="421" w:type="dxa"/>
        <w:tblLook w:val="04A0"/>
      </w:tblPr>
      <w:tblGrid>
        <w:gridCol w:w="8221"/>
      </w:tblGrid>
      <w:tr w:rsidTr="00667F66">
        <w:tblPrEx>
          <w:tblW w:w="0" w:type="auto"/>
          <w:tblInd w:w="421" w:type="dxa"/>
          <w:tblLook w:val="04A0"/>
        </w:tblPrEx>
        <w:tc>
          <w:tcPr>
            <w:tcW w:w="8221" w:type="dxa"/>
            <w:shd w:val="clear" w:color="auto" w:fill="F2CEED" w:themeFill="accent5" w:themeFillTint="33"/>
          </w:tcPr>
          <w:p w:rsidR="00E424F7" w:rsidRPr="00F7164D" w:rsidP="00DB4558">
            <w:pPr>
              <w:jc w:val="both"/>
              <w:rPr>
                <w:rFonts w:ascii="Aptos" w:hAnsi="Aptos" w:eastAsiaTheme="minorEastAsia"/>
                <w:color w:val="000000" w:themeColor="text1"/>
                <w:sz w:val="20"/>
                <w:szCs w:val="20"/>
              </w:rPr>
            </w:pPr>
            <w:r w:rsidRPr="00F7164D">
              <w:rPr>
                <w:rFonts w:ascii="Aptos" w:hAnsi="Aptos" w:cs="Times New Roman"/>
                <w:i/>
                <w:iCs/>
                <w:sz w:val="20"/>
                <w:szCs w:val="20"/>
              </w:rPr>
              <w:t>[Audible sigh] Arts is having no time in this area. In this time, you know, in this, its lost somewhere - Parent</w:t>
            </w:r>
          </w:p>
          <w:p w:rsidR="00E424F7" w:rsidRPr="00F7164D" w:rsidP="00DB4558">
            <w:pPr>
              <w:jc w:val="both"/>
              <w:rPr>
                <w:rFonts w:ascii="Aptos" w:hAnsi="Aptos" w:eastAsiaTheme="minorEastAsia"/>
                <w:color w:val="000000" w:themeColor="text1"/>
                <w:sz w:val="20"/>
                <w:szCs w:val="20"/>
              </w:rPr>
            </w:pPr>
          </w:p>
          <w:p w:rsidR="00E424F7" w:rsidRPr="00C700AE" w:rsidP="00DB4558">
            <w:pPr>
              <w:jc w:val="both"/>
              <w:rPr>
                <w:rFonts w:eastAsia="Segoe UI" w:cs="Segoe UI"/>
                <w:i/>
                <w:iCs/>
                <w:color w:val="232330"/>
                <w:sz w:val="20"/>
                <w:szCs w:val="20"/>
              </w:rPr>
            </w:pPr>
            <w:r>
              <w:rPr>
                <w:rFonts w:eastAsia="Segoe UI" w:cs="Segoe UI"/>
                <w:i/>
                <w:iCs/>
                <w:color w:val="232330"/>
                <w:sz w:val="20"/>
                <w:szCs w:val="20"/>
              </w:rPr>
              <w:t>T</w:t>
            </w:r>
            <w:r w:rsidRPr="00C700AE">
              <w:rPr>
                <w:rFonts w:eastAsia="Segoe UI" w:cs="Segoe UI"/>
                <w:i/>
                <w:iCs/>
                <w:color w:val="232330"/>
                <w:sz w:val="20"/>
                <w:szCs w:val="20"/>
              </w:rPr>
              <w:t>he Arts and humanities have been, and are being</w:t>
            </w:r>
            <w:r>
              <w:rPr>
                <w:rFonts w:eastAsia="Segoe UI" w:cs="Segoe UI"/>
                <w:i/>
                <w:iCs/>
                <w:color w:val="232330"/>
                <w:sz w:val="20"/>
                <w:szCs w:val="20"/>
              </w:rPr>
              <w:t>,</w:t>
            </w:r>
            <w:r w:rsidRPr="00C700AE">
              <w:rPr>
                <w:rFonts w:eastAsia="Segoe UI" w:cs="Segoe UI"/>
                <w:i/>
                <w:iCs/>
                <w:color w:val="232330"/>
                <w:sz w:val="20"/>
                <w:szCs w:val="20"/>
              </w:rPr>
              <w:t xml:space="preserve"> savagely cut in an ongoing basis</w:t>
            </w:r>
            <w:r>
              <w:rPr>
                <w:rFonts w:eastAsia="Segoe UI" w:cs="Segoe UI"/>
                <w:i/>
                <w:iCs/>
                <w:color w:val="232330"/>
                <w:sz w:val="20"/>
                <w:szCs w:val="20"/>
              </w:rPr>
              <w:t>…</w:t>
            </w:r>
            <w:r w:rsidRPr="00C700AE">
              <w:rPr>
                <w:rFonts w:eastAsia="Segoe UI" w:cs="Segoe UI"/>
                <w:i/>
                <w:iCs/>
                <w:color w:val="232330"/>
                <w:sz w:val="20"/>
                <w:szCs w:val="20"/>
              </w:rPr>
              <w:t xml:space="preserve"> those of us who work in the arts, no matter where we are probably have to go that wee</w:t>
            </w:r>
            <w:r w:rsidRPr="00C700AE">
              <w:rPr>
                <w:rFonts w:eastAsia="Segoe UI" w:cs="Segoe UI"/>
                <w:i/>
                <w:iCs/>
                <w:color w:val="232330"/>
                <w:sz w:val="20"/>
                <w:szCs w:val="20"/>
              </w:rPr>
              <w:t xml:space="preserve"> a bit further than most people to sort of justify and provide rationales for our existence. And then that being so, there's got to be a kind of a downhill kind of trickle-down effect on the provision of services or the availability of activities and so on and so forth – Education Researcher</w:t>
            </w:r>
          </w:p>
        </w:tc>
      </w:tr>
    </w:tbl>
    <w:p w:rsidR="00E424F7" w:rsidP="00FF410A">
      <w:pPr>
        <w:shd w:val="clear" w:color="auto" w:fill="FFFFFF" w:themeFill="background1"/>
        <w:jc w:val="both"/>
        <w:rPr>
          <w:rFonts w:eastAsiaTheme="minorEastAsia"/>
          <w:color w:val="000000" w:themeColor="text1"/>
        </w:rPr>
      </w:pPr>
    </w:p>
    <w:p w:rsidR="00E424F7" w:rsidRPr="00A871C4" w:rsidP="00FF410A">
      <w:pPr>
        <w:shd w:val="clear" w:color="auto" w:fill="FFFFFF" w:themeFill="background1"/>
        <w:jc w:val="both"/>
        <w:rPr>
          <w:rFonts w:eastAsiaTheme="minorEastAsia"/>
          <w:color w:val="000000" w:themeColor="text1"/>
          <w:sz w:val="22"/>
          <w:szCs w:val="22"/>
        </w:rPr>
      </w:pPr>
      <w:r w:rsidRPr="00A871C4">
        <w:rPr>
          <w:rFonts w:eastAsiaTheme="minorEastAsia"/>
          <w:color w:val="000000" w:themeColor="text1"/>
          <w:sz w:val="22"/>
          <w:szCs w:val="22"/>
        </w:rPr>
        <w:t>This lack of alignment between education and community provision reflects broader challenges in joint working. Information about local arts opportunities is often fragmented, inconsistently communicated, and reliant on informal networks rather than systematic pathways. As a result, professionals in schools and health services may be unaware of available provision, while arts organisations report difficulties in embedding consistent programmes in schools that reach CYP most likely to benefit. This leads to i</w:t>
      </w:r>
      <w:r w:rsidRPr="00A871C4">
        <w:rPr>
          <w:rFonts w:eastAsiaTheme="minorEastAsia"/>
          <w:color w:val="000000" w:themeColor="text1"/>
          <w:sz w:val="22"/>
          <w:szCs w:val="22"/>
        </w:rPr>
        <w:t xml:space="preserve">nefficiencies across the system, with existing resources and expertise from the arts and voluntary sectors underutilised and access mediated by chance, or via one committed individual, rather than coordinated support. </w:t>
      </w:r>
    </w:p>
    <w:p w:rsidR="00E424F7" w:rsidP="00FF410A">
      <w:pPr>
        <w:shd w:val="clear" w:color="auto" w:fill="FFFFFF" w:themeFill="background1"/>
        <w:jc w:val="both"/>
        <w:rPr>
          <w:rFonts w:eastAsiaTheme="minorEastAsia"/>
          <w:color w:val="000000" w:themeColor="text1"/>
        </w:rPr>
      </w:pPr>
    </w:p>
    <w:tbl>
      <w:tblPr>
        <w:tblStyle w:val="TableGrid"/>
        <w:tblW w:w="0" w:type="auto"/>
        <w:tblInd w:w="562" w:type="dxa"/>
        <w:tblLook w:val="04A0"/>
      </w:tblPr>
      <w:tblGrid>
        <w:gridCol w:w="7938"/>
      </w:tblGrid>
      <w:tr w:rsidTr="00AD56B1">
        <w:tblPrEx>
          <w:tblW w:w="0" w:type="auto"/>
          <w:tblInd w:w="562" w:type="dxa"/>
          <w:tblLook w:val="04A0"/>
        </w:tblPrEx>
        <w:tc>
          <w:tcPr>
            <w:tcW w:w="7938" w:type="dxa"/>
            <w:shd w:val="clear" w:color="auto" w:fill="F2CEED" w:themeFill="accent5" w:themeFillTint="33"/>
          </w:tcPr>
          <w:p w:rsidR="00E424F7" w:rsidP="00AD56B1">
            <w:pPr>
              <w:jc w:val="both"/>
              <w:rPr>
                <w:rFonts w:cs="Times New Roman"/>
                <w:i/>
                <w:iCs/>
                <w:sz w:val="20"/>
                <w:szCs w:val="20"/>
              </w:rPr>
            </w:pPr>
            <w:r w:rsidRPr="00AD56B1">
              <w:rPr>
                <w:rFonts w:cs="Times New Roman"/>
                <w:i/>
                <w:iCs/>
                <w:sz w:val="20"/>
                <w:szCs w:val="20"/>
              </w:rPr>
              <w:t>We did do a good [arts activity for wellbeing], and it was free. They had funding. But again, you don’t know about it, I just happened to be in the library – Parent</w:t>
            </w:r>
          </w:p>
          <w:p w:rsidR="00E424F7" w:rsidP="00AD56B1">
            <w:pPr>
              <w:jc w:val="both"/>
              <w:rPr>
                <w:rFonts w:cs="Times New Roman"/>
                <w:i/>
                <w:iCs/>
                <w:sz w:val="20"/>
                <w:szCs w:val="20"/>
              </w:rPr>
            </w:pPr>
          </w:p>
          <w:p w:rsidR="00E424F7" w:rsidRPr="000457E6" w:rsidP="00AD56B1">
            <w:pPr>
              <w:jc w:val="both"/>
              <w:rPr>
                <w:rFonts w:cs="Times New Roman"/>
                <w:i/>
                <w:iCs/>
                <w:sz w:val="20"/>
                <w:szCs w:val="20"/>
              </w:rPr>
            </w:pPr>
            <w:r w:rsidRPr="000457E6">
              <w:rPr>
                <w:rFonts w:cs="Times New Roman"/>
                <w:i/>
                <w:sz w:val="20"/>
                <w:szCs w:val="20"/>
                <w:lang w:val="en-AU"/>
              </w:rPr>
              <w:t>If you’re not in that [WhatsApp] group, then you don’t know about it [arts activity for wellbeing] - Parent</w:t>
            </w:r>
          </w:p>
        </w:tc>
      </w:tr>
    </w:tbl>
    <w:p w:rsidR="00E424F7" w:rsidP="00FF410A">
      <w:pPr>
        <w:shd w:val="clear" w:color="auto" w:fill="FFFFFF" w:themeFill="background1"/>
        <w:jc w:val="both"/>
        <w:rPr>
          <w:rFonts w:eastAsiaTheme="minorEastAsia"/>
          <w:color w:val="000000" w:themeColor="text1"/>
        </w:rPr>
      </w:pPr>
    </w:p>
    <w:p w:rsidR="00E424F7" w:rsidRPr="00A871C4" w:rsidP="00FF410A">
      <w:pPr>
        <w:shd w:val="clear" w:color="auto" w:fill="FFFFFF" w:themeFill="background1"/>
        <w:jc w:val="both"/>
        <w:rPr>
          <w:rFonts w:eastAsiaTheme="minorEastAsia"/>
          <w:color w:val="000000" w:themeColor="text1"/>
          <w:sz w:val="22"/>
          <w:szCs w:val="22"/>
        </w:rPr>
      </w:pPr>
      <w:r w:rsidRPr="00A871C4">
        <w:rPr>
          <w:rFonts w:eastAsiaTheme="minorEastAsia"/>
          <w:color w:val="000000" w:themeColor="text1"/>
          <w:sz w:val="22"/>
          <w:szCs w:val="22"/>
        </w:rPr>
        <w:t>Addressing these barriers requires strengthening cross-sector infrastructure rather than relying on individual organisations. This includes embedding arts and cultural provision within education as a core component of wellbeing support, developing clearer referral and signposting pathways between schools, NHS services and the voluntary sector (including through the embedding of social prescribing link workers within schools), and investing in locally coordinated systems that map, connect and sustain provisi</w:t>
      </w:r>
      <w:r w:rsidRPr="00A871C4">
        <w:rPr>
          <w:rFonts w:eastAsiaTheme="minorEastAsia"/>
          <w:color w:val="000000" w:themeColor="text1"/>
          <w:sz w:val="22"/>
          <w:szCs w:val="22"/>
        </w:rPr>
        <w:t>on (such as through ICSs or local authorities). Without this, access to arts-based mental health support will remain uneven and dependent on local knowledge, capacity and individual advocacy.</w:t>
      </w:r>
    </w:p>
    <w:p w:rsidR="00E424F7" w:rsidP="00FF410A">
      <w:pPr>
        <w:shd w:val="clear" w:color="auto" w:fill="FFFFFF" w:themeFill="background1"/>
        <w:jc w:val="both"/>
        <w:rPr>
          <w:rFonts w:eastAsiaTheme="minorEastAsia"/>
          <w:b/>
          <w:bCs/>
          <w:color w:val="000000" w:themeColor="text1"/>
        </w:rPr>
      </w:pPr>
    </w:p>
    <w:tbl>
      <w:tblPr>
        <w:tblStyle w:val="TableGrid"/>
        <w:tblW w:w="0" w:type="auto"/>
        <w:tblLook w:val="06A0"/>
      </w:tblPr>
      <w:tblGrid>
        <w:gridCol w:w="9016"/>
      </w:tblGrid>
      <w:tr w:rsidTr="00E06DF6">
        <w:tblPrEx>
          <w:tblW w:w="0" w:type="auto"/>
          <w:tblLook w:val="06A0"/>
        </w:tblPrEx>
        <w:trPr>
          <w:trHeight w:val="300"/>
        </w:trPr>
        <w:tc>
          <w:tcPr>
            <w:tcW w:w="10800" w:type="dxa"/>
          </w:tcPr>
          <w:p w:rsidR="00E424F7" w:rsidRPr="00A871C4" w:rsidP="00E06DF6">
            <w:pPr>
              <w:shd w:val="clear" w:color="auto" w:fill="FFFFFF" w:themeFill="background1"/>
              <w:jc w:val="both"/>
              <w:rPr>
                <w:rFonts w:eastAsiaTheme="minorEastAsia"/>
                <w:b/>
                <w:bCs/>
                <w:color w:val="000000" w:themeColor="text1"/>
                <w:sz w:val="22"/>
                <w:szCs w:val="22"/>
              </w:rPr>
            </w:pPr>
            <w:r w:rsidRPr="00A871C4">
              <w:rPr>
                <w:rFonts w:eastAsiaTheme="minorEastAsia"/>
                <w:b/>
                <w:bCs/>
                <w:color w:val="000000" w:themeColor="text1"/>
                <w:sz w:val="22"/>
                <w:szCs w:val="22"/>
              </w:rPr>
              <w:t xml:space="preserve">Recommendations: </w:t>
            </w:r>
          </w:p>
          <w:p w:rsidR="00E424F7" w:rsidRPr="00A871C4" w:rsidP="00E06DF6">
            <w:pPr>
              <w:shd w:val="clear" w:color="auto" w:fill="FFFFFF" w:themeFill="background1"/>
              <w:jc w:val="both"/>
              <w:rPr>
                <w:rFonts w:eastAsiaTheme="minorEastAsia"/>
                <w:color w:val="000000" w:themeColor="text1"/>
                <w:sz w:val="22"/>
                <w:szCs w:val="22"/>
              </w:rPr>
            </w:pPr>
          </w:p>
          <w:p w:rsidR="00E424F7" w:rsidRPr="00A871C4" w:rsidP="00A871C4">
            <w:pPr>
              <w:pStyle w:val="ListParagraph"/>
              <w:numPr>
                <w:ilvl w:val="0"/>
                <w:numId w:val="15"/>
              </w:numPr>
              <w:shd w:val="clear" w:color="auto" w:fill="FFFFFF" w:themeFill="background1"/>
              <w:ind w:left="360"/>
              <w:jc w:val="both"/>
              <w:rPr>
                <w:rFonts w:eastAsiaTheme="minorEastAsia"/>
                <w:color w:val="000000" w:themeColor="text1"/>
                <w:sz w:val="22"/>
                <w:szCs w:val="22"/>
              </w:rPr>
            </w:pPr>
            <w:r w:rsidRPr="00A871C4">
              <w:rPr>
                <w:rFonts w:eastAsiaTheme="minorEastAsia"/>
                <w:b/>
                <w:bCs/>
                <w:color w:val="000000" w:themeColor="text1"/>
                <w:sz w:val="22"/>
                <w:szCs w:val="22"/>
              </w:rPr>
              <w:t>Support the development of locally coordinated systems</w:t>
            </w:r>
            <w:r w:rsidRPr="00A871C4">
              <w:rPr>
                <w:rFonts w:eastAsiaTheme="minorEastAsia"/>
                <w:color w:val="000000" w:themeColor="text1"/>
                <w:sz w:val="22"/>
                <w:szCs w:val="22"/>
              </w:rPr>
              <w:t xml:space="preserve"> (e.g. via Integrated Care Systems or local authorities) </w:t>
            </w:r>
            <w:r w:rsidRPr="00A871C4">
              <w:rPr>
                <w:rFonts w:eastAsiaTheme="minorEastAsia"/>
                <w:b/>
                <w:bCs/>
                <w:color w:val="000000" w:themeColor="text1"/>
                <w:sz w:val="22"/>
                <w:szCs w:val="22"/>
              </w:rPr>
              <w:t>that actively map, maintain and share information on arts and wellbeing provision across education, health and voluntary sectors</w:t>
            </w:r>
            <w:r w:rsidRPr="00A871C4">
              <w:rPr>
                <w:rFonts w:eastAsiaTheme="minorEastAsia"/>
                <w:color w:val="000000" w:themeColor="text1"/>
                <w:sz w:val="22"/>
                <w:szCs w:val="22"/>
              </w:rPr>
              <w:t>. This should be underpinned by shared digital infrastructure that enables real-time updating of provision and improves visibility across services rather than relying on static directories or informal networks.</w:t>
            </w:r>
          </w:p>
          <w:p w:rsidR="00E424F7" w:rsidRPr="00A871C4" w:rsidP="00A871C4">
            <w:pPr>
              <w:pStyle w:val="ListParagraph"/>
              <w:shd w:val="clear" w:color="auto" w:fill="FFFFFF" w:themeFill="background1"/>
              <w:ind w:left="360"/>
              <w:jc w:val="both"/>
              <w:rPr>
                <w:rFonts w:eastAsiaTheme="minorEastAsia"/>
                <w:color w:val="000000" w:themeColor="text1"/>
                <w:sz w:val="22"/>
                <w:szCs w:val="22"/>
              </w:rPr>
            </w:pPr>
          </w:p>
          <w:p w:rsidR="00E424F7" w:rsidRPr="00A871C4" w:rsidP="00A871C4">
            <w:pPr>
              <w:pStyle w:val="ListParagraph"/>
              <w:numPr>
                <w:ilvl w:val="0"/>
                <w:numId w:val="15"/>
              </w:numPr>
              <w:shd w:val="clear" w:color="auto" w:fill="FFFFFF" w:themeFill="background1"/>
              <w:ind w:left="360"/>
              <w:jc w:val="both"/>
              <w:rPr>
                <w:rFonts w:eastAsiaTheme="minorEastAsia"/>
                <w:color w:val="000000" w:themeColor="text1"/>
                <w:sz w:val="22"/>
                <w:szCs w:val="22"/>
              </w:rPr>
            </w:pPr>
            <w:r w:rsidRPr="00A871C4">
              <w:rPr>
                <w:rFonts w:eastAsiaTheme="minorEastAsia"/>
                <w:b/>
                <w:bCs/>
                <w:color w:val="000000" w:themeColor="text1"/>
                <w:sz w:val="22"/>
                <w:szCs w:val="22"/>
              </w:rPr>
              <w:t>Establish clear and consistent referral pathways between schools, NHS services and VCFSE and cultural sector organisations</w:t>
            </w:r>
            <w:r w:rsidRPr="00A871C4">
              <w:rPr>
                <w:rFonts w:eastAsiaTheme="minorEastAsia"/>
                <w:color w:val="000000" w:themeColor="text1"/>
                <w:sz w:val="22"/>
                <w:szCs w:val="22"/>
              </w:rPr>
              <w:t xml:space="preserve">, enabling professionals to routinely identify and refer CYP to appropriate arts-based support. Existing roles embedded within schools and communities, such as mental health support teams and social prescribing link workers, should be explicitly integrated into these pathways to better link professionals and practitioners with those who most need support. </w:t>
            </w:r>
          </w:p>
          <w:p w:rsidR="00E424F7" w:rsidRPr="00A871C4" w:rsidP="00A871C4">
            <w:pPr>
              <w:pStyle w:val="ListParagraph"/>
              <w:ind w:left="360"/>
              <w:rPr>
                <w:rFonts w:eastAsiaTheme="minorEastAsia"/>
                <w:color w:val="000000" w:themeColor="text1"/>
                <w:sz w:val="22"/>
                <w:szCs w:val="22"/>
              </w:rPr>
            </w:pPr>
          </w:p>
          <w:p w:rsidR="00E424F7" w:rsidRPr="00A871C4" w:rsidP="00A871C4">
            <w:pPr>
              <w:pStyle w:val="ListParagraph"/>
              <w:numPr>
                <w:ilvl w:val="0"/>
                <w:numId w:val="15"/>
              </w:numPr>
              <w:shd w:val="clear" w:color="auto" w:fill="FFFFFF" w:themeFill="background1"/>
              <w:ind w:left="360"/>
              <w:jc w:val="both"/>
              <w:rPr>
                <w:rFonts w:eastAsiaTheme="minorEastAsia"/>
                <w:color w:val="000000" w:themeColor="text1"/>
                <w:sz w:val="22"/>
                <w:szCs w:val="22"/>
              </w:rPr>
            </w:pPr>
            <w:r w:rsidRPr="00A871C4">
              <w:rPr>
                <w:rFonts w:eastAsiaTheme="minorEastAsia"/>
                <w:b/>
                <w:bCs/>
                <w:color w:val="000000" w:themeColor="text1"/>
                <w:sz w:val="22"/>
                <w:szCs w:val="22"/>
              </w:rPr>
              <w:t>Support schools to function as active connectors between local health and wellbeing systems</w:t>
            </w:r>
            <w:r w:rsidRPr="00A871C4">
              <w:rPr>
                <w:rFonts w:eastAsiaTheme="minorEastAsia"/>
                <w:color w:val="000000" w:themeColor="text1"/>
                <w:sz w:val="22"/>
                <w:szCs w:val="22"/>
              </w:rPr>
              <w:t>, including structured links with community and voluntary sector provision and clear routes for onward referral.</w:t>
            </w:r>
          </w:p>
          <w:p w:rsidR="00E424F7" w:rsidRPr="00A871C4" w:rsidP="00A871C4">
            <w:pPr>
              <w:pStyle w:val="ListParagraph"/>
              <w:shd w:val="clear" w:color="auto" w:fill="FFFFFF" w:themeFill="background1"/>
              <w:ind w:left="360"/>
              <w:jc w:val="both"/>
              <w:rPr>
                <w:rFonts w:eastAsiaTheme="minorEastAsia"/>
                <w:color w:val="000000" w:themeColor="text1"/>
                <w:sz w:val="22"/>
                <w:szCs w:val="22"/>
              </w:rPr>
            </w:pPr>
          </w:p>
          <w:p w:rsidR="00E424F7" w:rsidP="00A871C4">
            <w:pPr>
              <w:pStyle w:val="ListParagraph"/>
              <w:numPr>
                <w:ilvl w:val="0"/>
                <w:numId w:val="15"/>
              </w:numPr>
              <w:shd w:val="clear" w:color="auto" w:fill="FFFFFF" w:themeFill="background1"/>
              <w:ind w:left="360"/>
              <w:jc w:val="both"/>
              <w:rPr>
                <w:rFonts w:eastAsiaTheme="minorEastAsia"/>
                <w:color w:val="000000" w:themeColor="text1"/>
                <w:sz w:val="22"/>
                <w:szCs w:val="22"/>
              </w:rPr>
            </w:pPr>
            <w:r w:rsidRPr="00A871C4">
              <w:rPr>
                <w:rFonts w:eastAsiaTheme="minorEastAsia"/>
                <w:b/>
                <w:bCs/>
                <w:color w:val="000000" w:themeColor="text1"/>
                <w:sz w:val="22"/>
                <w:szCs w:val="22"/>
              </w:rPr>
              <w:t>Funding models should be adapted to explicitly resource the time and capacity required for joint working across sectors</w:t>
            </w:r>
            <w:r w:rsidRPr="00A871C4">
              <w:rPr>
                <w:rFonts w:eastAsiaTheme="minorEastAsia"/>
                <w:color w:val="000000" w:themeColor="text1"/>
                <w:sz w:val="22"/>
                <w:szCs w:val="22"/>
              </w:rPr>
              <w:t>, including time for relationship-building and coordination. Without this, collaboration is often dependent on discretionary effort and is difficult to sustain and scale.</w:t>
            </w:r>
          </w:p>
          <w:p w:rsidR="00E424F7" w:rsidRPr="00A871C4" w:rsidP="0013225E">
            <w:pPr>
              <w:pStyle w:val="ListParagraph"/>
              <w:shd w:val="clear" w:color="auto" w:fill="FFFFFF" w:themeFill="background1"/>
              <w:ind w:left="360"/>
              <w:jc w:val="both"/>
              <w:rPr>
                <w:rFonts w:eastAsiaTheme="minorEastAsia"/>
                <w:color w:val="000000" w:themeColor="text1"/>
                <w:sz w:val="22"/>
                <w:szCs w:val="22"/>
              </w:rPr>
            </w:pPr>
          </w:p>
        </w:tc>
      </w:tr>
    </w:tbl>
    <w:p w:rsidR="00E424F7" w:rsidP="00FF410A">
      <w:pPr>
        <w:shd w:val="clear" w:color="auto" w:fill="FFFFFF" w:themeFill="background1"/>
        <w:jc w:val="both"/>
        <w:rPr>
          <w:rFonts w:eastAsiaTheme="minorEastAsia"/>
          <w:color w:val="000000" w:themeColor="text1"/>
        </w:rPr>
      </w:pPr>
      <w:r w:rsidRPr="1F579A53">
        <w:rPr>
          <w:rFonts w:eastAsiaTheme="minorEastAsia"/>
          <w:color w:val="000000" w:themeColor="text1"/>
        </w:rPr>
        <w:t xml:space="preserve"> </w:t>
      </w:r>
    </w:p>
    <w:p w:rsidR="00E424F7" w:rsidRPr="008D2CF2" w:rsidP="00FF410A">
      <w:pPr>
        <w:shd w:val="clear" w:color="auto" w:fill="FFFFFF" w:themeFill="background1"/>
        <w:jc w:val="both"/>
        <w:rPr>
          <w:rFonts w:eastAsiaTheme="minorEastAsia"/>
          <w:color w:val="000000" w:themeColor="text1"/>
          <w:sz w:val="22"/>
          <w:szCs w:val="22"/>
        </w:rPr>
      </w:pPr>
      <w:r w:rsidRPr="008D2CF2">
        <w:rPr>
          <w:rFonts w:eastAsiaTheme="minorEastAsia"/>
          <w:b/>
          <w:bCs/>
          <w:color w:val="000000" w:themeColor="text1"/>
          <w:sz w:val="22"/>
          <w:szCs w:val="22"/>
        </w:rPr>
        <w:t>How can education-based, voluntary and community, and health workforces collaborate to optimise the mental health workforce and ensure sufficient support for children within capacity constraints? </w:t>
      </w:r>
    </w:p>
    <w:p w:rsidR="00E424F7" w:rsidRPr="008D2CF2" w:rsidP="00FF410A">
      <w:pPr>
        <w:shd w:val="clear" w:color="auto" w:fill="FFFFFF" w:themeFill="background1"/>
        <w:jc w:val="both"/>
        <w:rPr>
          <w:rFonts w:eastAsiaTheme="minorEastAsia"/>
          <w:color w:val="000000" w:themeColor="text1"/>
          <w:sz w:val="22"/>
          <w:szCs w:val="22"/>
        </w:rPr>
      </w:pPr>
    </w:p>
    <w:p w:rsidR="00E424F7" w:rsidRPr="008D2CF2" w:rsidP="00FF410A">
      <w:pPr>
        <w:shd w:val="clear" w:color="auto" w:fill="FFFFFF" w:themeFill="background1"/>
        <w:jc w:val="both"/>
        <w:rPr>
          <w:rFonts w:eastAsiaTheme="minorEastAsia"/>
          <w:color w:val="000000" w:themeColor="text1"/>
          <w:sz w:val="22"/>
          <w:szCs w:val="22"/>
        </w:rPr>
      </w:pPr>
      <w:r w:rsidRPr="008D2CF2">
        <w:rPr>
          <w:rFonts w:eastAsiaTheme="minorEastAsia"/>
          <w:color w:val="000000" w:themeColor="text1"/>
          <w:sz w:val="22"/>
          <w:szCs w:val="22"/>
        </w:rPr>
        <w:t>There are clear examples in England of effective collaboration between education, health, VCFSE, and the cultural sector that support CYP’s mental health. In these contexts, arts organisations, schools and health services work together to provide accessible, preventative and relational forms of support that complement clinical provision. However, our research suggests that such collaboration is inconsistent and highly dependent on local relationships, resources and infrastructure.  Arts4Us research is focus</w:t>
      </w:r>
      <w:r w:rsidRPr="008D2CF2">
        <w:rPr>
          <w:rFonts w:eastAsiaTheme="minorEastAsia"/>
          <w:color w:val="000000" w:themeColor="text1"/>
          <w:sz w:val="22"/>
          <w:szCs w:val="22"/>
        </w:rPr>
        <w:t xml:space="preserve">sed in the </w:t>
      </w:r>
      <w:r w:rsidRPr="008D2CF2">
        <w:rPr>
          <w:rFonts w:eastAsiaTheme="minorEastAsia"/>
          <w:color w:val="000000" w:themeColor="text1"/>
          <w:sz w:val="22"/>
          <w:szCs w:val="22"/>
        </w:rPr>
        <w:t xml:space="preserve">North West of England, where both access to health services and arts opportunities are dependent on where CYP live, resulting in a postcode lottery in access to collaborative support. </w:t>
      </w:r>
    </w:p>
    <w:p w:rsidR="00E424F7" w:rsidRPr="008D2CF2" w:rsidP="00FF410A">
      <w:pPr>
        <w:shd w:val="clear" w:color="auto" w:fill="FFFFFF" w:themeFill="background1"/>
        <w:jc w:val="both"/>
        <w:rPr>
          <w:rFonts w:eastAsiaTheme="minorEastAsia"/>
          <w:color w:val="000000" w:themeColor="text1"/>
          <w:sz w:val="22"/>
          <w:szCs w:val="22"/>
        </w:rPr>
      </w:pPr>
    </w:p>
    <w:p w:rsidR="00E424F7" w:rsidRPr="008D2CF2" w:rsidP="00FF410A">
      <w:pPr>
        <w:shd w:val="clear" w:color="auto" w:fill="FFFFFF" w:themeFill="background1"/>
        <w:jc w:val="both"/>
        <w:rPr>
          <w:rFonts w:eastAsiaTheme="minorEastAsia"/>
          <w:color w:val="000000" w:themeColor="text1"/>
          <w:sz w:val="22"/>
          <w:szCs w:val="22"/>
        </w:rPr>
      </w:pPr>
      <w:r w:rsidRPr="008D2CF2">
        <w:rPr>
          <w:rFonts w:eastAsiaTheme="minorEastAsia"/>
          <w:color w:val="000000" w:themeColor="text1"/>
          <w:sz w:val="22"/>
          <w:szCs w:val="22"/>
        </w:rPr>
        <w:t xml:space="preserve">A key issue is that arts and VCFSE organisations are not consistently recognised as part of the CYP mental health workforce, despite delivering provision that supports emotional regulation, </w:t>
      </w:r>
      <w:r w:rsidRPr="008D2CF2">
        <w:rPr>
          <w:rFonts w:eastAsiaTheme="minorEastAsia"/>
          <w:color w:val="000000" w:themeColor="text1"/>
          <w:sz w:val="22"/>
          <w:szCs w:val="22"/>
        </w:rPr>
        <w:t xml:space="preserve">builds confidence and self-esteem, and supports social connection. In areas where these partnerships exist, these organisations are embedded within local systems and contribute meaningfully to early intervention and ongoing support (e.g. More Music in Morecambe; Odd </w:t>
      </w:r>
      <w:r>
        <w:rPr>
          <w:rFonts w:eastAsiaTheme="minorEastAsia"/>
          <w:color w:val="000000" w:themeColor="text1"/>
          <w:sz w:val="22"/>
          <w:szCs w:val="22"/>
        </w:rPr>
        <w:t>A</w:t>
      </w:r>
      <w:r w:rsidRPr="008D2CF2">
        <w:rPr>
          <w:rFonts w:eastAsiaTheme="minorEastAsia"/>
          <w:color w:val="000000" w:themeColor="text1"/>
          <w:sz w:val="22"/>
          <w:szCs w:val="22"/>
        </w:rPr>
        <w:t>rts in Manchester; Grow Wellbeing CIC, Birkenhead). However, in many areas, their role remains peripheral, limiting opportunities to make use of existing workforce capacity and skills</w:t>
      </w:r>
      <w:r>
        <w:rPr>
          <w:rFonts w:eastAsiaTheme="minorEastAsia"/>
          <w:color w:val="000000" w:themeColor="text1"/>
          <w:sz w:val="22"/>
          <w:szCs w:val="22"/>
        </w:rPr>
        <w:t>.</w:t>
      </w:r>
    </w:p>
    <w:p w:rsidR="00E424F7" w:rsidP="00FF410A">
      <w:pPr>
        <w:shd w:val="clear" w:color="auto" w:fill="FFFFFF" w:themeFill="background1"/>
        <w:jc w:val="both"/>
        <w:rPr>
          <w:rFonts w:eastAsiaTheme="minorEastAsia"/>
          <w:color w:val="000000" w:themeColor="text1"/>
        </w:rPr>
      </w:pPr>
    </w:p>
    <w:tbl>
      <w:tblPr>
        <w:tblStyle w:val="TableGrid"/>
        <w:tblW w:w="0" w:type="auto"/>
        <w:tblInd w:w="562" w:type="dxa"/>
        <w:shd w:val="clear" w:color="auto" w:fill="F2CEED" w:themeFill="accent5" w:themeFillTint="33"/>
        <w:tblLook w:val="04A0"/>
      </w:tblPr>
      <w:tblGrid>
        <w:gridCol w:w="7938"/>
      </w:tblGrid>
      <w:tr w:rsidTr="00391628">
        <w:tblPrEx>
          <w:tblW w:w="0" w:type="auto"/>
          <w:tblInd w:w="562" w:type="dxa"/>
          <w:shd w:val="clear" w:color="auto" w:fill="F2CEED" w:themeFill="accent5" w:themeFillTint="33"/>
          <w:tblLook w:val="04A0"/>
        </w:tblPrEx>
        <w:tc>
          <w:tcPr>
            <w:tcW w:w="7938" w:type="dxa"/>
            <w:shd w:val="clear" w:color="auto" w:fill="F2CEED" w:themeFill="accent5" w:themeFillTint="33"/>
          </w:tcPr>
          <w:p w:rsidR="00E424F7" w:rsidRPr="0066246A" w:rsidP="00E06DF6">
            <w:pPr>
              <w:jc w:val="both"/>
              <w:rPr>
                <w:rFonts w:eastAsia="Segoe UI" w:cs="Segoe UI"/>
                <w:i/>
                <w:iCs/>
                <w:color w:val="232330"/>
                <w:sz w:val="20"/>
                <w:szCs w:val="20"/>
              </w:rPr>
            </w:pPr>
            <w:r w:rsidRPr="0066246A">
              <w:rPr>
                <w:rFonts w:eastAsia="Segoe UI" w:cs="Segoe UI"/>
                <w:i/>
                <w:iCs/>
                <w:color w:val="232330"/>
                <w:sz w:val="20"/>
                <w:szCs w:val="20"/>
              </w:rPr>
              <w:t>The lack of respect that other professionals sometimes can have for the value of [arts and creativity] because they don't understand the processes of what's going on. It’s the unconscious processes that are that are being facilitated through that that medium… it's quite frustrating when the value of [arts] is not recognised – Creative therapist</w:t>
            </w:r>
          </w:p>
        </w:tc>
      </w:tr>
    </w:tbl>
    <w:p w:rsidR="00E424F7" w:rsidP="00FF410A">
      <w:pPr>
        <w:shd w:val="clear" w:color="auto" w:fill="FFFFFF" w:themeFill="background1"/>
        <w:jc w:val="both"/>
        <w:rPr>
          <w:rFonts w:eastAsiaTheme="minorEastAsia"/>
          <w:color w:val="000000" w:themeColor="text1"/>
        </w:rPr>
      </w:pPr>
    </w:p>
    <w:p w:rsidR="00E424F7" w:rsidRPr="008D2CF2" w:rsidP="00FF410A">
      <w:pPr>
        <w:shd w:val="clear" w:color="auto" w:fill="FFFFFF" w:themeFill="background1"/>
        <w:jc w:val="both"/>
        <w:rPr>
          <w:rFonts w:eastAsiaTheme="minorEastAsia"/>
          <w:color w:val="000000" w:themeColor="text1"/>
          <w:sz w:val="22"/>
          <w:szCs w:val="22"/>
        </w:rPr>
      </w:pPr>
      <w:r w:rsidRPr="008D2CF2">
        <w:rPr>
          <w:rFonts w:eastAsiaTheme="minorEastAsia"/>
          <w:color w:val="000000" w:themeColor="text1"/>
          <w:sz w:val="22"/>
          <w:szCs w:val="22"/>
        </w:rPr>
        <w:t xml:space="preserve">Where collaboration is effective, it is often underpinned by sustained relationship-building between sectors. However, our findings indicate that this work is frequently led by arts and community organisations, who invest significant time in establishing and maintaining connections within NHS and educational systems that shift and change regularly, making collaborations difficult to sustain.  </w:t>
      </w:r>
    </w:p>
    <w:p w:rsidR="00E424F7" w:rsidRPr="008D2CF2" w:rsidP="00FF410A">
      <w:pPr>
        <w:shd w:val="clear" w:color="auto" w:fill="FFFFFF" w:themeFill="background1"/>
        <w:jc w:val="both"/>
        <w:rPr>
          <w:rFonts w:eastAsiaTheme="minorEastAsia"/>
          <w:color w:val="000000" w:themeColor="text1"/>
          <w:sz w:val="22"/>
          <w:szCs w:val="22"/>
        </w:rPr>
      </w:pPr>
    </w:p>
    <w:p w:rsidR="00E424F7" w:rsidRPr="008D2CF2" w:rsidP="00FF410A">
      <w:pPr>
        <w:shd w:val="clear" w:color="auto" w:fill="FFFFFF" w:themeFill="background1"/>
        <w:jc w:val="both"/>
        <w:rPr>
          <w:rFonts w:eastAsiaTheme="minorEastAsia"/>
          <w:color w:val="000000" w:themeColor="text1"/>
          <w:sz w:val="22"/>
          <w:szCs w:val="22"/>
        </w:rPr>
      </w:pPr>
      <w:r w:rsidRPr="008D2CF2">
        <w:rPr>
          <w:rFonts w:eastAsiaTheme="minorEastAsia"/>
          <w:color w:val="000000" w:themeColor="text1"/>
          <w:sz w:val="22"/>
          <w:szCs w:val="22"/>
        </w:rPr>
        <w:t>There are also opportunities to make better use of existing specialist roles. Arts therapists, for example, are regulated professionals with expertise in supporting mental health through creative modalities, yet their integration within NHS and community pathways can be limited in certain areas. In areas where they are embedded, they can expand the range of developmentally appropriate, non-verbal interventions available to young people and hold the expertise to support complex mental health presentations. H</w:t>
      </w:r>
      <w:r w:rsidRPr="008D2CF2">
        <w:rPr>
          <w:rFonts w:eastAsiaTheme="minorEastAsia"/>
          <w:color w:val="000000" w:themeColor="text1"/>
          <w:sz w:val="22"/>
          <w:szCs w:val="22"/>
        </w:rPr>
        <w:t xml:space="preserve">owever, this resource is not currently utilised consistently across the system. </w:t>
      </w:r>
    </w:p>
    <w:p w:rsidR="00E424F7" w:rsidRPr="008D2CF2" w:rsidP="00FF410A">
      <w:pPr>
        <w:rPr>
          <w:rFonts w:eastAsiaTheme="minorEastAsia"/>
          <w:sz w:val="22"/>
          <w:szCs w:val="22"/>
        </w:rPr>
      </w:pPr>
    </w:p>
    <w:p w:rsidR="00E424F7" w:rsidRPr="008D2CF2" w:rsidP="00FF410A">
      <w:pPr>
        <w:jc w:val="both"/>
        <w:rPr>
          <w:rFonts w:eastAsiaTheme="minorEastAsia"/>
          <w:sz w:val="22"/>
          <w:szCs w:val="22"/>
        </w:rPr>
      </w:pPr>
      <w:r w:rsidRPr="008D2CF2">
        <w:rPr>
          <w:rFonts w:eastAsiaTheme="minorEastAsia"/>
          <w:sz w:val="22"/>
          <w:szCs w:val="22"/>
        </w:rPr>
        <w:t>More broadly, collaboration is constrained by a lack of shared infrastructure and clear referral pathways. Education, health, arts/cultural, and VCFSE organisations often operate within different priorities and beliefs on what constitutes ‘good evidence’. This can limit recognition of the value and legitimacy of arts and arts therapies within CYP mental health support. Even where provision exists, it is not always visible or easily accessible to professionals working within these sectors. This is further co</w:t>
      </w:r>
      <w:r w:rsidRPr="008D2CF2">
        <w:rPr>
          <w:rFonts w:eastAsiaTheme="minorEastAsia"/>
          <w:sz w:val="22"/>
          <w:szCs w:val="22"/>
        </w:rPr>
        <w:t xml:space="preserve">mpounded by variation in local capacity. For example, social prescribing link workers or embedded support staff are not consistently available across all areas, particularly in rural or under-resourced contexts. </w:t>
      </w:r>
    </w:p>
    <w:p w:rsidR="00E424F7" w:rsidRPr="00BC60B6" w:rsidP="00FF410A">
      <w:pPr>
        <w:jc w:val="both"/>
        <w:rPr>
          <w:rFonts w:eastAsiaTheme="minorEastAsia"/>
        </w:rPr>
      </w:pPr>
    </w:p>
    <w:tbl>
      <w:tblPr>
        <w:tblStyle w:val="TableGrid"/>
        <w:tblW w:w="0" w:type="auto"/>
        <w:tblInd w:w="704" w:type="dxa"/>
        <w:tblLook w:val="04A0"/>
      </w:tblPr>
      <w:tblGrid>
        <w:gridCol w:w="7796"/>
      </w:tblGrid>
      <w:tr w:rsidTr="0066246A">
        <w:tblPrEx>
          <w:tblW w:w="0" w:type="auto"/>
          <w:tblInd w:w="704" w:type="dxa"/>
          <w:tblLook w:val="04A0"/>
        </w:tblPrEx>
        <w:tc>
          <w:tcPr>
            <w:tcW w:w="7796" w:type="dxa"/>
            <w:shd w:val="clear" w:color="auto" w:fill="F2CEED" w:themeFill="accent5" w:themeFillTint="33"/>
          </w:tcPr>
          <w:p w:rsidR="00E424F7" w:rsidRPr="0066246A" w:rsidP="001A1DC0">
            <w:pPr>
              <w:jc w:val="both"/>
              <w:rPr>
                <w:rFonts w:eastAsia="Segoe UI" w:cs="Segoe UI"/>
                <w:i/>
                <w:iCs/>
                <w:color w:val="232330"/>
                <w:sz w:val="20"/>
                <w:szCs w:val="20"/>
              </w:rPr>
            </w:pPr>
            <w:r w:rsidRPr="0066246A">
              <w:rPr>
                <w:rFonts w:eastAsia="Segoe UI" w:cs="Segoe UI"/>
                <w:i/>
                <w:iCs/>
                <w:color w:val="232330"/>
                <w:sz w:val="20"/>
                <w:szCs w:val="20"/>
              </w:rPr>
              <w:t xml:space="preserve">What is concerning me now is in a few years’ time I'm going to retire… because I'm a freelancer and there isn't really a job in our company. So, unless there is somebody down the line to continue the goodwill elements, I'm actually very concerned that this child arts provision in our town will just disappear…the area is so rurally isolated. – </w:t>
            </w:r>
            <w:r w:rsidRPr="0066246A">
              <w:rPr>
                <w:rFonts w:eastAsia="Segoe UI" w:cs="Segoe UI"/>
                <w:color w:val="232330"/>
                <w:sz w:val="20"/>
                <w:szCs w:val="20"/>
              </w:rPr>
              <w:t>Artist</w:t>
            </w:r>
          </w:p>
          <w:p w:rsidR="00E424F7" w:rsidRPr="0066246A" w:rsidP="001A1DC0">
            <w:pPr>
              <w:jc w:val="both"/>
              <w:rPr>
                <w:i/>
                <w:iCs/>
                <w:sz w:val="20"/>
                <w:szCs w:val="20"/>
              </w:rPr>
            </w:pPr>
          </w:p>
          <w:p w:rsidR="00E424F7" w:rsidRPr="0066246A" w:rsidP="001A1DC0">
            <w:pPr>
              <w:jc w:val="both"/>
              <w:rPr>
                <w:rFonts w:eastAsia="Segoe UI" w:cs="Segoe UI"/>
                <w:color w:val="232330"/>
                <w:sz w:val="20"/>
                <w:szCs w:val="20"/>
              </w:rPr>
            </w:pPr>
            <w:r w:rsidRPr="0066246A">
              <w:rPr>
                <w:rFonts w:eastAsia="Segoe UI" w:cs="Segoe UI"/>
                <w:i/>
                <w:iCs/>
                <w:color w:val="232330"/>
                <w:sz w:val="20"/>
                <w:szCs w:val="20"/>
              </w:rPr>
              <w:t>Arts therapies are really thinly</w:t>
            </w:r>
            <w:r w:rsidRPr="0066246A">
              <w:rPr>
                <w:rFonts w:eastAsia="Segoe UI" w:cs="Segoe UI"/>
                <w:i/>
                <w:iCs/>
                <w:color w:val="232330"/>
                <w:sz w:val="20"/>
                <w:szCs w:val="20"/>
              </w:rPr>
              <w:t xml:space="preserve"> spread in the NHS. There's not a lot of it available... But more recently I'm aware that due to the demands on the service and prioritising budgets, arts therapies were scaled down in the children and young people's service that I worked in…</w:t>
            </w:r>
            <w:r w:rsidRPr="0066246A">
              <w:rPr>
                <w:rFonts w:eastAsia="Segoe UI" w:cs="Segoe UI"/>
                <w:color w:val="232330"/>
                <w:sz w:val="20"/>
                <w:szCs w:val="20"/>
              </w:rPr>
              <w:t xml:space="preserve"> - Art Therapist</w:t>
            </w:r>
          </w:p>
        </w:tc>
      </w:tr>
    </w:tbl>
    <w:p w:rsidR="00E424F7" w:rsidP="00FF410A">
      <w:pPr>
        <w:jc w:val="both"/>
        <w:rPr>
          <w:rFonts w:eastAsiaTheme="minorEastAsia"/>
        </w:rPr>
      </w:pPr>
    </w:p>
    <w:p w:rsidR="00E424F7" w:rsidRPr="00C13DAC" w:rsidP="00FF410A">
      <w:pPr>
        <w:jc w:val="both"/>
        <w:rPr>
          <w:rFonts w:eastAsiaTheme="minorEastAsia"/>
        </w:rPr>
      </w:pPr>
      <w:r w:rsidRPr="1F579A53">
        <w:rPr>
          <w:rFonts w:eastAsiaTheme="minorEastAsia"/>
        </w:rPr>
        <w:t xml:space="preserve">Taken together, these findings suggest that the challenge is not simply one of workforce shortage, but how existing capacity is connected and supported. Strengthening coordination between sectors would enable more effective use of the wider mental health workforce to help ensure that support is available to CYP. Without coordinated action across these areas, existing workforce capacity will remain underutilised and unevenly distributed, limiting the system’s ability to respond to rising demand. </w:t>
      </w:r>
      <w:r w:rsidRPr="1F579A53">
        <w:rPr>
          <w:rFonts w:eastAsiaTheme="minorEastAsia"/>
        </w:rPr>
        <w:br w:type="page"/>
      </w:r>
    </w:p>
    <w:p w:rsidR="00E424F7" w:rsidRPr="00DB1765" w:rsidP="00FF410A">
      <w:pPr>
        <w:jc w:val="both"/>
        <w:rPr>
          <w:rFonts w:eastAsiaTheme="minorEastAsia"/>
          <w:b/>
          <w:bCs/>
        </w:rPr>
      </w:pPr>
    </w:p>
    <w:tbl>
      <w:tblPr>
        <w:tblStyle w:val="TableGrid"/>
        <w:tblW w:w="0" w:type="auto"/>
        <w:tblLook w:val="06A0"/>
      </w:tblPr>
      <w:tblGrid>
        <w:gridCol w:w="9016"/>
      </w:tblGrid>
      <w:tr w:rsidTr="00E06DF6">
        <w:tblPrEx>
          <w:tblW w:w="0" w:type="auto"/>
          <w:tblLook w:val="06A0"/>
        </w:tblPrEx>
        <w:trPr>
          <w:trHeight w:val="300"/>
        </w:trPr>
        <w:tc>
          <w:tcPr>
            <w:tcW w:w="10800" w:type="dxa"/>
          </w:tcPr>
          <w:p w:rsidR="00E424F7" w:rsidP="00E06DF6">
            <w:pPr>
              <w:jc w:val="both"/>
              <w:rPr>
                <w:rFonts w:eastAsiaTheme="minorEastAsia"/>
                <w:b/>
                <w:bCs/>
              </w:rPr>
            </w:pPr>
            <w:r w:rsidRPr="1F579A53">
              <w:rPr>
                <w:rFonts w:eastAsiaTheme="minorEastAsia"/>
                <w:b/>
                <w:bCs/>
              </w:rPr>
              <w:t>Recommendations</w:t>
            </w:r>
          </w:p>
          <w:p w:rsidR="00E424F7" w:rsidP="00E06DF6">
            <w:pPr>
              <w:jc w:val="both"/>
              <w:rPr>
                <w:rFonts w:eastAsiaTheme="minorEastAsia"/>
              </w:rPr>
            </w:pPr>
          </w:p>
          <w:p w:rsidR="00E424F7" w:rsidP="00022D01">
            <w:pPr>
              <w:pStyle w:val="ListParagraph"/>
              <w:numPr>
                <w:ilvl w:val="0"/>
                <w:numId w:val="16"/>
              </w:numPr>
              <w:ind w:left="360"/>
              <w:jc w:val="both"/>
              <w:rPr>
                <w:rFonts w:eastAsiaTheme="minorEastAsia"/>
              </w:rPr>
            </w:pPr>
            <w:r w:rsidRPr="631E9B6D">
              <w:rPr>
                <w:rFonts w:eastAsiaTheme="minorEastAsia"/>
                <w:b/>
                <w:bCs/>
              </w:rPr>
              <w:t>Recognise and integrate arts and VCFSE provision as part of the wider mental health support ecosystem</w:t>
            </w:r>
            <w:r w:rsidRPr="631E9B6D">
              <w:rPr>
                <w:rFonts w:eastAsiaTheme="minorEastAsia"/>
              </w:rPr>
              <w:t>, recognising the distinct skills and expertise they bring in areas of non-verbal communication, relational and trauma-informed practice, and community-based support. These approaches complement clinical therapies and can extend the reach and responsiveness of mental health services.</w:t>
            </w:r>
          </w:p>
          <w:p w:rsidR="00E424F7" w:rsidP="00022D01">
            <w:pPr>
              <w:jc w:val="both"/>
              <w:rPr>
                <w:rFonts w:eastAsiaTheme="minorEastAsia"/>
              </w:rPr>
            </w:pPr>
          </w:p>
          <w:p w:rsidR="00E424F7" w:rsidP="00022D01">
            <w:pPr>
              <w:pStyle w:val="ListParagraph"/>
              <w:numPr>
                <w:ilvl w:val="0"/>
                <w:numId w:val="16"/>
              </w:numPr>
              <w:ind w:left="360"/>
              <w:jc w:val="both"/>
              <w:rPr>
                <w:rFonts w:eastAsiaTheme="minorEastAsia"/>
              </w:rPr>
            </w:pPr>
            <w:r w:rsidRPr="1F579A53">
              <w:rPr>
                <w:rFonts w:eastAsiaTheme="minorEastAsia"/>
                <w:b/>
                <w:bCs/>
              </w:rPr>
              <w:t>Invest in the infrastructure required for sustained collaboration</w:t>
            </w:r>
            <w:r w:rsidRPr="1F579A53">
              <w:rPr>
                <w:rFonts w:eastAsiaTheme="minorEastAsia"/>
              </w:rPr>
              <w:t xml:space="preserve">, including funding time and resource for relationship-building via local networks so collaboration is not reliant on individual effort. </w:t>
            </w:r>
          </w:p>
          <w:p w:rsidR="00E424F7" w:rsidP="00022D01">
            <w:pPr>
              <w:pStyle w:val="ListParagraph"/>
              <w:ind w:left="360"/>
              <w:rPr>
                <w:rFonts w:eastAsiaTheme="minorEastAsia"/>
              </w:rPr>
            </w:pPr>
          </w:p>
          <w:p w:rsidR="00E424F7" w:rsidP="00022D01">
            <w:pPr>
              <w:pStyle w:val="ListParagraph"/>
              <w:numPr>
                <w:ilvl w:val="0"/>
                <w:numId w:val="16"/>
              </w:numPr>
              <w:ind w:left="360"/>
              <w:jc w:val="both"/>
              <w:rPr>
                <w:rFonts w:eastAsiaTheme="minorEastAsia"/>
              </w:rPr>
            </w:pPr>
            <w:r w:rsidRPr="1F579A53">
              <w:rPr>
                <w:rFonts w:eastAsiaTheme="minorEastAsia"/>
                <w:b/>
                <w:bCs/>
              </w:rPr>
              <w:t>Expand and embed arts therapists and creative psychotherapists within NHS and community pathways</w:t>
            </w:r>
            <w:r w:rsidRPr="1F579A53">
              <w:rPr>
                <w:rFonts w:eastAsiaTheme="minorEastAsia"/>
              </w:rPr>
              <w:t xml:space="preserve">, including school-linked and early intervention provision. </w:t>
            </w:r>
          </w:p>
          <w:p w:rsidR="00E424F7" w:rsidP="00022D01">
            <w:pPr>
              <w:pStyle w:val="ListParagraph"/>
              <w:ind w:left="360"/>
              <w:rPr>
                <w:rFonts w:eastAsiaTheme="minorEastAsia"/>
              </w:rPr>
            </w:pPr>
          </w:p>
          <w:p w:rsidR="00E424F7" w:rsidP="00022D01">
            <w:pPr>
              <w:pStyle w:val="ListParagraph"/>
              <w:numPr>
                <w:ilvl w:val="0"/>
                <w:numId w:val="16"/>
              </w:numPr>
              <w:ind w:left="360"/>
              <w:jc w:val="both"/>
              <w:rPr>
                <w:rFonts w:eastAsiaTheme="minorEastAsia"/>
              </w:rPr>
            </w:pPr>
            <w:r w:rsidRPr="631E9B6D">
              <w:rPr>
                <w:rFonts w:eastAsiaTheme="minorEastAsia"/>
                <w:b/>
                <w:bCs/>
              </w:rPr>
              <w:t>Develop shared referral pathways and cross-sector understanding,</w:t>
            </w:r>
            <w:r w:rsidRPr="631E9B6D">
              <w:rPr>
                <w:rFonts w:eastAsiaTheme="minorEastAsia"/>
              </w:rPr>
              <w:t xml:space="preserve"> including cross-sector training and guidance to improve understanding of how arts and arts therapies support CYP mental health.</w:t>
            </w:r>
          </w:p>
          <w:p w:rsidR="00E424F7" w:rsidP="00022D01">
            <w:pPr>
              <w:pStyle w:val="ListParagraph"/>
              <w:ind w:left="360"/>
              <w:rPr>
                <w:rFonts w:eastAsiaTheme="minorEastAsia"/>
              </w:rPr>
            </w:pPr>
          </w:p>
          <w:p w:rsidR="00E424F7" w:rsidP="00022D01">
            <w:pPr>
              <w:pStyle w:val="ListParagraph"/>
              <w:numPr>
                <w:ilvl w:val="0"/>
                <w:numId w:val="16"/>
              </w:numPr>
              <w:ind w:left="360"/>
              <w:jc w:val="both"/>
              <w:rPr>
                <w:rFonts w:eastAsiaTheme="minorEastAsia"/>
              </w:rPr>
            </w:pPr>
            <w:r w:rsidRPr="631E9B6D">
              <w:rPr>
                <w:rFonts w:eastAsiaTheme="minorEastAsia"/>
                <w:b/>
                <w:bCs/>
              </w:rPr>
              <w:t>Address geographical variation in workforce infrastructure</w:t>
            </w:r>
            <w:r w:rsidRPr="631E9B6D">
              <w:rPr>
                <w:rFonts w:eastAsiaTheme="minorEastAsia"/>
              </w:rPr>
              <w:t xml:space="preserve"> so access to roles that support cross-sector working (e.g. link workers) is more consistent.</w:t>
            </w:r>
          </w:p>
          <w:p w:rsidR="00E424F7" w:rsidP="00E06DF6">
            <w:pPr>
              <w:rPr>
                <w:rFonts w:eastAsiaTheme="minorEastAsia"/>
                <w:b/>
                <w:bCs/>
              </w:rPr>
            </w:pPr>
          </w:p>
        </w:tc>
      </w:tr>
    </w:tbl>
    <w:p w:rsidR="00E424F7" w:rsidP="00FF410A">
      <w:pPr>
        <w:jc w:val="both"/>
        <w:rPr>
          <w:rFonts w:eastAsiaTheme="minorEastAsia"/>
        </w:rPr>
      </w:pPr>
    </w:p>
    <w:p w:rsidR="00E424F7">
      <w:pPr>
        <w:jc w:val="both"/>
        <w:rPr>
          <w:rFonts w:eastAsiaTheme="minorEastAsia"/>
        </w:rPr>
      </w:pPr>
    </w:p>
    <w:p w:rsidR="00235FCB" w:rsidRPr="00235FCB">
      <w:pPr>
        <w:jc w:val="both"/>
        <w:rPr>
          <w:rFonts w:eastAsiaTheme="minorEastAsia"/>
          <w:b/>
          <w:bCs/>
          <w:i/>
          <w:iCs/>
        </w:rPr>
      </w:pPr>
      <w:r w:rsidRPr="00235FCB">
        <w:rPr>
          <w:rFonts w:eastAsiaTheme="minorEastAsia"/>
          <w:b/>
          <w:bCs/>
          <w:i/>
          <w:iCs/>
        </w:rPr>
        <w:t>March 2025</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8000D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CBDF7EA"/>
    <w:multiLevelType w:val="hybridMultilevel"/>
    <w:tmpl w:val="CB981D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B312B2B"/>
    <w:multiLevelType w:val="hybridMultilevel"/>
    <w:tmpl w:val="626AF1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CAD6718"/>
    <w:multiLevelType w:val="hybridMultilevel"/>
    <w:tmpl w:val="DF9262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D510E64"/>
    <w:multiLevelType w:val="hybridMultilevel"/>
    <w:tmpl w:val="0510B2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3B9F66B"/>
    <w:multiLevelType w:val="hybridMultilevel"/>
    <w:tmpl w:val="6DBEA0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9E624B1"/>
    <w:multiLevelType w:val="hybridMultilevel"/>
    <w:tmpl w:val="A4FCFEA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D21A6C9"/>
    <w:multiLevelType w:val="hybridMultilevel"/>
    <w:tmpl w:val="152E0E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CF823C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DCCA960"/>
    <w:multiLevelType w:val="hybridMultilevel"/>
    <w:tmpl w:val="8C506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0CC2287"/>
    <w:multiLevelType w:val="hybridMultilevel"/>
    <w:tmpl w:val="F84E7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440DB864"/>
    <w:multiLevelType w:val="hybridMultilevel"/>
    <w:tmpl w:val="21CCD7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486C6433"/>
    <w:multiLevelType w:val="hybridMultilevel"/>
    <w:tmpl w:val="070A71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28B73EF"/>
    <w:multiLevelType w:val="hybridMultilevel"/>
    <w:tmpl w:val="DEEEE4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58527E0"/>
    <w:multiLevelType w:val="hybridMultilevel"/>
    <w:tmpl w:val="ABE28A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71ECCC28"/>
    <w:multiLevelType w:val="hybridMultilevel"/>
    <w:tmpl w:val="7EB8C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9"/>
  </w:num>
  <w:num w:numId="5">
    <w:abstractNumId w:val="1"/>
  </w:num>
  <w:num w:numId="6">
    <w:abstractNumId w:val="2"/>
  </w:num>
  <w:num w:numId="7">
    <w:abstractNumId w:val="4"/>
  </w:num>
  <w:num w:numId="8">
    <w:abstractNumId w:val="11"/>
  </w:num>
  <w:num w:numId="9">
    <w:abstractNumId w:val="7"/>
  </w:num>
  <w:num w:numId="10">
    <w:abstractNumId w:val="10"/>
  </w:num>
  <w:num w:numId="11">
    <w:abstractNumId w:val="14"/>
  </w:num>
  <w:num w:numId="12">
    <w:abstractNumId w:val="15"/>
  </w:num>
  <w:num w:numId="13">
    <w:abstractNumId w:val="12"/>
  </w:num>
  <w:num w:numId="14">
    <w:abstractNumId w:val="3"/>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F410A"/>
  </w:style>
  <w:style w:type="paragraph" w:styleId="Heading1">
    <w:name w:val="heading 1"/>
    <w:basedOn w:val="Normal"/>
    <w:next w:val="Normal"/>
    <w:link w:val="Heading1Char"/>
    <w:uiPriority w:val="9"/>
    <w:qFormat/>
    <w:rsid w:val="00FF41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1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1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1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1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1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1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1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1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1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1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1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1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1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1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1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1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10A"/>
    <w:rPr>
      <w:rFonts w:eastAsiaTheme="majorEastAsia" w:cstheme="majorBidi"/>
      <w:color w:val="272727" w:themeColor="text1" w:themeTint="D8"/>
    </w:rPr>
  </w:style>
  <w:style w:type="paragraph" w:styleId="Title">
    <w:name w:val="Title"/>
    <w:basedOn w:val="Normal"/>
    <w:next w:val="Normal"/>
    <w:link w:val="TitleChar"/>
    <w:uiPriority w:val="10"/>
    <w:qFormat/>
    <w:rsid w:val="00FF41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1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1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1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1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410A"/>
    <w:rPr>
      <w:i/>
      <w:iCs/>
      <w:color w:val="404040" w:themeColor="text1" w:themeTint="BF"/>
    </w:rPr>
  </w:style>
  <w:style w:type="paragraph" w:styleId="ListParagraph">
    <w:name w:val="List Paragraph"/>
    <w:basedOn w:val="Normal"/>
    <w:uiPriority w:val="34"/>
    <w:qFormat/>
    <w:rsid w:val="00FF410A"/>
    <w:pPr>
      <w:ind w:left="720"/>
      <w:contextualSpacing/>
    </w:pPr>
  </w:style>
  <w:style w:type="character" w:styleId="IntenseEmphasis">
    <w:name w:val="Intense Emphasis"/>
    <w:basedOn w:val="DefaultParagraphFont"/>
    <w:uiPriority w:val="21"/>
    <w:qFormat/>
    <w:rsid w:val="00FF410A"/>
    <w:rPr>
      <w:i/>
      <w:iCs/>
      <w:color w:val="0F4761" w:themeColor="accent1" w:themeShade="BF"/>
    </w:rPr>
  </w:style>
  <w:style w:type="paragraph" w:styleId="IntenseQuote">
    <w:name w:val="Intense Quote"/>
    <w:basedOn w:val="Normal"/>
    <w:next w:val="Normal"/>
    <w:link w:val="IntenseQuoteChar"/>
    <w:uiPriority w:val="30"/>
    <w:qFormat/>
    <w:rsid w:val="00FF41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10A"/>
    <w:rPr>
      <w:i/>
      <w:iCs/>
      <w:color w:val="0F4761" w:themeColor="accent1" w:themeShade="BF"/>
    </w:rPr>
  </w:style>
  <w:style w:type="character" w:styleId="IntenseReference">
    <w:name w:val="Intense Reference"/>
    <w:basedOn w:val="DefaultParagraphFont"/>
    <w:uiPriority w:val="32"/>
    <w:qFormat/>
    <w:rsid w:val="00FF410A"/>
    <w:rPr>
      <w:b/>
      <w:bCs/>
      <w:smallCaps/>
      <w:color w:val="0F4761" w:themeColor="accent1" w:themeShade="BF"/>
      <w:spacing w:val="5"/>
    </w:rPr>
  </w:style>
  <w:style w:type="character" w:styleId="CommentReference">
    <w:name w:val="annotation reference"/>
    <w:basedOn w:val="DefaultParagraphFont"/>
    <w:uiPriority w:val="99"/>
    <w:semiHidden/>
    <w:unhideWhenUsed/>
    <w:rsid w:val="00FF410A"/>
    <w:rPr>
      <w:sz w:val="16"/>
      <w:szCs w:val="16"/>
    </w:rPr>
  </w:style>
  <w:style w:type="paragraph" w:styleId="CommentText">
    <w:name w:val="annotation text"/>
    <w:basedOn w:val="Normal"/>
    <w:link w:val="CommentTextChar"/>
    <w:uiPriority w:val="99"/>
    <w:semiHidden/>
    <w:unhideWhenUsed/>
    <w:rsid w:val="00FF410A"/>
    <w:rPr>
      <w:sz w:val="20"/>
      <w:szCs w:val="20"/>
    </w:rPr>
  </w:style>
  <w:style w:type="character" w:customStyle="1" w:styleId="CommentTextChar">
    <w:name w:val="Comment Text Char"/>
    <w:basedOn w:val="DefaultParagraphFont"/>
    <w:link w:val="CommentText"/>
    <w:uiPriority w:val="99"/>
    <w:semiHidden/>
    <w:rsid w:val="00FF410A"/>
    <w:rPr>
      <w:sz w:val="20"/>
      <w:szCs w:val="20"/>
    </w:rPr>
  </w:style>
  <w:style w:type="character" w:styleId="Hyperlink">
    <w:name w:val="Hyperlink"/>
    <w:basedOn w:val="DefaultParagraphFont"/>
    <w:uiPriority w:val="99"/>
    <w:unhideWhenUsed/>
    <w:rsid w:val="00FF410A"/>
    <w:rPr>
      <w:color w:val="467886"/>
      <w:u w:val="single"/>
    </w:rPr>
  </w:style>
  <w:style w:type="table" w:styleId="TableGrid">
    <w:name w:val="Table Grid"/>
    <w:basedOn w:val="TableNormal"/>
    <w:uiPriority w:val="59"/>
    <w:rsid w:val="00FF410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544523"/>
    <w:pPr>
      <w:tabs>
        <w:tab w:val="center" w:pos="4513"/>
        <w:tab w:val="right" w:pos="9026"/>
      </w:tabs>
    </w:pPr>
  </w:style>
  <w:style w:type="character" w:customStyle="1" w:styleId="FooterChar">
    <w:name w:val="Footer Char"/>
    <w:basedOn w:val="DefaultParagraphFont"/>
    <w:link w:val="Footer"/>
    <w:uiPriority w:val="99"/>
    <w:rsid w:val="00544523"/>
  </w:style>
  <w:style w:type="character" w:styleId="PageNumber">
    <w:name w:val="page number"/>
    <w:basedOn w:val="DefaultParagraphFont"/>
    <w:uiPriority w:val="99"/>
    <w:semiHidden/>
    <w:unhideWhenUsed/>
    <w:rsid w:val="00544523"/>
  </w:style>
  <w:style w:type="paragraph" w:styleId="Header">
    <w:name w:val="header"/>
    <w:basedOn w:val="Normal"/>
    <w:link w:val="HeaderChar"/>
    <w:uiPriority w:val="99"/>
    <w:unhideWhenUsed/>
    <w:rsid w:val="00235FCB"/>
    <w:pPr>
      <w:tabs>
        <w:tab w:val="center" w:pos="4513"/>
        <w:tab w:val="right" w:pos="9026"/>
      </w:tabs>
    </w:pPr>
  </w:style>
  <w:style w:type="character" w:customStyle="1" w:styleId="HeaderChar">
    <w:name w:val="Header Char"/>
    <w:basedOn w:val="DefaultParagraphFont"/>
    <w:link w:val="Header"/>
    <w:uiPriority w:val="99"/>
    <w:rsid w:val="00235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CYM0170</dc:title>
  <cp:revision>0</cp:revision>
</cp:coreProperties>
</file>