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12FB" w:rsidRPr="00E16963" w:rsidP="00C712FB">
      <w:pPr>
        <w:jc w:val="center"/>
        <w:rPr>
          <w:b/>
          <w:bCs/>
        </w:rPr>
      </w:pPr>
      <w:r w:rsidRPr="00E16963">
        <w:rPr>
          <w:b/>
          <w:bCs/>
        </w:rPr>
        <w:t>Written Submitted by International Association for Premenstrual Disorders UK (IAPMD UK) (CYM0168)</w:t>
      </w:r>
    </w:p>
    <w:p w:rsidR="00CE52C0" w:rsidRPr="00E16963" w:rsidP="00AD3AA2">
      <w:pPr>
        <w:rPr>
          <w:b/>
          <w:bCs/>
          <w:u w:val="single"/>
        </w:rPr>
      </w:pPr>
      <w:r w:rsidRPr="00E16963">
        <w:rPr>
          <w:b/>
          <w:bCs/>
          <w:u w:val="single"/>
        </w:rPr>
        <w:t>Background</w:t>
      </w:r>
    </w:p>
    <w:p w:rsidR="00CE52C0" w:rsidRPr="00E16963" w:rsidP="00AD1B48">
      <w:pPr>
        <w:tabs>
          <w:tab w:val="left" w:pos="7655"/>
        </w:tabs>
        <w:ind w:left="-5" w:right="893"/>
      </w:pPr>
      <w:r w:rsidRPr="00E16963">
        <w:t xml:space="preserve">The </w:t>
      </w:r>
      <w:r w:rsidRPr="00E16963">
        <w:rPr>
          <w:b/>
          <w:bCs/>
          <w:i/>
          <w:iCs/>
        </w:rPr>
        <w:t>International Association for Premenstrual Disorders UK (IAPMD UK)</w:t>
      </w:r>
      <w:r w:rsidRPr="00E16963">
        <w:rPr>
          <w:b/>
          <w:bCs/>
          <w:i/>
          <w:iCs/>
          <w:vertAlign w:val="superscript"/>
        </w:rPr>
        <w:t>1</w:t>
      </w:r>
      <w:r w:rsidRPr="00E16963">
        <w:t xml:space="preserve"> is a charitable organisation providing evidence-led education and research for Premenstrual Dysphoric Disorder (PMDD) and Premenstrual Exacerbation (PME). We are the sister organisation of IAPMD Global, the international leader of awareness, education and support for premenstrual disorders. </w:t>
      </w:r>
    </w:p>
    <w:p w:rsidR="00CE52C0" w:rsidRPr="00E16963" w:rsidP="00AD1B48">
      <w:pPr>
        <w:tabs>
          <w:tab w:val="left" w:pos="7655"/>
        </w:tabs>
        <w:ind w:left="-5" w:right="893"/>
      </w:pPr>
      <w:r w:rsidRPr="00E16963">
        <w:t xml:space="preserve">Our stakeholder interest in this call for evidence aligns with the menstrual mental health of adolescent girls, young women and individuals assigned female at birth. </w:t>
      </w:r>
    </w:p>
    <w:p w:rsidR="00CE52C0" w:rsidRPr="00E16963" w:rsidP="00AD1B48">
      <w:pPr>
        <w:tabs>
          <w:tab w:val="left" w:pos="7655"/>
        </w:tabs>
        <w:ind w:left="-5" w:right="893"/>
      </w:pPr>
    </w:p>
    <w:p w:rsidR="00CE52C0" w:rsidRPr="00E16963" w:rsidP="00D17EF9">
      <w:pPr>
        <w:ind w:left="-5" w:right="893"/>
        <w:rPr>
          <w:b/>
          <w:bCs/>
          <w:u w:val="single"/>
        </w:rPr>
      </w:pPr>
      <w:r w:rsidRPr="00E16963">
        <w:rPr>
          <w:b/>
          <w:bCs/>
          <w:u w:val="single"/>
        </w:rPr>
        <w:t>Key points</w:t>
      </w:r>
    </w:p>
    <w:p w:rsidR="00CE52C0" w:rsidRPr="00E16963" w:rsidP="00D17EF9">
      <w:pPr>
        <w:pStyle w:val="ListParagraph"/>
        <w:numPr>
          <w:ilvl w:val="0"/>
          <w:numId w:val="38"/>
        </w:numPr>
        <w:spacing w:after="10" w:line="270" w:lineRule="auto"/>
        <w:ind w:left="709" w:right="1253"/>
      </w:pPr>
      <w:r w:rsidRPr="00E16963">
        <w:t xml:space="preserve">Menstrual cycle awareness is significantly lacking within services for young people’s mental health. </w:t>
      </w:r>
    </w:p>
    <w:p w:rsidR="00CE52C0" w:rsidRPr="00E16963" w:rsidP="00D17EF9">
      <w:pPr>
        <w:pStyle w:val="ListParagraph"/>
        <w:numPr>
          <w:ilvl w:val="0"/>
          <w:numId w:val="38"/>
        </w:numPr>
        <w:spacing w:after="10" w:line="270" w:lineRule="auto"/>
        <w:ind w:left="709" w:right="1253"/>
      </w:pPr>
      <w:r w:rsidRPr="00E16963">
        <w:t>There is strong evidence demonstrating the association between hormonal fluctuations across the menstrual cycle and mental health symptoms.</w:t>
      </w:r>
      <w:r w:rsidRPr="00E16963">
        <w:rPr>
          <w:vertAlign w:val="superscript"/>
        </w:rPr>
        <w:t>2</w:t>
      </w:r>
      <w:r w:rsidRPr="00E16963">
        <w:t xml:space="preserve"> </w:t>
      </w:r>
    </w:p>
    <w:p w:rsidR="00CE52C0" w:rsidRPr="00E16963" w:rsidP="00D17EF9">
      <w:pPr>
        <w:pStyle w:val="ListParagraph"/>
        <w:numPr>
          <w:ilvl w:val="0"/>
          <w:numId w:val="38"/>
        </w:numPr>
        <w:spacing w:after="10" w:line="270" w:lineRule="auto"/>
        <w:ind w:left="709" w:right="1253"/>
      </w:pPr>
      <w:r w:rsidRPr="00E16963">
        <w:t>Approximately 3-8% of individuals assigned female at birth have PMDD, a severe, hormone-based mood disorder.</w:t>
      </w:r>
      <w:r w:rsidRPr="00E16963">
        <w:rPr>
          <w:vertAlign w:val="superscript"/>
        </w:rPr>
        <w:t>3</w:t>
      </w:r>
      <w:r w:rsidRPr="00E16963">
        <w:t xml:space="preserve"> Symptoms can include severe depression, anxiety, irritability, and suicidal thoughts occurring in the luteal phase of the menstrual cycle.</w:t>
      </w:r>
      <w:r w:rsidRPr="00E16963">
        <w:rPr>
          <w:vertAlign w:val="superscript"/>
        </w:rPr>
        <w:t>4</w:t>
      </w:r>
    </w:p>
    <w:p w:rsidR="00CE52C0" w:rsidRPr="00E16963" w:rsidP="00D17EF9">
      <w:pPr>
        <w:pStyle w:val="ListParagraph"/>
        <w:numPr>
          <w:ilvl w:val="0"/>
          <w:numId w:val="38"/>
        </w:numPr>
        <w:spacing w:after="10" w:line="270" w:lineRule="auto"/>
        <w:ind w:left="709" w:right="1253"/>
      </w:pPr>
      <w:r w:rsidRPr="00E16963">
        <w:t>Young people may also experience Premenstrual Exacerbation (PME) of existing mental disorders, causing heightened risk of mental health crises.</w:t>
      </w:r>
      <w:r w:rsidRPr="00E16963">
        <w:rPr>
          <w:vertAlign w:val="superscript"/>
        </w:rPr>
        <w:t>5</w:t>
      </w:r>
      <w:r w:rsidRPr="00E16963">
        <w:t xml:space="preserve"> </w:t>
      </w:r>
    </w:p>
    <w:p w:rsidR="00CE52C0" w:rsidRPr="00E16963" w:rsidP="00D17EF9">
      <w:pPr>
        <w:pStyle w:val="ListParagraph"/>
        <w:numPr>
          <w:ilvl w:val="0"/>
          <w:numId w:val="38"/>
        </w:numPr>
        <w:spacing w:after="10" w:line="270" w:lineRule="auto"/>
        <w:ind w:left="709" w:right="1253"/>
      </w:pPr>
      <w:r w:rsidRPr="00E16963">
        <w:t>Despite the severity of symptoms, awareness of PMDD and other premenstrual disorders remains low across education and healthcare settings, contributing to delays in recognition and support.</w:t>
      </w:r>
    </w:p>
    <w:p w:rsidR="00CE52C0" w:rsidRPr="00E16963" w:rsidP="00D17EF9">
      <w:pPr>
        <w:pStyle w:val="ListParagraph"/>
        <w:numPr>
          <w:ilvl w:val="0"/>
          <w:numId w:val="38"/>
        </w:numPr>
        <w:spacing w:after="10" w:line="270" w:lineRule="auto"/>
        <w:ind w:left="709" w:right="1253"/>
      </w:pPr>
      <w:r w:rsidRPr="00E16963">
        <w:t>The UK PMDD Research Agenda</w:t>
      </w:r>
      <w:r w:rsidRPr="00E16963">
        <w:rPr>
          <w:vertAlign w:val="superscript"/>
        </w:rPr>
        <w:t>6</w:t>
      </w:r>
      <w:r w:rsidRPr="00E16963">
        <w:t xml:space="preserve"> identified that education, community, and healthcare providers are not consistently identifying or responding to menstrual cycle–related mental health needs among young people. This represents a significant gap in current provision. </w:t>
      </w:r>
    </w:p>
    <w:p w:rsidR="00CE52C0" w:rsidRPr="00E16963" w:rsidP="00D17EF9">
      <w:pPr>
        <w:pStyle w:val="ListParagraph"/>
        <w:numPr>
          <w:ilvl w:val="0"/>
          <w:numId w:val="38"/>
        </w:numPr>
        <w:spacing w:after="10" w:line="270" w:lineRule="auto"/>
        <w:ind w:left="709" w:right="1253"/>
      </w:pPr>
      <w:r w:rsidRPr="00E16963">
        <w:t>This is concerning given that an estimated 1 in 3 of those living with PMDD will attempt suicide in their lifetime, and more than 1 in 2 will self-harm.</w:t>
      </w:r>
      <w:r w:rsidRPr="00E16963">
        <w:rPr>
          <w:vertAlign w:val="superscript"/>
        </w:rPr>
        <w:t>7,8</w:t>
      </w:r>
      <w:r w:rsidRPr="00E16963">
        <w:t xml:space="preserve"> </w:t>
      </w:r>
    </w:p>
    <w:p w:rsidR="00CE52C0" w:rsidRPr="00E16963" w:rsidP="00D17EF9">
      <w:pPr>
        <w:pStyle w:val="ListParagraph"/>
        <w:numPr>
          <w:ilvl w:val="0"/>
          <w:numId w:val="38"/>
        </w:numPr>
        <w:spacing w:after="10" w:line="270" w:lineRule="auto"/>
        <w:ind w:left="709" w:right="1253"/>
      </w:pPr>
      <w:r w:rsidRPr="00E16963">
        <w:t>Early identification could be improved through routine enquiry about the menstrual cycle when young people who menstruate present with mental health concerns. Prospective tracking of symptoms across at least two menstrual cycles is the recommended approach for identifying cyclical patterns and supporting appropriate diagnosis.</w:t>
      </w:r>
    </w:p>
    <w:p w:rsidR="00CE52C0" w:rsidRPr="00E16963" w:rsidP="00D17EF9">
      <w:pPr>
        <w:pStyle w:val="ListParagraph"/>
        <w:numPr>
          <w:ilvl w:val="0"/>
          <w:numId w:val="38"/>
        </w:numPr>
        <w:spacing w:after="10" w:line="270" w:lineRule="auto"/>
        <w:ind w:left="709" w:right="1253"/>
      </w:pPr>
      <w:r w:rsidRPr="00E16963">
        <w:t>Training for education staff, primary care professionals, and mental health practitioners should include basic awareness of premenstrual disorders, their psychological symptoms, and appropriate signposting. This would enable staff to validate young people’s experiences, recognise potential cyclical patterns, and direct individuals to appropriate clinical support.</w:t>
      </w:r>
    </w:p>
    <w:p w:rsidR="00CE52C0" w:rsidRPr="00E16963" w:rsidP="00D17EF9">
      <w:pPr>
        <w:pStyle w:val="ListParagraph"/>
        <w:numPr>
          <w:ilvl w:val="0"/>
          <w:numId w:val="38"/>
        </w:numPr>
        <w:spacing w:after="10" w:line="270" w:lineRule="auto"/>
        <w:ind w:left="709" w:right="1253"/>
      </w:pPr>
      <w:r w:rsidRPr="00E16963">
        <w:t>Collaboration between education settings, community organisations, and healthcare services is also important. Consistent messaging and shared resources can support earlier recognition, reduce delays in diagnosis, and improve access to appropriate care for young people experiencing menstrual cycle–related mental health difficulties.</w:t>
      </w:r>
    </w:p>
    <w:p w:rsidR="00CE52C0" w:rsidRPr="00E16963" w:rsidP="00D17EF9">
      <w:pPr>
        <w:pStyle w:val="ListParagraph"/>
        <w:numPr>
          <w:ilvl w:val="0"/>
          <w:numId w:val="38"/>
        </w:numPr>
        <w:spacing w:after="10" w:line="270" w:lineRule="auto"/>
        <w:ind w:left="709" w:right="1253"/>
      </w:pPr>
      <w:r w:rsidRPr="00E16963">
        <w:t>We encourage providers to liaise with professional organisations to support their evidence-based practice. Examples include our organisation, IAPMD UK,</w:t>
      </w:r>
      <w:r w:rsidRPr="00E16963">
        <w:rPr>
          <w:vertAlign w:val="superscript"/>
        </w:rPr>
        <w:t>1</w:t>
      </w:r>
      <w:r w:rsidRPr="00E16963">
        <w:t xml:space="preserve"> and the National Association for Premenstrual Syndromes (NAPS).</w:t>
      </w:r>
      <w:r w:rsidRPr="00E16963">
        <w:rPr>
          <w:vertAlign w:val="superscript"/>
        </w:rPr>
        <w:t>9</w:t>
      </w:r>
      <w:r w:rsidRPr="00E16963">
        <w:t xml:space="preserve"> </w:t>
      </w:r>
    </w:p>
    <w:p w:rsidR="00CE52C0" w:rsidRPr="00E16963" w:rsidP="00D17EF9">
      <w:pPr>
        <w:ind w:left="349" w:right="1253"/>
      </w:pPr>
    </w:p>
    <w:p w:rsidR="00CE52C0" w:rsidRPr="00E16963" w:rsidP="00AD3AA2">
      <w:pPr>
        <w:rPr>
          <w:b/>
          <w:bCs/>
          <w:u w:val="single"/>
        </w:rPr>
      </w:pPr>
    </w:p>
    <w:p w:rsidR="00CE52C0" w:rsidRPr="00E16963" w:rsidP="00B903E9">
      <w:pPr>
        <w:rPr>
          <w:sz w:val="20"/>
          <w:szCs w:val="20"/>
        </w:rPr>
      </w:pPr>
    </w:p>
    <w:p w:rsidR="00CE52C0" w:rsidRPr="00E16963" w:rsidP="008407FF">
      <w:pPr>
        <w:tabs>
          <w:tab w:val="left" w:pos="1590"/>
        </w:tabs>
        <w:rPr>
          <w:highlight w:val="yellow"/>
        </w:rPr>
      </w:pPr>
    </w:p>
    <w:p w:rsidR="00CE52C0" w:rsidRPr="00E16963">
      <w:pPr>
        <w:rPr>
          <w:b/>
          <w:bCs/>
          <w:u w:val="single"/>
          <w:lang w:val="en-US"/>
        </w:rPr>
      </w:pPr>
      <w:r w:rsidRPr="00E16963">
        <w:rPr>
          <w:b/>
          <w:bCs/>
          <w:u w:val="single"/>
          <w:lang w:val="en-US"/>
        </w:rPr>
        <w:t>References</w:t>
      </w:r>
    </w:p>
    <w:p w:rsidR="00CE52C0" w:rsidRPr="00E16963" w:rsidP="003B03C2">
      <w:pPr>
        <w:rPr>
          <w:sz w:val="20"/>
          <w:szCs w:val="20"/>
        </w:rPr>
      </w:pPr>
      <w:r w:rsidRPr="00E16963">
        <w:rPr>
          <w:sz w:val="20"/>
          <w:szCs w:val="20"/>
        </w:rPr>
        <w:t xml:space="preserve">[1] International Association for Premenstrual Disorders UK (IAPMD UK). Access via </w:t>
      </w:r>
      <w:r>
        <w:fldChar w:fldCharType="begin"/>
      </w:r>
      <w:r>
        <w:instrText xml:space="preserve"> HYPERLINK "http://www.iapmd.org/united-kingdom" </w:instrText>
      </w:r>
      <w:r>
        <w:fldChar w:fldCharType="separate"/>
      </w:r>
      <w:r w:rsidRPr="00E16963">
        <w:rPr>
          <w:rStyle w:val="Hyperlink"/>
          <w:color w:val="auto"/>
          <w:sz w:val="20"/>
          <w:szCs w:val="20"/>
        </w:rPr>
        <w:t>www.iapmd.org/united-kingdom</w:t>
      </w:r>
      <w:r>
        <w:fldChar w:fldCharType="end"/>
      </w:r>
    </w:p>
    <w:p w:rsidR="00CE52C0" w:rsidRPr="00E16963" w:rsidP="003B03C2">
      <w:pPr>
        <w:rPr>
          <w:sz w:val="20"/>
          <w:szCs w:val="20"/>
        </w:rPr>
      </w:pPr>
      <w:r w:rsidRPr="00E16963">
        <w:rPr>
          <w:sz w:val="20"/>
          <w:szCs w:val="20"/>
        </w:rPr>
        <w:t xml:space="preserve">[2] International Association for Premenstrual Disorders Global (IAPMD). Scientific Papers. Access via </w:t>
      </w:r>
      <w:r>
        <w:fldChar w:fldCharType="begin"/>
      </w:r>
      <w:r>
        <w:instrText xml:space="preserve"> HYPERLINK "https://www.iapmd.org/scientific-papers" </w:instrText>
      </w:r>
      <w:r>
        <w:fldChar w:fldCharType="separate"/>
      </w:r>
      <w:r w:rsidRPr="00E16963">
        <w:rPr>
          <w:rStyle w:val="Hyperlink"/>
          <w:color w:val="auto"/>
          <w:sz w:val="20"/>
          <w:szCs w:val="20"/>
        </w:rPr>
        <w:t>https://www.iapmd.org/scientific-papers</w:t>
      </w:r>
      <w:r>
        <w:fldChar w:fldCharType="end"/>
      </w:r>
      <w:r w:rsidRPr="00E16963">
        <w:rPr>
          <w:sz w:val="20"/>
          <w:szCs w:val="20"/>
        </w:rPr>
        <w:t xml:space="preserve"> </w:t>
      </w:r>
    </w:p>
    <w:p w:rsidR="00CE52C0" w:rsidRPr="00E16963" w:rsidP="00A45693">
      <w:pPr>
        <w:rPr>
          <w:sz w:val="20"/>
          <w:szCs w:val="20"/>
        </w:rPr>
      </w:pPr>
      <w:r w:rsidRPr="00E16963">
        <w:rPr>
          <w:sz w:val="20"/>
          <w:szCs w:val="20"/>
        </w:rPr>
        <w:t xml:space="preserve">[3] Reilly TJ, Patel S, Unachukwu IC, Knox CL, Wilson CA, Craig MC, Schmalenberger KM, Eisenlohr-Moul TA, Cullen AE. The prevalence of premenstrual dysphoric disorder: Systematic review and meta-analysis. J Affect Disord. 2024 Mar 15;349:534-540. doi: 10.1016/j.jad.2024.01.066 </w:t>
      </w:r>
    </w:p>
    <w:p w:rsidR="00CE52C0" w:rsidRPr="00E16963" w:rsidP="00A45693">
      <w:pPr>
        <w:rPr>
          <w:sz w:val="20"/>
          <w:szCs w:val="20"/>
        </w:rPr>
      </w:pPr>
      <w:r w:rsidRPr="00E16963">
        <w:rPr>
          <w:sz w:val="20"/>
          <w:szCs w:val="20"/>
        </w:rPr>
        <w:t xml:space="preserve">[4] American Psychiatric Association, Diagnostic and statistical manual of mental disorders. 5 ed. 2022: American Psychiatric Association </w:t>
      </w:r>
    </w:p>
    <w:p w:rsidR="00CE52C0" w:rsidRPr="00E16963" w:rsidP="00A45693">
      <w:pPr>
        <w:rPr>
          <w:sz w:val="20"/>
          <w:szCs w:val="20"/>
        </w:rPr>
      </w:pPr>
      <w:r w:rsidRPr="00E16963">
        <w:rPr>
          <w:sz w:val="20"/>
          <w:szCs w:val="20"/>
        </w:rPr>
        <w:t xml:space="preserve">[5] International Association for Premenstrual Disorders (IAPMD). What is PME? Access via </w:t>
      </w:r>
      <w:r>
        <w:fldChar w:fldCharType="begin"/>
      </w:r>
      <w:r>
        <w:instrText xml:space="preserve"> HYPERLINK "https://www.iapmd.org/pme" </w:instrText>
      </w:r>
      <w:r>
        <w:fldChar w:fldCharType="separate"/>
      </w:r>
      <w:r w:rsidRPr="00E16963">
        <w:rPr>
          <w:rStyle w:val="Hyperlink"/>
          <w:color w:val="auto"/>
          <w:sz w:val="20"/>
          <w:szCs w:val="20"/>
        </w:rPr>
        <w:t>https://www.iapmd.org/pme</w:t>
      </w:r>
      <w:r>
        <w:fldChar w:fldCharType="end"/>
      </w:r>
      <w:r w:rsidRPr="00E16963">
        <w:rPr>
          <w:sz w:val="20"/>
          <w:szCs w:val="20"/>
        </w:rPr>
        <w:t xml:space="preserve"> </w:t>
      </w:r>
    </w:p>
    <w:p w:rsidR="00CE52C0" w:rsidRPr="00E16963" w:rsidP="003B03C2">
      <w:pPr>
        <w:rPr>
          <w:sz w:val="20"/>
          <w:szCs w:val="20"/>
          <w:lang w:val="en-US"/>
        </w:rPr>
      </w:pPr>
      <w:r w:rsidRPr="00E16963">
        <w:rPr>
          <w:sz w:val="20"/>
          <w:szCs w:val="20"/>
        </w:rPr>
        <w:t xml:space="preserve">[6] Matthews, L., &amp; Riddell, J. (2025). Premenstrual Dysphoric Disorder (PMDD): The UK Research Agenda. University of the West of Scotland.  </w:t>
      </w:r>
      <w:r>
        <w:fldChar w:fldCharType="begin"/>
      </w:r>
      <w:r>
        <w:instrText xml:space="preserve"> HYPERLINK "https://doi.org/10.5281/zenodo.14644017" </w:instrText>
      </w:r>
      <w:r>
        <w:fldChar w:fldCharType="separate"/>
      </w:r>
      <w:r w:rsidRPr="00E16963">
        <w:rPr>
          <w:rStyle w:val="Hyperlink"/>
          <w:color w:val="auto"/>
          <w:sz w:val="20"/>
          <w:szCs w:val="20"/>
        </w:rPr>
        <w:t>https://doi.org/10.5281/zenodo.14644017</w:t>
      </w:r>
      <w:r>
        <w:fldChar w:fldCharType="end"/>
      </w:r>
    </w:p>
    <w:p w:rsidR="00CE52C0" w:rsidRPr="00E16963" w:rsidP="00F47B99">
      <w:pPr>
        <w:rPr>
          <w:sz w:val="20"/>
          <w:szCs w:val="20"/>
        </w:rPr>
      </w:pPr>
      <w:r w:rsidRPr="00E16963">
        <w:rPr>
          <w:sz w:val="20"/>
          <w:szCs w:val="20"/>
        </w:rPr>
        <w:t xml:space="preserve">[7] Eisenlohr-Moul T, Divine M, Schmalenberger K, Murphy L, Buchert B, Wagner-Schuman M, Kania A, Raja S, Miller AB, Barone J, Ross J. Prevalence of lifetime self-injurious thoughts and behaviors in a global sample of 599 patients reporting prospectively confirmed diagnosis with premenstrual dysphoric disorder. BMC Psychiatry. 2022 Mar 19;22(1):199. doi: 10.1186/s12888-022-03851-0 </w:t>
      </w:r>
    </w:p>
    <w:p w:rsidR="00CE52C0" w:rsidRPr="00E16963" w:rsidP="00F47B99">
      <w:pPr>
        <w:rPr>
          <w:sz w:val="20"/>
          <w:szCs w:val="20"/>
        </w:rPr>
      </w:pPr>
      <w:r w:rsidRPr="00E16963">
        <w:rPr>
          <w:sz w:val="20"/>
          <w:szCs w:val="20"/>
        </w:rPr>
        <w:t xml:space="preserve">[8] Brown, D., Smith, D. M., Osborn, E., &amp; Wittkowski, A. (2024). The experiences and psychological impact of living with premenstrual disorders: A systematic review and thematic synthesis. Frontiers in Psychiatry, 15, 1440690. </w:t>
      </w:r>
      <w:r>
        <w:fldChar w:fldCharType="begin"/>
      </w:r>
      <w:r>
        <w:instrText xml:space="preserve"> HYPERLINK "https://doi.org/10.3389/fpsyt.2024.1440690" </w:instrText>
      </w:r>
      <w:r>
        <w:fldChar w:fldCharType="separate"/>
      </w:r>
      <w:r w:rsidRPr="00E16963">
        <w:rPr>
          <w:rStyle w:val="Hyperlink"/>
          <w:color w:val="auto"/>
          <w:sz w:val="20"/>
          <w:szCs w:val="20"/>
        </w:rPr>
        <w:t>https://doi.org/10.3389/fpsyt.2024.1440690</w:t>
      </w:r>
      <w:r>
        <w:fldChar w:fldCharType="end"/>
      </w:r>
      <w:r w:rsidRPr="00E16963">
        <w:rPr>
          <w:sz w:val="20"/>
          <w:szCs w:val="20"/>
        </w:rPr>
        <w:t xml:space="preserve"> </w:t>
      </w:r>
    </w:p>
    <w:p w:rsidR="00CE52C0" w:rsidRPr="00E16963" w:rsidP="00F47B99">
      <w:pPr>
        <w:rPr>
          <w:sz w:val="20"/>
          <w:szCs w:val="20"/>
        </w:rPr>
      </w:pPr>
      <w:r w:rsidRPr="00E16963">
        <w:rPr>
          <w:sz w:val="20"/>
          <w:szCs w:val="20"/>
        </w:rPr>
        <w:t xml:space="preserve">[9] National Association for Premenstrual Syndromes (NAPS). Accessed via </w:t>
      </w:r>
      <w:r>
        <w:fldChar w:fldCharType="begin"/>
      </w:r>
      <w:r>
        <w:instrText xml:space="preserve"> HYPERLINK "http://www.pms.org.uk" </w:instrText>
      </w:r>
      <w:r>
        <w:fldChar w:fldCharType="separate"/>
      </w:r>
      <w:r w:rsidRPr="00E16963">
        <w:rPr>
          <w:rStyle w:val="Hyperlink"/>
          <w:color w:val="auto"/>
          <w:sz w:val="20"/>
          <w:szCs w:val="20"/>
        </w:rPr>
        <w:t>www.pms.org.uk</w:t>
      </w:r>
      <w:r>
        <w:fldChar w:fldCharType="end"/>
      </w:r>
      <w:r w:rsidRPr="00E16963">
        <w:rPr>
          <w:sz w:val="20"/>
          <w:szCs w:val="20"/>
        </w:rPr>
        <w:t xml:space="preserve"> </w:t>
      </w:r>
    </w:p>
    <w:p w:rsidR="00C712FB" w:rsidRPr="00E16963" w:rsidP="00F47B99">
      <w:pPr>
        <w:rPr>
          <w:sz w:val="20"/>
          <w:szCs w:val="20"/>
        </w:rPr>
      </w:pPr>
    </w:p>
    <w:p w:rsidR="00C712FB" w:rsidRPr="00E16963" w:rsidP="00F47B99">
      <w:pPr>
        <w:rPr>
          <w:b/>
          <w:bCs/>
          <w:i/>
          <w:iCs/>
          <w:sz w:val="20"/>
          <w:szCs w:val="20"/>
        </w:rPr>
      </w:pPr>
      <w:r w:rsidRPr="00E16963">
        <w:rPr>
          <w:b/>
          <w:bCs/>
          <w:i/>
          <w:iCs/>
          <w:sz w:val="20"/>
          <w:szCs w:val="20"/>
        </w:rPr>
        <w:t>March 2026</w:t>
      </w:r>
    </w:p>
    <w:sectPr w:rsidSect="00B31F57">
      <w:pgSz w:w="11906" w:h="16838"/>
      <w:pgMar w:top="1440" w:right="1440" w:bottom="184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ED3EC1"/>
    <w:multiLevelType w:val="multilevel"/>
    <w:tmpl w:val="81E0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22019"/>
    <w:multiLevelType w:val="hybridMultilevel"/>
    <w:tmpl w:val="3F040C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1330D7"/>
    <w:multiLevelType w:val="multilevel"/>
    <w:tmpl w:val="E3FA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353E7"/>
    <w:multiLevelType w:val="multilevel"/>
    <w:tmpl w:val="F388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710F8F"/>
    <w:multiLevelType w:val="hybridMultilevel"/>
    <w:tmpl w:val="0A5475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E35C0D"/>
    <w:multiLevelType w:val="hybridMultilevel"/>
    <w:tmpl w:val="63620E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FD0B5F"/>
    <w:multiLevelType w:val="hybridMultilevel"/>
    <w:tmpl w:val="C6F416A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168669C"/>
    <w:multiLevelType w:val="multilevel"/>
    <w:tmpl w:val="734C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CA2E3A"/>
    <w:multiLevelType w:val="multilevel"/>
    <w:tmpl w:val="2C10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D5132F"/>
    <w:multiLevelType w:val="multilevel"/>
    <w:tmpl w:val="30989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751AAE"/>
    <w:multiLevelType w:val="multilevel"/>
    <w:tmpl w:val="99EC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E25B6F"/>
    <w:multiLevelType w:val="multilevel"/>
    <w:tmpl w:val="F6547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7A326C"/>
    <w:multiLevelType w:val="multilevel"/>
    <w:tmpl w:val="3AC6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B35FD1"/>
    <w:multiLevelType w:val="hybridMultilevel"/>
    <w:tmpl w:val="7744F6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5BB439F"/>
    <w:multiLevelType w:val="multilevel"/>
    <w:tmpl w:val="E4CAD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01117F"/>
    <w:multiLevelType w:val="multilevel"/>
    <w:tmpl w:val="CE6E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A22D3B"/>
    <w:multiLevelType w:val="multilevel"/>
    <w:tmpl w:val="CA10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EB30C7"/>
    <w:multiLevelType w:val="multilevel"/>
    <w:tmpl w:val="1E504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8D52FB"/>
    <w:multiLevelType w:val="multilevel"/>
    <w:tmpl w:val="7C10F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0F534E"/>
    <w:multiLevelType w:val="hybridMultilevel"/>
    <w:tmpl w:val="29285D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12C204D"/>
    <w:multiLevelType w:val="hybridMultilevel"/>
    <w:tmpl w:val="40CC4D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5622A1E"/>
    <w:multiLevelType w:val="multilevel"/>
    <w:tmpl w:val="E2465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BB00F1"/>
    <w:multiLevelType w:val="multilevel"/>
    <w:tmpl w:val="99840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4B5785"/>
    <w:multiLevelType w:val="multilevel"/>
    <w:tmpl w:val="84063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0462CA"/>
    <w:multiLevelType w:val="multilevel"/>
    <w:tmpl w:val="75BA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0E2459"/>
    <w:multiLevelType w:val="multilevel"/>
    <w:tmpl w:val="5D12D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7D73A34"/>
    <w:multiLevelType w:val="hybridMultilevel"/>
    <w:tmpl w:val="5224A3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22B0CD1"/>
    <w:multiLevelType w:val="hybridMultilevel"/>
    <w:tmpl w:val="E2E29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5306A83"/>
    <w:multiLevelType w:val="multilevel"/>
    <w:tmpl w:val="E814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BE5D3F"/>
    <w:multiLevelType w:val="hybridMultilevel"/>
    <w:tmpl w:val="F19A5C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85174B3"/>
    <w:multiLevelType w:val="hybridMultilevel"/>
    <w:tmpl w:val="726E5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9B362B5"/>
    <w:multiLevelType w:val="multilevel"/>
    <w:tmpl w:val="FD322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A25B17"/>
    <w:multiLevelType w:val="multilevel"/>
    <w:tmpl w:val="75861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8A5C32"/>
    <w:multiLevelType w:val="hybridMultilevel"/>
    <w:tmpl w:val="DE504F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6A0437A"/>
    <w:multiLevelType w:val="multilevel"/>
    <w:tmpl w:val="D7AA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5B2F38"/>
    <w:multiLevelType w:val="multilevel"/>
    <w:tmpl w:val="4566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531AEC"/>
    <w:multiLevelType w:val="multilevel"/>
    <w:tmpl w:val="EC7CF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2E3947"/>
    <w:multiLevelType w:val="multilevel"/>
    <w:tmpl w:val="0C5E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5"/>
  </w:num>
  <w:num w:numId="3">
    <w:abstractNumId w:val="36"/>
  </w:num>
  <w:num w:numId="4">
    <w:abstractNumId w:val="37"/>
  </w:num>
  <w:num w:numId="5">
    <w:abstractNumId w:val="18"/>
  </w:num>
  <w:num w:numId="6">
    <w:abstractNumId w:val="32"/>
  </w:num>
  <w:num w:numId="7">
    <w:abstractNumId w:val="15"/>
  </w:num>
  <w:num w:numId="8">
    <w:abstractNumId w:val="7"/>
  </w:num>
  <w:num w:numId="9">
    <w:abstractNumId w:val="31"/>
  </w:num>
  <w:num w:numId="10">
    <w:abstractNumId w:val="12"/>
  </w:num>
  <w:num w:numId="11">
    <w:abstractNumId w:val="35"/>
  </w:num>
  <w:num w:numId="12">
    <w:abstractNumId w:val="11"/>
  </w:num>
  <w:num w:numId="13">
    <w:abstractNumId w:val="10"/>
  </w:num>
  <w:num w:numId="14">
    <w:abstractNumId w:val="22"/>
  </w:num>
  <w:num w:numId="15">
    <w:abstractNumId w:val="23"/>
  </w:num>
  <w:num w:numId="16">
    <w:abstractNumId w:val="8"/>
  </w:num>
  <w:num w:numId="17">
    <w:abstractNumId w:val="17"/>
  </w:num>
  <w:num w:numId="18">
    <w:abstractNumId w:val="9"/>
  </w:num>
  <w:num w:numId="19">
    <w:abstractNumId w:val="24"/>
  </w:num>
  <w:num w:numId="20">
    <w:abstractNumId w:val="2"/>
  </w:num>
  <w:num w:numId="21">
    <w:abstractNumId w:val="21"/>
  </w:num>
  <w:num w:numId="22">
    <w:abstractNumId w:val="34"/>
  </w:num>
  <w:num w:numId="23">
    <w:abstractNumId w:val="16"/>
  </w:num>
  <w:num w:numId="24">
    <w:abstractNumId w:val="14"/>
  </w:num>
  <w:num w:numId="25">
    <w:abstractNumId w:val="3"/>
  </w:num>
  <w:num w:numId="26">
    <w:abstractNumId w:val="0"/>
  </w:num>
  <w:num w:numId="27">
    <w:abstractNumId w:val="5"/>
  </w:num>
  <w:num w:numId="28">
    <w:abstractNumId w:val="20"/>
  </w:num>
  <w:num w:numId="29">
    <w:abstractNumId w:val="27"/>
  </w:num>
  <w:num w:numId="30">
    <w:abstractNumId w:val="1"/>
  </w:num>
  <w:num w:numId="31">
    <w:abstractNumId w:val="30"/>
  </w:num>
  <w:num w:numId="32">
    <w:abstractNumId w:val="33"/>
  </w:num>
  <w:num w:numId="33">
    <w:abstractNumId w:val="13"/>
  </w:num>
  <w:num w:numId="34">
    <w:abstractNumId w:val="19"/>
  </w:num>
  <w:num w:numId="35">
    <w:abstractNumId w:val="26"/>
  </w:num>
  <w:num w:numId="36">
    <w:abstractNumId w:val="29"/>
  </w:num>
  <w:num w:numId="37">
    <w:abstractNumId w:val="4"/>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53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3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3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3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3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3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3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3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3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3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3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47A"/>
    <w:rPr>
      <w:rFonts w:eastAsiaTheme="majorEastAsia" w:cstheme="majorBidi"/>
      <w:color w:val="272727" w:themeColor="text1" w:themeTint="D8"/>
    </w:rPr>
  </w:style>
  <w:style w:type="paragraph" w:styleId="Title">
    <w:name w:val="Title"/>
    <w:basedOn w:val="Normal"/>
    <w:next w:val="Normal"/>
    <w:link w:val="TitleChar"/>
    <w:uiPriority w:val="10"/>
    <w:qFormat/>
    <w:rsid w:val="00053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345"/>
    <w:pPr>
      <w:spacing w:before="160"/>
      <w:ind w:left="993" w:right="1088"/>
      <w:jc w:val="center"/>
    </w:pPr>
    <w:rPr>
      <w:i/>
      <w:iCs/>
      <w:color w:val="404040" w:themeColor="text1" w:themeTint="BF"/>
    </w:rPr>
  </w:style>
  <w:style w:type="character" w:customStyle="1" w:styleId="QuoteChar">
    <w:name w:val="Quote Char"/>
    <w:basedOn w:val="DefaultParagraphFont"/>
    <w:link w:val="Quote"/>
    <w:uiPriority w:val="29"/>
    <w:rsid w:val="00A04345"/>
    <w:rPr>
      <w:i/>
      <w:iCs/>
      <w:color w:val="404040" w:themeColor="text1" w:themeTint="BF"/>
    </w:rPr>
  </w:style>
  <w:style w:type="paragraph" w:styleId="ListParagraph">
    <w:name w:val="List Paragraph"/>
    <w:basedOn w:val="Normal"/>
    <w:uiPriority w:val="34"/>
    <w:qFormat/>
    <w:rsid w:val="0005347A"/>
    <w:pPr>
      <w:ind w:left="720"/>
      <w:contextualSpacing/>
    </w:pPr>
  </w:style>
  <w:style w:type="character" w:styleId="IntenseEmphasis">
    <w:name w:val="Intense Emphasis"/>
    <w:basedOn w:val="DefaultParagraphFont"/>
    <w:uiPriority w:val="21"/>
    <w:qFormat/>
    <w:rsid w:val="0005347A"/>
    <w:rPr>
      <w:i/>
      <w:iCs/>
      <w:color w:val="0F4761" w:themeColor="accent1" w:themeShade="BF"/>
    </w:rPr>
  </w:style>
  <w:style w:type="paragraph" w:styleId="IntenseQuote">
    <w:name w:val="Intense Quote"/>
    <w:basedOn w:val="Normal"/>
    <w:next w:val="Normal"/>
    <w:link w:val="IntenseQuoteChar"/>
    <w:uiPriority w:val="30"/>
    <w:qFormat/>
    <w:rsid w:val="00053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347A"/>
    <w:rPr>
      <w:i/>
      <w:iCs/>
      <w:color w:val="0F4761" w:themeColor="accent1" w:themeShade="BF"/>
    </w:rPr>
  </w:style>
  <w:style w:type="character" w:styleId="IntenseReference">
    <w:name w:val="Intense Reference"/>
    <w:basedOn w:val="DefaultParagraphFont"/>
    <w:uiPriority w:val="32"/>
    <w:qFormat/>
    <w:rsid w:val="0005347A"/>
    <w:rPr>
      <w:b/>
      <w:bCs/>
      <w:smallCaps/>
      <w:color w:val="0F4761" w:themeColor="accent1" w:themeShade="BF"/>
      <w:spacing w:val="5"/>
    </w:rPr>
  </w:style>
  <w:style w:type="table" w:styleId="TableGrid">
    <w:name w:val="Table Grid"/>
    <w:basedOn w:val="TableNormal"/>
    <w:uiPriority w:val="39"/>
    <w:rsid w:val="00053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10B4"/>
    <w:rPr>
      <w:color w:val="467886" w:themeColor="hyperlink"/>
      <w:u w:val="single"/>
    </w:rPr>
  </w:style>
  <w:style w:type="character" w:customStyle="1" w:styleId="UnresolvedMention1">
    <w:name w:val="Unresolved Mention1"/>
    <w:basedOn w:val="DefaultParagraphFont"/>
    <w:uiPriority w:val="99"/>
    <w:semiHidden/>
    <w:unhideWhenUsed/>
    <w:rsid w:val="00D210B4"/>
    <w:rPr>
      <w:color w:val="605E5C"/>
      <w:shd w:val="clear" w:color="auto" w:fill="E1DFDD"/>
    </w:rPr>
  </w:style>
  <w:style w:type="paragraph" w:styleId="Header">
    <w:name w:val="header"/>
    <w:basedOn w:val="Normal"/>
    <w:link w:val="HeaderChar"/>
    <w:uiPriority w:val="99"/>
    <w:unhideWhenUsed/>
    <w:rsid w:val="00954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491"/>
  </w:style>
  <w:style w:type="paragraph" w:styleId="Footer">
    <w:name w:val="footer"/>
    <w:basedOn w:val="Normal"/>
    <w:link w:val="FooterChar"/>
    <w:uiPriority w:val="99"/>
    <w:unhideWhenUsed/>
    <w:rsid w:val="00954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321a15a-c71d-40d3-b0cd-3b0ec0033fdd}" enabled="1" method="Standard" siteId="{f89944b7-4a4e-4ea7-9156-3299f3411647}" removed="0"/>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CYM0168</dc:title>
  <cp:revision>0</cp:revision>
</cp:coreProperties>
</file>