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41EA" w:rsidP="00361E55">
      <w:pPr>
        <w:pStyle w:val="Heading3"/>
        <w:spacing w:before="0" w:after="0"/>
        <w:jc w:val="center"/>
        <w:rPr>
          <w:rFonts w:ascii="Arial" w:hAnsi="Arial" w:cs="Arial"/>
          <w:b/>
          <w:bCs/>
          <w:color w:val="auto"/>
          <w:sz w:val="22"/>
          <w:szCs w:val="22"/>
        </w:rPr>
      </w:pPr>
      <w:r w:rsidRPr="00361E55">
        <w:rPr>
          <w:rFonts w:ascii="Arial" w:hAnsi="Arial" w:cs="Arial"/>
          <w:b/>
          <w:bCs/>
          <w:color w:val="auto"/>
          <w:sz w:val="22"/>
          <w:szCs w:val="22"/>
        </w:rPr>
        <w:t xml:space="preserve">Written Submitted by </w:t>
      </w:r>
      <w:r w:rsidRPr="00E95302" w:rsidR="00E95302">
        <w:rPr>
          <w:rFonts w:ascii="Arial" w:hAnsi="Arial" w:cs="Arial"/>
          <w:b/>
          <w:bCs/>
          <w:color w:val="auto"/>
          <w:sz w:val="22"/>
          <w:szCs w:val="22"/>
        </w:rPr>
        <w:t>Professor Bertha Ochieng</w:t>
      </w:r>
      <w:r w:rsidR="00E95302">
        <w:rPr>
          <w:rFonts w:ascii="Arial" w:hAnsi="Arial" w:cs="Arial"/>
          <w:b/>
          <w:bCs/>
          <w:color w:val="auto"/>
          <w:sz w:val="22"/>
          <w:szCs w:val="22"/>
        </w:rPr>
        <w:t xml:space="preserve"> &amp; </w:t>
      </w:r>
      <w:r w:rsidRPr="00E95302" w:rsidR="00E95302">
        <w:rPr>
          <w:rFonts w:ascii="Arial" w:hAnsi="Arial" w:cs="Arial"/>
          <w:b/>
          <w:bCs/>
          <w:color w:val="auto"/>
          <w:sz w:val="22"/>
          <w:szCs w:val="22"/>
        </w:rPr>
        <w:t xml:space="preserve">Christopher Owens </w:t>
      </w:r>
      <w:r w:rsidRPr="00361E55">
        <w:rPr>
          <w:rFonts w:ascii="Arial" w:hAnsi="Arial" w:cs="Arial"/>
          <w:b/>
          <w:bCs/>
          <w:color w:val="auto"/>
          <w:sz w:val="22"/>
          <w:szCs w:val="22"/>
        </w:rPr>
        <w:t>(CYM016</w:t>
      </w:r>
      <w:r>
        <w:rPr>
          <w:rFonts w:ascii="Arial" w:hAnsi="Arial" w:cs="Arial"/>
          <w:b/>
          <w:bCs/>
          <w:color w:val="auto"/>
          <w:sz w:val="22"/>
          <w:szCs w:val="22"/>
        </w:rPr>
        <w:t>6</w:t>
      </w:r>
      <w:r w:rsidRPr="00361E55">
        <w:rPr>
          <w:rFonts w:ascii="Arial" w:hAnsi="Arial" w:cs="Arial"/>
          <w:b/>
          <w:bCs/>
          <w:color w:val="auto"/>
          <w:sz w:val="22"/>
          <w:szCs w:val="22"/>
        </w:rPr>
        <w:t>)</w:t>
      </w:r>
    </w:p>
    <w:p w:rsidR="00361E55" w:rsidP="00361E55"/>
    <w:p w:rsidR="00361E55" w:rsidRPr="00361E55" w:rsidP="00361E55"/>
    <w:p w:rsidR="003C41EA" w:rsidRPr="00361E55" w:rsidP="001A5B1F">
      <w:pPr>
        <w:pStyle w:val="Heading3"/>
        <w:spacing w:before="0" w:after="0"/>
        <w:rPr>
          <w:rFonts w:ascii="Arial" w:hAnsi="Arial" w:cs="Arial"/>
          <w:b/>
          <w:bCs/>
          <w:color w:val="auto"/>
          <w:sz w:val="22"/>
          <w:szCs w:val="22"/>
        </w:rPr>
      </w:pPr>
      <w:r w:rsidRPr="00361E55">
        <w:rPr>
          <w:rFonts w:ascii="Arial" w:hAnsi="Arial" w:cs="Arial"/>
          <w:b/>
          <w:bCs/>
          <w:color w:val="auto"/>
          <w:sz w:val="22"/>
          <w:szCs w:val="22"/>
        </w:rPr>
        <w:t>Overview</w:t>
      </w:r>
    </w:p>
    <w:p w:rsidR="003C41EA" w:rsidRPr="00361E55" w:rsidP="00286DD6">
      <w:pPr>
        <w:pStyle w:val="NormalWeb"/>
        <w:spacing w:before="0" w:beforeAutospacing="0" w:after="0" w:afterAutospacing="0"/>
        <w:rPr>
          <w:rFonts w:ascii="Arial" w:hAnsi="Arial" w:cs="Arial"/>
          <w:sz w:val="22"/>
          <w:szCs w:val="22"/>
        </w:rPr>
      </w:pPr>
      <w:r w:rsidRPr="00361E55">
        <w:rPr>
          <w:rFonts w:ascii="Arial" w:hAnsi="Arial" w:cs="Arial"/>
          <w:sz w:val="22"/>
          <w:szCs w:val="22"/>
        </w:rPr>
        <w:t>This submission presents evidence from the Talent 25 programme, a longitudinal, place-based initiative funded by Arts Council England, with research led by De Montfort University, including in-kind match funding support.</w:t>
      </w:r>
    </w:p>
    <w:p w:rsidR="003C41EA" w:rsidRPr="00361E55" w:rsidP="00286DD6">
      <w:pPr>
        <w:pStyle w:val="NormalWeb"/>
        <w:spacing w:before="0" w:beforeAutospacing="0" w:after="0" w:afterAutospacing="0"/>
        <w:rPr>
          <w:rFonts w:ascii="Arial" w:hAnsi="Arial" w:cs="Arial"/>
          <w:sz w:val="22"/>
          <w:szCs w:val="22"/>
        </w:rPr>
      </w:pPr>
    </w:p>
    <w:p w:rsidR="003C41EA" w:rsidRPr="00361E55" w:rsidP="00286DD6">
      <w:pPr>
        <w:pStyle w:val="NormalWeb"/>
        <w:spacing w:before="0" w:beforeAutospacing="0" w:after="0" w:afterAutospacing="0"/>
        <w:rPr>
          <w:rFonts w:ascii="Arial" w:hAnsi="Arial" w:cs="Arial"/>
          <w:sz w:val="22"/>
          <w:szCs w:val="22"/>
        </w:rPr>
      </w:pPr>
      <w:r w:rsidRPr="00361E55">
        <w:rPr>
          <w:rFonts w:ascii="Arial" w:hAnsi="Arial" w:cs="Arial"/>
          <w:sz w:val="22"/>
          <w:szCs w:val="22"/>
        </w:rPr>
        <w:t>Talent 25 works with children and young people from the early years onwards, and their families across Leicester and Leicestershire, with a focus on widening access to community-based opportunities in underserved areas. The programme is underpinned by a mixed-methods research design led by De Montfort University, drawing on longitudinal survey data, qualitative interviews, and ongoing engagement with participating families. Ethical approval for the study was granted through the NHS Health Research Authority (HRA).</w:t>
      </w:r>
    </w:p>
    <w:p w:rsidR="003C41EA" w:rsidRPr="00361E55" w:rsidP="00286DD6">
      <w:pPr>
        <w:pStyle w:val="NormalWeb"/>
        <w:spacing w:before="0" w:beforeAutospacing="0" w:after="0" w:afterAutospacing="0"/>
        <w:rPr>
          <w:rStyle w:val="Strong"/>
          <w:rFonts w:ascii="Arial" w:hAnsi="Arial" w:eastAsiaTheme="majorEastAsia" w:cs="Arial"/>
          <w:sz w:val="22"/>
          <w:szCs w:val="22"/>
        </w:rPr>
      </w:pPr>
    </w:p>
    <w:p w:rsidR="003C41EA" w:rsidRPr="00361E55" w:rsidP="00286DD6">
      <w:pPr>
        <w:pStyle w:val="NormalWeb"/>
        <w:spacing w:before="0" w:beforeAutospacing="0" w:after="0" w:afterAutospacing="0"/>
        <w:rPr>
          <w:rFonts w:ascii="Arial" w:hAnsi="Arial" w:cs="Arial"/>
          <w:sz w:val="22"/>
          <w:szCs w:val="22"/>
        </w:rPr>
      </w:pPr>
      <w:r w:rsidRPr="00361E55">
        <w:rPr>
          <w:rStyle w:val="Strong"/>
          <w:rFonts w:ascii="Arial" w:hAnsi="Arial" w:eastAsiaTheme="majorEastAsia" w:cs="Arial"/>
          <w:sz w:val="22"/>
          <w:szCs w:val="22"/>
        </w:rPr>
        <w:t>This submission provides evidence on:</w:t>
      </w:r>
    </w:p>
    <w:p w:rsidR="003C41EA" w:rsidRPr="00361E55" w:rsidP="00286DD6">
      <w:pPr>
        <w:pStyle w:val="NormalWeb"/>
        <w:numPr>
          <w:ilvl w:val="0"/>
          <w:numId w:val="31"/>
        </w:numPr>
        <w:spacing w:before="0" w:beforeAutospacing="0" w:after="0" w:afterAutospacing="0"/>
        <w:rPr>
          <w:rFonts w:ascii="Arial" w:hAnsi="Arial" w:cs="Arial"/>
          <w:sz w:val="22"/>
          <w:szCs w:val="22"/>
        </w:rPr>
      </w:pPr>
      <w:r w:rsidRPr="00361E55">
        <w:rPr>
          <w:rFonts w:ascii="Arial" w:hAnsi="Arial" w:cs="Arial"/>
          <w:sz w:val="22"/>
          <w:szCs w:val="22"/>
        </w:rPr>
        <w:t>early-stage wellbeing and emerging need;</w:t>
      </w:r>
    </w:p>
    <w:p w:rsidR="003C41EA" w:rsidRPr="00361E55" w:rsidP="00286DD6">
      <w:pPr>
        <w:pStyle w:val="NormalWeb"/>
        <w:numPr>
          <w:ilvl w:val="0"/>
          <w:numId w:val="31"/>
        </w:numPr>
        <w:spacing w:before="0" w:beforeAutospacing="0" w:after="0" w:afterAutospacing="0"/>
        <w:rPr>
          <w:rFonts w:ascii="Arial" w:hAnsi="Arial" w:cs="Arial"/>
          <w:sz w:val="22"/>
          <w:szCs w:val="22"/>
        </w:rPr>
      </w:pPr>
      <w:r w:rsidRPr="00361E55">
        <w:rPr>
          <w:rFonts w:ascii="Arial" w:hAnsi="Arial" w:cs="Arial"/>
          <w:sz w:val="22"/>
          <w:szCs w:val="22"/>
        </w:rPr>
        <w:t>barriers to accessing support;</w:t>
      </w:r>
    </w:p>
    <w:p w:rsidR="003C41EA" w:rsidRPr="00361E55" w:rsidP="00286DD6">
      <w:pPr>
        <w:pStyle w:val="NormalWeb"/>
        <w:numPr>
          <w:ilvl w:val="0"/>
          <w:numId w:val="31"/>
        </w:numPr>
        <w:spacing w:before="0" w:beforeAutospacing="0" w:after="0" w:afterAutospacing="0"/>
        <w:rPr>
          <w:rFonts w:ascii="Arial" w:hAnsi="Arial" w:cs="Arial"/>
          <w:sz w:val="22"/>
          <w:szCs w:val="22"/>
        </w:rPr>
      </w:pPr>
      <w:r w:rsidRPr="00361E55">
        <w:rPr>
          <w:rFonts w:ascii="Arial" w:hAnsi="Arial" w:cs="Arial"/>
          <w:sz w:val="22"/>
          <w:szCs w:val="22"/>
        </w:rPr>
        <w:t>inequalities in provision;</w:t>
      </w:r>
    </w:p>
    <w:p w:rsidR="003C41EA" w:rsidRPr="00361E55" w:rsidP="00286DD6">
      <w:pPr>
        <w:pStyle w:val="NormalWeb"/>
        <w:numPr>
          <w:ilvl w:val="0"/>
          <w:numId w:val="31"/>
        </w:numPr>
        <w:spacing w:before="0" w:beforeAutospacing="0" w:after="0" w:afterAutospacing="0"/>
        <w:rPr>
          <w:rFonts w:ascii="Arial" w:hAnsi="Arial" w:cs="Arial"/>
          <w:sz w:val="22"/>
          <w:szCs w:val="22"/>
        </w:rPr>
      </w:pPr>
      <w:r w:rsidRPr="00361E55">
        <w:rPr>
          <w:rFonts w:ascii="Arial" w:hAnsi="Arial" w:cs="Arial"/>
          <w:sz w:val="22"/>
          <w:szCs w:val="22"/>
        </w:rPr>
        <w:t>the role of community-based settings in prevention.</w:t>
      </w:r>
    </w:p>
    <w:p w:rsidR="003C41EA" w:rsidRPr="00361E55" w:rsidP="00286DD6">
      <w:pPr>
        <w:pStyle w:val="NormalWeb"/>
        <w:spacing w:before="0" w:beforeAutospacing="0" w:after="0" w:afterAutospacing="0"/>
        <w:rPr>
          <w:rFonts w:ascii="Arial" w:hAnsi="Arial" w:cs="Arial"/>
          <w:sz w:val="22"/>
          <w:szCs w:val="22"/>
        </w:rPr>
      </w:pPr>
    </w:p>
    <w:p w:rsidR="003C41EA" w:rsidRPr="00361E55" w:rsidP="00286DD6">
      <w:pPr>
        <w:pStyle w:val="NormalWeb"/>
        <w:spacing w:before="0" w:beforeAutospacing="0" w:after="0" w:afterAutospacing="0"/>
        <w:rPr>
          <w:rFonts w:ascii="Arial" w:hAnsi="Arial" w:cs="Arial"/>
          <w:sz w:val="22"/>
          <w:szCs w:val="22"/>
        </w:rPr>
      </w:pPr>
      <w:r w:rsidRPr="00361E55">
        <w:rPr>
          <w:rFonts w:ascii="Arial" w:hAnsi="Arial" w:cs="Arial"/>
          <w:sz w:val="22"/>
          <w:szCs w:val="22"/>
        </w:rPr>
        <w:t>The evidence is relevant to the Committee’s consideration of early intervention, unmet need below specialist thresholds, and integration across community, education and health systems.</w:t>
      </w:r>
    </w:p>
    <w:p w:rsidR="003C41EA" w:rsidRPr="00361E55" w:rsidP="00286DD6">
      <w:pPr>
        <w:pStyle w:val="NormalWeb"/>
        <w:spacing w:before="0" w:beforeAutospacing="0" w:after="0" w:afterAutospacing="0"/>
        <w:rPr>
          <w:rFonts w:ascii="Arial" w:hAnsi="Arial" w:cs="Arial"/>
          <w:sz w:val="22"/>
          <w:szCs w:val="22"/>
        </w:rPr>
      </w:pPr>
    </w:p>
    <w:p w:rsidR="003C41EA" w:rsidRPr="00361E55" w:rsidP="00286DD6">
      <w:pPr>
        <w:pStyle w:val="NormalWeb"/>
        <w:spacing w:before="0" w:beforeAutospacing="0" w:after="0" w:afterAutospacing="0"/>
        <w:rPr>
          <w:rFonts w:ascii="Arial" w:hAnsi="Arial" w:cs="Arial"/>
          <w:sz w:val="22"/>
          <w:szCs w:val="22"/>
        </w:rPr>
      </w:pPr>
      <w:r w:rsidRPr="00361E55">
        <w:rPr>
          <w:rFonts w:ascii="Arial" w:hAnsi="Arial" w:cs="Arial"/>
          <w:sz w:val="22"/>
          <w:szCs w:val="22"/>
        </w:rPr>
        <w:t xml:space="preserve">The Principal Investigator for the research, Professor Bertha Ochieng, is based at De Montfort University. Further information and published outputs from the programme are available at: </w:t>
      </w:r>
      <w:r>
        <w:fldChar w:fldCharType="begin"/>
      </w:r>
      <w:r>
        <w:instrText xml:space="preserve"> HYPERLINK "https://talent25.org.uk/" </w:instrText>
      </w:r>
      <w:r>
        <w:fldChar w:fldCharType="separate"/>
      </w:r>
      <w:r w:rsidRPr="00361E55">
        <w:rPr>
          <w:rStyle w:val="Hyperlink"/>
          <w:rFonts w:ascii="Arial" w:hAnsi="Arial" w:eastAsiaTheme="majorEastAsia" w:cs="Arial"/>
          <w:color w:val="auto"/>
          <w:sz w:val="22"/>
          <w:szCs w:val="22"/>
        </w:rPr>
        <w:t>https://talent25.org.uk/</w:t>
      </w:r>
      <w:r>
        <w:fldChar w:fldCharType="end"/>
      </w:r>
    </w:p>
    <w:p w:rsidR="003C41EA" w:rsidRPr="00361E55" w:rsidP="001A5B1F">
      <w:pPr>
        <w:pStyle w:val="Heading3"/>
        <w:spacing w:before="0" w:after="0"/>
        <w:rPr>
          <w:rFonts w:ascii="Arial" w:hAnsi="Arial" w:cs="Arial"/>
          <w:b/>
          <w:bCs/>
          <w:color w:val="auto"/>
          <w:sz w:val="22"/>
          <w:szCs w:val="22"/>
        </w:rPr>
      </w:pPr>
    </w:p>
    <w:p w:rsidR="003C41EA" w:rsidRPr="00361E55" w:rsidP="001A5B1F">
      <w:pPr>
        <w:pStyle w:val="Heading3"/>
        <w:spacing w:before="0" w:after="0"/>
        <w:rPr>
          <w:rFonts w:ascii="Arial" w:hAnsi="Arial" w:cs="Arial"/>
          <w:b/>
          <w:bCs/>
          <w:color w:val="auto"/>
          <w:sz w:val="22"/>
          <w:szCs w:val="22"/>
        </w:rPr>
      </w:pPr>
      <w:r w:rsidRPr="00361E55">
        <w:rPr>
          <w:rFonts w:ascii="Arial" w:hAnsi="Arial" w:cs="Arial"/>
          <w:b/>
          <w:bCs/>
          <w:color w:val="auto"/>
          <w:sz w:val="22"/>
          <w:szCs w:val="22"/>
        </w:rPr>
        <w:t>Community-based provision and early support</w:t>
      </w: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 xml:space="preserve">Evidence from Talent 25 indicates that </w:t>
      </w:r>
      <w:r w:rsidRPr="00361E55">
        <w:rPr>
          <w:rStyle w:val="Strong"/>
          <w:rFonts w:ascii="Arial" w:hAnsi="Arial" w:eastAsiaTheme="majorEastAsia" w:cs="Arial"/>
          <w:b w:val="0"/>
          <w:bCs w:val="0"/>
          <w:sz w:val="22"/>
          <w:szCs w:val="22"/>
        </w:rPr>
        <w:t>trusted, locally delivered community provision plays a significant role in supporting children and young people’s wellbeing</w:t>
      </w:r>
      <w:r w:rsidRPr="00361E55">
        <w:rPr>
          <w:rFonts w:ascii="Arial" w:hAnsi="Arial" w:cs="Arial"/>
          <w:sz w:val="22"/>
          <w:szCs w:val="22"/>
        </w:rPr>
        <w:t>, particularly at pre-clinical stages of need. Across multiple data sources, parents and carers report that participation supports:</w:t>
      </w:r>
    </w:p>
    <w:p w:rsidR="003C41EA" w:rsidRPr="00361E55" w:rsidP="001A5B1F">
      <w:pPr>
        <w:numPr>
          <w:ilvl w:val="0"/>
          <w:numId w:val="18"/>
        </w:numPr>
        <w:rPr>
          <w:rFonts w:ascii="Arial" w:hAnsi="Arial" w:cs="Arial"/>
          <w:sz w:val="22"/>
          <w:szCs w:val="22"/>
        </w:rPr>
      </w:pPr>
      <w:r w:rsidRPr="00361E55">
        <w:rPr>
          <w:rFonts w:ascii="Arial" w:hAnsi="Arial" w:cs="Arial"/>
          <w:sz w:val="22"/>
          <w:szCs w:val="22"/>
        </w:rPr>
        <w:t>children’s confidence and social development;</w:t>
      </w:r>
    </w:p>
    <w:p w:rsidR="003C41EA" w:rsidRPr="00361E55" w:rsidP="001A5B1F">
      <w:pPr>
        <w:numPr>
          <w:ilvl w:val="0"/>
          <w:numId w:val="18"/>
        </w:numPr>
        <w:rPr>
          <w:rFonts w:ascii="Arial" w:hAnsi="Arial" w:cs="Arial"/>
          <w:sz w:val="22"/>
          <w:szCs w:val="22"/>
        </w:rPr>
      </w:pPr>
      <w:r w:rsidRPr="00361E55">
        <w:rPr>
          <w:rFonts w:ascii="Arial" w:hAnsi="Arial" w:cs="Arial"/>
          <w:sz w:val="22"/>
          <w:szCs w:val="22"/>
        </w:rPr>
        <w:t>sense of belonging and engagement;</w:t>
      </w:r>
    </w:p>
    <w:p w:rsidR="003C41EA" w:rsidRPr="00361E55" w:rsidP="001A5B1F">
      <w:pPr>
        <w:numPr>
          <w:ilvl w:val="0"/>
          <w:numId w:val="18"/>
        </w:numPr>
        <w:rPr>
          <w:rFonts w:ascii="Arial" w:hAnsi="Arial" w:cs="Arial"/>
          <w:sz w:val="22"/>
          <w:szCs w:val="22"/>
        </w:rPr>
      </w:pPr>
      <w:r w:rsidRPr="00361E55">
        <w:rPr>
          <w:rFonts w:ascii="Arial" w:hAnsi="Arial" w:cs="Arial"/>
          <w:sz w:val="22"/>
          <w:szCs w:val="22"/>
        </w:rPr>
        <w:t>routine and stability within family life.</w:t>
      </w:r>
    </w:p>
    <w:p w:rsidR="003C41EA" w:rsidRPr="00361E55" w:rsidP="001A5B1F">
      <w:pPr>
        <w:pStyle w:val="NormalWeb"/>
        <w:spacing w:before="0" w:beforeAutospacing="0" w:after="0" w:afterAutospacing="0"/>
        <w:rPr>
          <w:rFonts w:ascii="Arial" w:hAnsi="Arial" w:cs="Arial"/>
          <w:sz w:val="22"/>
          <w:szCs w:val="22"/>
        </w:rPr>
      </w:pP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 xml:space="preserve">Parents also describe </w:t>
      </w:r>
      <w:r w:rsidRPr="00361E55">
        <w:rPr>
          <w:rStyle w:val="Strong"/>
          <w:rFonts w:ascii="Arial" w:hAnsi="Arial" w:eastAsiaTheme="majorEastAsia" w:cs="Arial"/>
          <w:b w:val="0"/>
          <w:bCs w:val="0"/>
          <w:sz w:val="22"/>
          <w:szCs w:val="22"/>
        </w:rPr>
        <w:t>improvements in their own wellbeing</w:t>
      </w:r>
      <w:r w:rsidRPr="00361E55">
        <w:rPr>
          <w:rFonts w:ascii="Arial" w:hAnsi="Arial" w:cs="Arial"/>
          <w:sz w:val="22"/>
          <w:szCs w:val="22"/>
        </w:rPr>
        <w:t>, including reduced isolation and increased confidence in supporting their children. These findings are consistent across programme reports and evaluation outputs (</w:t>
      </w:r>
      <w:r>
        <w:fldChar w:fldCharType="begin"/>
      </w:r>
      <w:r>
        <w:instrText xml:space="preserve"> HYPERLINK "https://talent25.org.uk/" \t "_new" </w:instrText>
      </w:r>
      <w:r>
        <w:fldChar w:fldCharType="separate"/>
      </w:r>
      <w:r w:rsidRPr="00361E55">
        <w:rPr>
          <w:rStyle w:val="Hyperlink"/>
          <w:rFonts w:ascii="Arial" w:hAnsi="Arial" w:eastAsiaTheme="majorEastAsia" w:cs="Arial"/>
          <w:color w:val="auto"/>
          <w:sz w:val="22"/>
          <w:szCs w:val="22"/>
        </w:rPr>
        <w:t>https://talent25.org.uk/</w:t>
      </w:r>
      <w:r>
        <w:fldChar w:fldCharType="end"/>
      </w:r>
      <w:r w:rsidRPr="00361E55">
        <w:rPr>
          <w:rFonts w:ascii="Arial" w:hAnsi="Arial" w:cs="Arial"/>
          <w:sz w:val="22"/>
          <w:szCs w:val="22"/>
        </w:rPr>
        <w:t>).</w:t>
      </w:r>
    </w:p>
    <w:p w:rsidR="003C41EA" w:rsidRPr="00361E55" w:rsidP="001A5B1F">
      <w:pPr>
        <w:pStyle w:val="NormalWeb"/>
        <w:spacing w:before="0" w:beforeAutospacing="0" w:after="0" w:afterAutospacing="0"/>
        <w:rPr>
          <w:rFonts w:ascii="Arial" w:hAnsi="Arial" w:cs="Arial"/>
          <w:sz w:val="22"/>
          <w:szCs w:val="22"/>
        </w:rPr>
      </w:pPr>
    </w:p>
    <w:p w:rsidR="003C41EA" w:rsidRPr="00361E55" w:rsidP="001A5B1F">
      <w:pPr>
        <w:pStyle w:val="NormalWeb"/>
        <w:spacing w:before="0" w:beforeAutospacing="0" w:after="0" w:afterAutospacing="0"/>
        <w:rPr>
          <w:rFonts w:ascii="Arial" w:hAnsi="Arial" w:cs="Arial"/>
          <w:sz w:val="22"/>
          <w:szCs w:val="22"/>
        </w:rPr>
      </w:pPr>
      <w:r w:rsidRPr="00361E55">
        <w:t>The evidence indicates that community-based provision contributes to early identification and response to emerging needs</w:t>
      </w:r>
      <w:r w:rsidRPr="00361E55">
        <w:rPr>
          <w:rFonts w:ascii="Arial" w:hAnsi="Arial" w:cs="Arial"/>
          <w:sz w:val="22"/>
          <w:szCs w:val="22"/>
        </w:rPr>
        <w:t>, particularly for families who may not engage with formal services. However, this provision is not currently recognised or resourced as a formal component of the mental health support system, limiting its integration with statutory pathways.</w:t>
      </w:r>
    </w:p>
    <w:p w:rsidR="003C41EA" w:rsidRPr="00361E55" w:rsidP="001A5B1F">
      <w:pPr>
        <w:pStyle w:val="Heading3"/>
        <w:spacing w:before="0" w:after="0"/>
        <w:rPr>
          <w:rFonts w:ascii="Arial" w:hAnsi="Arial" w:cs="Arial"/>
          <w:b/>
          <w:bCs/>
          <w:color w:val="auto"/>
          <w:sz w:val="22"/>
          <w:szCs w:val="22"/>
        </w:rPr>
      </w:pPr>
    </w:p>
    <w:p w:rsidR="003C41EA" w:rsidRPr="00361E55" w:rsidP="001A5B1F">
      <w:pPr>
        <w:pStyle w:val="Heading3"/>
        <w:spacing w:before="0" w:after="0"/>
        <w:rPr>
          <w:rFonts w:ascii="Arial" w:hAnsi="Arial" w:cs="Arial"/>
          <w:b/>
          <w:bCs/>
          <w:color w:val="auto"/>
          <w:sz w:val="22"/>
          <w:szCs w:val="22"/>
        </w:rPr>
      </w:pPr>
      <w:r w:rsidRPr="00361E55">
        <w:rPr>
          <w:rFonts w:ascii="Arial" w:hAnsi="Arial" w:cs="Arial"/>
          <w:b/>
          <w:bCs/>
          <w:color w:val="auto"/>
          <w:sz w:val="22"/>
          <w:szCs w:val="22"/>
        </w:rPr>
        <w:t>Unmet need below specialist thresholds</w:t>
      </w: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 xml:space="preserve">A consistent finding across the research is the presence of </w:t>
      </w:r>
      <w:r w:rsidRPr="00361E55">
        <w:rPr>
          <w:rStyle w:val="Strong"/>
          <w:rFonts w:ascii="Arial" w:hAnsi="Arial" w:eastAsiaTheme="majorEastAsia" w:cs="Arial"/>
          <w:b w:val="0"/>
          <w:bCs w:val="0"/>
          <w:sz w:val="22"/>
          <w:szCs w:val="22"/>
        </w:rPr>
        <w:t>unmet need among children and families who do not meet thresholds for specialist services such as CAMHS</w:t>
      </w:r>
      <w:r w:rsidRPr="00361E55">
        <w:rPr>
          <w:rFonts w:ascii="Arial" w:hAnsi="Arial" w:cs="Arial"/>
          <w:b/>
          <w:bCs/>
          <w:sz w:val="22"/>
          <w:szCs w:val="22"/>
        </w:rPr>
        <w:t>.</w:t>
      </w: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Parents report:</w:t>
      </w:r>
    </w:p>
    <w:p w:rsidR="003C41EA" w:rsidRPr="00361E55" w:rsidP="001A5B1F">
      <w:pPr>
        <w:numPr>
          <w:ilvl w:val="0"/>
          <w:numId w:val="19"/>
        </w:numPr>
        <w:rPr>
          <w:rFonts w:ascii="Arial" w:hAnsi="Arial" w:cs="Arial"/>
          <w:sz w:val="22"/>
          <w:szCs w:val="22"/>
        </w:rPr>
      </w:pPr>
      <w:r w:rsidRPr="00361E55">
        <w:rPr>
          <w:rFonts w:ascii="Arial" w:hAnsi="Arial" w:cs="Arial"/>
          <w:sz w:val="22"/>
          <w:szCs w:val="22"/>
        </w:rPr>
        <w:t>uncertainty about when and how to seek support;</w:t>
      </w:r>
    </w:p>
    <w:p w:rsidR="003C41EA" w:rsidRPr="00361E55" w:rsidP="001A5B1F">
      <w:pPr>
        <w:numPr>
          <w:ilvl w:val="0"/>
          <w:numId w:val="19"/>
        </w:numPr>
        <w:rPr>
          <w:rFonts w:ascii="Arial" w:hAnsi="Arial" w:cs="Arial"/>
          <w:sz w:val="22"/>
          <w:szCs w:val="22"/>
        </w:rPr>
      </w:pPr>
      <w:r w:rsidRPr="00361E55">
        <w:rPr>
          <w:rFonts w:ascii="Arial" w:hAnsi="Arial" w:cs="Arial"/>
          <w:sz w:val="22"/>
          <w:szCs w:val="22"/>
        </w:rPr>
        <w:t xml:space="preserve">limited awareness of available services; </w:t>
      </w:r>
    </w:p>
    <w:p w:rsidR="003C41EA" w:rsidRPr="00361E55" w:rsidP="001A5B1F">
      <w:pPr>
        <w:numPr>
          <w:ilvl w:val="0"/>
          <w:numId w:val="19"/>
        </w:numPr>
        <w:rPr>
          <w:rFonts w:ascii="Arial" w:hAnsi="Arial" w:cs="Arial"/>
          <w:sz w:val="22"/>
          <w:szCs w:val="22"/>
        </w:rPr>
      </w:pPr>
      <w:r w:rsidRPr="00361E55">
        <w:rPr>
          <w:rFonts w:ascii="Arial" w:hAnsi="Arial" w:cs="Arial"/>
          <w:sz w:val="22"/>
          <w:szCs w:val="22"/>
        </w:rPr>
        <w:t>difficulty accessing appropriate early-stage provision.</w:t>
      </w:r>
    </w:p>
    <w:p w:rsidR="003C41EA" w:rsidRPr="00361E55" w:rsidP="001A5B1F">
      <w:pPr>
        <w:pStyle w:val="NormalWeb"/>
        <w:spacing w:before="0" w:beforeAutospacing="0" w:after="0" w:afterAutospacing="0"/>
        <w:rPr>
          <w:rFonts w:ascii="Arial" w:hAnsi="Arial" w:cs="Arial"/>
          <w:sz w:val="22"/>
          <w:szCs w:val="22"/>
        </w:rPr>
      </w:pP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 xml:space="preserve">In practice, community-based programmes often function as </w:t>
      </w:r>
      <w:r w:rsidRPr="00361E55">
        <w:rPr>
          <w:rStyle w:val="Strong"/>
          <w:rFonts w:ascii="Arial" w:hAnsi="Arial" w:eastAsiaTheme="majorEastAsia" w:cs="Arial"/>
          <w:b w:val="0"/>
          <w:bCs w:val="0"/>
          <w:sz w:val="22"/>
          <w:szCs w:val="22"/>
        </w:rPr>
        <w:t>informal early support</w:t>
      </w:r>
      <w:r w:rsidRPr="00361E55">
        <w:rPr>
          <w:rFonts w:ascii="Arial" w:hAnsi="Arial" w:cs="Arial"/>
          <w:b/>
          <w:bCs/>
          <w:sz w:val="22"/>
          <w:szCs w:val="22"/>
        </w:rPr>
        <w:t>,</w:t>
      </w:r>
      <w:r w:rsidRPr="00361E55">
        <w:rPr>
          <w:rFonts w:ascii="Arial" w:hAnsi="Arial" w:cs="Arial"/>
          <w:sz w:val="22"/>
          <w:szCs w:val="22"/>
        </w:rPr>
        <w:t xml:space="preserve"> despite not being designed or funded for this purpose.</w:t>
      </w: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This reflects a structural gap between:</w:t>
      </w:r>
    </w:p>
    <w:p w:rsidR="003C41EA" w:rsidRPr="00361E55" w:rsidP="001A5B1F">
      <w:pPr>
        <w:numPr>
          <w:ilvl w:val="0"/>
          <w:numId w:val="20"/>
        </w:numPr>
        <w:rPr>
          <w:rFonts w:ascii="Arial" w:hAnsi="Arial" w:cs="Arial"/>
          <w:sz w:val="22"/>
          <w:szCs w:val="22"/>
        </w:rPr>
      </w:pPr>
      <w:r w:rsidRPr="00361E55">
        <w:rPr>
          <w:rFonts w:ascii="Arial" w:hAnsi="Arial" w:cs="Arial"/>
          <w:sz w:val="22"/>
          <w:szCs w:val="22"/>
        </w:rPr>
        <w:t xml:space="preserve">universal provision (including education and community settings); </w:t>
      </w:r>
    </w:p>
    <w:p w:rsidR="003C41EA" w:rsidRPr="00361E55" w:rsidP="001A5B1F">
      <w:pPr>
        <w:numPr>
          <w:ilvl w:val="0"/>
          <w:numId w:val="20"/>
        </w:numPr>
        <w:rPr>
          <w:rFonts w:ascii="Arial" w:hAnsi="Arial" w:cs="Arial"/>
          <w:sz w:val="22"/>
          <w:szCs w:val="22"/>
        </w:rPr>
      </w:pPr>
      <w:r w:rsidRPr="00361E55">
        <w:rPr>
          <w:rFonts w:ascii="Arial" w:hAnsi="Arial" w:cs="Arial"/>
          <w:sz w:val="22"/>
          <w:szCs w:val="22"/>
        </w:rPr>
        <w:t>specialist services.</w:t>
      </w:r>
    </w:p>
    <w:p w:rsidR="003C41EA" w:rsidRPr="00361E55" w:rsidP="001A5B1F">
      <w:pPr>
        <w:pStyle w:val="NormalWeb"/>
        <w:spacing w:before="0" w:beforeAutospacing="0" w:after="0" w:afterAutospacing="0"/>
        <w:rPr>
          <w:rFonts w:ascii="Arial" w:hAnsi="Arial" w:cs="Arial"/>
          <w:sz w:val="22"/>
          <w:szCs w:val="22"/>
        </w:rPr>
      </w:pP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Children and families with emerging or moderate needs frequently fall between these thresholds, with limited access to timely support.</w:t>
      </w:r>
    </w:p>
    <w:p w:rsidR="003C41EA" w:rsidRPr="00361E55" w:rsidP="001A5B1F">
      <w:pPr>
        <w:pStyle w:val="Heading3"/>
        <w:spacing w:before="0" w:after="0"/>
        <w:rPr>
          <w:rFonts w:ascii="Arial" w:hAnsi="Arial" w:cs="Arial"/>
          <w:color w:val="auto"/>
          <w:sz w:val="22"/>
          <w:szCs w:val="22"/>
        </w:rPr>
      </w:pPr>
    </w:p>
    <w:p w:rsidR="003C41EA" w:rsidRPr="00361E55" w:rsidP="001A5B1F">
      <w:pPr>
        <w:pStyle w:val="Heading3"/>
        <w:spacing w:before="0" w:after="0"/>
        <w:rPr>
          <w:rFonts w:ascii="Arial" w:hAnsi="Arial" w:cs="Arial"/>
          <w:b/>
          <w:bCs/>
          <w:color w:val="auto"/>
          <w:sz w:val="22"/>
          <w:szCs w:val="22"/>
        </w:rPr>
      </w:pPr>
      <w:r w:rsidRPr="00361E55">
        <w:rPr>
          <w:rFonts w:ascii="Arial" w:hAnsi="Arial" w:cs="Arial"/>
          <w:b/>
          <w:bCs/>
          <w:color w:val="auto"/>
          <w:sz w:val="22"/>
          <w:szCs w:val="22"/>
        </w:rPr>
        <w:t>Inequalities in access and provision</w:t>
      </w: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 xml:space="preserve">Talent 25 engages families from </w:t>
      </w:r>
      <w:r w:rsidRPr="00361E55">
        <w:rPr>
          <w:rStyle w:val="Strong"/>
          <w:rFonts w:ascii="Arial" w:hAnsi="Arial" w:eastAsiaTheme="majorEastAsia" w:cs="Arial"/>
          <w:b w:val="0"/>
          <w:bCs w:val="0"/>
          <w:sz w:val="22"/>
          <w:szCs w:val="22"/>
        </w:rPr>
        <w:t>underserved and ethnically diverse communities</w:t>
      </w:r>
      <w:r w:rsidRPr="00361E55">
        <w:rPr>
          <w:rFonts w:ascii="Arial" w:hAnsi="Arial" w:cs="Arial"/>
          <w:sz w:val="22"/>
          <w:szCs w:val="22"/>
        </w:rPr>
        <w:t>, providing insight into persistent inequalities in access to support.</w:t>
      </w: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Key barriers identified across the research include:</w:t>
      </w:r>
    </w:p>
    <w:p w:rsidR="003C41EA" w:rsidRPr="00361E55" w:rsidP="001A5B1F">
      <w:pPr>
        <w:numPr>
          <w:ilvl w:val="0"/>
          <w:numId w:val="21"/>
        </w:numPr>
        <w:rPr>
          <w:rFonts w:ascii="Arial" w:hAnsi="Arial" w:cs="Arial"/>
          <w:sz w:val="22"/>
          <w:szCs w:val="22"/>
        </w:rPr>
      </w:pPr>
      <w:r w:rsidRPr="00361E55">
        <w:rPr>
          <w:rFonts w:ascii="Arial" w:hAnsi="Arial" w:cs="Arial"/>
          <w:sz w:val="22"/>
          <w:szCs w:val="22"/>
        </w:rPr>
        <w:t xml:space="preserve">cost and affordability; </w:t>
      </w:r>
    </w:p>
    <w:p w:rsidR="003C41EA" w:rsidRPr="00361E55" w:rsidP="001A5B1F">
      <w:pPr>
        <w:numPr>
          <w:ilvl w:val="0"/>
          <w:numId w:val="21"/>
        </w:numPr>
        <w:rPr>
          <w:rFonts w:ascii="Arial" w:hAnsi="Arial" w:cs="Arial"/>
          <w:sz w:val="22"/>
          <w:szCs w:val="22"/>
        </w:rPr>
      </w:pPr>
      <w:r w:rsidRPr="00361E55">
        <w:rPr>
          <w:rFonts w:ascii="Arial" w:hAnsi="Arial" w:cs="Arial"/>
          <w:sz w:val="22"/>
          <w:szCs w:val="22"/>
        </w:rPr>
        <w:t>limited awareness of available opportunities;</w:t>
      </w:r>
    </w:p>
    <w:p w:rsidR="003C41EA" w:rsidRPr="00361E55" w:rsidP="001A5B1F">
      <w:pPr>
        <w:numPr>
          <w:ilvl w:val="0"/>
          <w:numId w:val="21"/>
        </w:numPr>
        <w:rPr>
          <w:rFonts w:ascii="Arial" w:hAnsi="Arial" w:cs="Arial"/>
          <w:sz w:val="22"/>
          <w:szCs w:val="22"/>
        </w:rPr>
      </w:pPr>
      <w:r w:rsidRPr="00361E55">
        <w:rPr>
          <w:rFonts w:ascii="Arial" w:hAnsi="Arial" w:cs="Arial"/>
          <w:sz w:val="22"/>
          <w:szCs w:val="22"/>
        </w:rPr>
        <w:t>cultural relevance of provision;</w:t>
      </w:r>
    </w:p>
    <w:p w:rsidR="003C41EA" w:rsidRPr="00361E55" w:rsidP="001A5B1F">
      <w:pPr>
        <w:numPr>
          <w:ilvl w:val="0"/>
          <w:numId w:val="21"/>
        </w:numPr>
        <w:rPr>
          <w:rFonts w:ascii="Arial" w:hAnsi="Arial" w:cs="Arial"/>
          <w:sz w:val="22"/>
          <w:szCs w:val="22"/>
        </w:rPr>
      </w:pPr>
      <w:r w:rsidRPr="00361E55">
        <w:rPr>
          <w:rFonts w:ascii="Arial" w:hAnsi="Arial" w:cs="Arial"/>
          <w:sz w:val="22"/>
          <w:szCs w:val="22"/>
        </w:rPr>
        <w:t xml:space="preserve">transport and geographic accessibility. </w:t>
      </w:r>
    </w:p>
    <w:p w:rsidR="003C41EA" w:rsidRPr="00361E55" w:rsidP="001A5B1F">
      <w:pPr>
        <w:pStyle w:val="NormalWeb"/>
        <w:spacing w:before="0" w:beforeAutospacing="0" w:after="0" w:afterAutospacing="0"/>
        <w:rPr>
          <w:rFonts w:ascii="Arial" w:hAnsi="Arial" w:cs="Arial"/>
          <w:sz w:val="22"/>
          <w:szCs w:val="22"/>
        </w:rPr>
      </w:pPr>
    </w:p>
    <w:p w:rsidR="003C41EA" w:rsidRPr="00361E55" w:rsidP="00C24B15">
      <w:pPr>
        <w:pStyle w:val="Heading3"/>
        <w:spacing w:before="0" w:after="0"/>
        <w:rPr>
          <w:rStyle w:val="Strong"/>
          <w:rFonts w:ascii="Arial" w:hAnsi="Arial" w:cs="Arial"/>
          <w:color w:val="auto"/>
          <w:sz w:val="22"/>
          <w:szCs w:val="22"/>
        </w:rPr>
      </w:pPr>
      <w:r w:rsidRPr="00361E55">
        <w:rPr>
          <w:rFonts w:ascii="Arial" w:hAnsi="Arial" w:cs="Arial"/>
          <w:color w:val="auto"/>
          <w:sz w:val="22"/>
          <w:szCs w:val="22"/>
        </w:rPr>
        <w:t xml:space="preserve">There is clear evidence of local variability in provision, with some areas offering significantly fewer opportunities for engagement. Early years provision, particularly for children aged 0–3, emerges as a notable gap, despite this being a critical period for development and wellbeing. </w:t>
      </w:r>
      <w:r w:rsidRPr="00361E55">
        <w:rPr>
          <w:rStyle w:val="Strong"/>
          <w:rFonts w:ascii="Arial" w:hAnsi="Arial" w:cs="Arial"/>
          <w:b w:val="0"/>
          <w:bCs w:val="0"/>
          <w:color w:val="auto"/>
          <w:sz w:val="22"/>
          <w:szCs w:val="22"/>
        </w:rPr>
        <w:t>This evidence indicates that access to early support is uneven and shaped by structural and socio-economic factors.</w:t>
      </w:r>
    </w:p>
    <w:p w:rsidR="003C41EA" w:rsidRPr="00361E55" w:rsidP="00C24B15"/>
    <w:p w:rsidR="003C41EA" w:rsidRPr="00361E55" w:rsidP="001A5B1F">
      <w:pPr>
        <w:pStyle w:val="Heading3"/>
        <w:spacing w:before="0" w:after="0"/>
        <w:rPr>
          <w:rFonts w:ascii="Arial" w:hAnsi="Arial" w:cs="Arial"/>
          <w:b/>
          <w:bCs/>
          <w:color w:val="auto"/>
          <w:sz w:val="22"/>
          <w:szCs w:val="22"/>
        </w:rPr>
      </w:pPr>
      <w:r w:rsidRPr="00361E55">
        <w:rPr>
          <w:rFonts w:ascii="Arial" w:hAnsi="Arial" w:cs="Arial"/>
          <w:b/>
          <w:bCs/>
          <w:color w:val="auto"/>
          <w:sz w:val="22"/>
          <w:szCs w:val="22"/>
        </w:rPr>
        <w:t>Integration and system fragmentation</w:t>
      </w: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 xml:space="preserve">The research highlights </w:t>
      </w:r>
      <w:r w:rsidRPr="00361E55">
        <w:rPr>
          <w:rStyle w:val="Strong"/>
          <w:rFonts w:ascii="Arial" w:hAnsi="Arial" w:eastAsiaTheme="majorEastAsia" w:cs="Arial"/>
          <w:b w:val="0"/>
          <w:bCs w:val="0"/>
          <w:sz w:val="22"/>
          <w:szCs w:val="22"/>
        </w:rPr>
        <w:t>fragmentation between education, community and health services</w:t>
      </w:r>
      <w:r w:rsidRPr="00361E55">
        <w:rPr>
          <w:rFonts w:ascii="Arial" w:hAnsi="Arial" w:cs="Arial"/>
          <w:b/>
          <w:bCs/>
          <w:sz w:val="22"/>
          <w:szCs w:val="22"/>
        </w:rPr>
        <w:t>,</w:t>
      </w:r>
      <w:r w:rsidRPr="00361E55">
        <w:rPr>
          <w:rFonts w:ascii="Arial" w:hAnsi="Arial" w:cs="Arial"/>
          <w:sz w:val="22"/>
          <w:szCs w:val="22"/>
        </w:rPr>
        <w:t xml:space="preserve"> with limited coordination across sectors. Families describe navigating multiple systems, including:</w:t>
      </w:r>
    </w:p>
    <w:p w:rsidR="003C41EA" w:rsidRPr="00361E55" w:rsidP="001A5B1F">
      <w:pPr>
        <w:numPr>
          <w:ilvl w:val="0"/>
          <w:numId w:val="22"/>
        </w:numPr>
        <w:rPr>
          <w:rFonts w:ascii="Arial" w:hAnsi="Arial" w:cs="Arial"/>
          <w:sz w:val="22"/>
          <w:szCs w:val="22"/>
        </w:rPr>
      </w:pPr>
      <w:r w:rsidRPr="00361E55">
        <w:rPr>
          <w:rFonts w:ascii="Arial" w:hAnsi="Arial" w:cs="Arial"/>
          <w:sz w:val="22"/>
          <w:szCs w:val="22"/>
        </w:rPr>
        <w:t xml:space="preserve">education settings; </w:t>
      </w:r>
    </w:p>
    <w:p w:rsidR="003C41EA" w:rsidRPr="00361E55" w:rsidP="001A5B1F">
      <w:pPr>
        <w:numPr>
          <w:ilvl w:val="0"/>
          <w:numId w:val="22"/>
        </w:numPr>
        <w:rPr>
          <w:rFonts w:ascii="Arial" w:hAnsi="Arial" w:cs="Arial"/>
          <w:sz w:val="22"/>
          <w:szCs w:val="22"/>
        </w:rPr>
      </w:pPr>
      <w:r w:rsidRPr="00361E55">
        <w:rPr>
          <w:rFonts w:ascii="Arial" w:hAnsi="Arial" w:cs="Arial"/>
          <w:sz w:val="22"/>
          <w:szCs w:val="22"/>
        </w:rPr>
        <w:t>community and voluntary sector provision;</w:t>
      </w:r>
    </w:p>
    <w:p w:rsidR="003C41EA" w:rsidRPr="00361E55" w:rsidP="001A5B1F">
      <w:pPr>
        <w:numPr>
          <w:ilvl w:val="0"/>
          <w:numId w:val="22"/>
        </w:numPr>
        <w:rPr>
          <w:rFonts w:ascii="Arial" w:hAnsi="Arial" w:cs="Arial"/>
          <w:sz w:val="22"/>
          <w:szCs w:val="22"/>
        </w:rPr>
      </w:pPr>
      <w:r w:rsidRPr="00361E55">
        <w:rPr>
          <w:rFonts w:ascii="Arial" w:hAnsi="Arial" w:cs="Arial"/>
          <w:sz w:val="22"/>
          <w:szCs w:val="22"/>
        </w:rPr>
        <w:t xml:space="preserve">primary care and specialist services. </w:t>
      </w:r>
    </w:p>
    <w:p w:rsidR="003C41EA" w:rsidRPr="00361E55" w:rsidP="001A5B1F">
      <w:pPr>
        <w:pStyle w:val="NormalWeb"/>
        <w:spacing w:before="0" w:beforeAutospacing="0" w:after="0" w:afterAutospacing="0"/>
        <w:rPr>
          <w:rFonts w:ascii="Arial" w:hAnsi="Arial" w:cs="Arial"/>
          <w:sz w:val="22"/>
          <w:szCs w:val="22"/>
        </w:rPr>
      </w:pP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However, referral pathways are often unclear or absent, and there is limited systematic linkage between community-based provision and NHS services.</w:t>
      </w: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Practitioners report:</w:t>
      </w:r>
    </w:p>
    <w:p w:rsidR="003C41EA" w:rsidRPr="00361E55" w:rsidP="001A5B1F">
      <w:pPr>
        <w:numPr>
          <w:ilvl w:val="0"/>
          <w:numId w:val="23"/>
        </w:numPr>
        <w:rPr>
          <w:rFonts w:ascii="Arial" w:hAnsi="Arial" w:cs="Arial"/>
          <w:sz w:val="22"/>
          <w:szCs w:val="22"/>
        </w:rPr>
      </w:pPr>
      <w:r w:rsidRPr="00361E55">
        <w:rPr>
          <w:rFonts w:ascii="Arial" w:hAnsi="Arial" w:cs="Arial"/>
          <w:sz w:val="22"/>
          <w:szCs w:val="22"/>
        </w:rPr>
        <w:t xml:space="preserve">limited visibility of services across sectors; </w:t>
      </w:r>
    </w:p>
    <w:p w:rsidR="003C41EA" w:rsidRPr="00361E55" w:rsidP="001A5B1F">
      <w:pPr>
        <w:numPr>
          <w:ilvl w:val="0"/>
          <w:numId w:val="23"/>
        </w:numPr>
        <w:rPr>
          <w:rFonts w:ascii="Arial" w:hAnsi="Arial" w:cs="Arial"/>
          <w:sz w:val="22"/>
          <w:szCs w:val="22"/>
        </w:rPr>
      </w:pPr>
      <w:r w:rsidRPr="00361E55">
        <w:rPr>
          <w:rFonts w:ascii="Arial" w:hAnsi="Arial" w:cs="Arial"/>
          <w:sz w:val="22"/>
          <w:szCs w:val="22"/>
        </w:rPr>
        <w:t xml:space="preserve">lack of shared referral mechanisms; </w:t>
      </w:r>
    </w:p>
    <w:p w:rsidR="003C41EA" w:rsidRPr="00361E55" w:rsidP="001A5B1F">
      <w:pPr>
        <w:numPr>
          <w:ilvl w:val="0"/>
          <w:numId w:val="23"/>
        </w:numPr>
        <w:rPr>
          <w:rFonts w:ascii="Arial" w:hAnsi="Arial" w:cs="Arial"/>
          <w:sz w:val="22"/>
          <w:szCs w:val="22"/>
        </w:rPr>
      </w:pPr>
      <w:r w:rsidRPr="00361E55">
        <w:rPr>
          <w:rFonts w:ascii="Arial" w:hAnsi="Arial" w:cs="Arial"/>
          <w:sz w:val="22"/>
          <w:szCs w:val="22"/>
        </w:rPr>
        <w:t xml:space="preserve">constraints on time and capacity for joint working. </w:t>
      </w:r>
    </w:p>
    <w:p w:rsidR="003C41EA" w:rsidRPr="00361E55" w:rsidP="001A5B1F">
      <w:pPr>
        <w:pStyle w:val="NormalWeb"/>
        <w:spacing w:before="0" w:beforeAutospacing="0" w:after="0" w:afterAutospacing="0"/>
        <w:rPr>
          <w:rFonts w:ascii="Arial" w:hAnsi="Arial" w:cs="Arial"/>
          <w:sz w:val="22"/>
          <w:szCs w:val="22"/>
        </w:rPr>
      </w:pP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This limits the ability of the wider system to function as a coherent pathway of support.</w:t>
      </w:r>
    </w:p>
    <w:p w:rsidR="003C41EA" w:rsidRPr="00361E55" w:rsidP="001A5B1F">
      <w:pPr>
        <w:pStyle w:val="Heading3"/>
        <w:spacing w:before="0" w:after="0"/>
        <w:rPr>
          <w:rFonts w:ascii="Arial" w:hAnsi="Arial" w:cs="Arial"/>
          <w:b/>
          <w:bCs/>
          <w:color w:val="auto"/>
          <w:sz w:val="22"/>
          <w:szCs w:val="22"/>
        </w:rPr>
      </w:pPr>
    </w:p>
    <w:p w:rsidR="003C41EA" w:rsidRPr="00361E55" w:rsidP="001A5B1F">
      <w:pPr>
        <w:pStyle w:val="Heading3"/>
        <w:spacing w:before="0" w:after="0"/>
        <w:rPr>
          <w:rFonts w:ascii="Arial" w:hAnsi="Arial" w:cs="Arial"/>
          <w:b/>
          <w:bCs/>
          <w:color w:val="auto"/>
          <w:sz w:val="22"/>
          <w:szCs w:val="22"/>
        </w:rPr>
      </w:pPr>
      <w:r w:rsidRPr="00361E55">
        <w:rPr>
          <w:rFonts w:ascii="Arial" w:hAnsi="Arial" w:cs="Arial"/>
          <w:b/>
          <w:bCs/>
          <w:color w:val="auto"/>
          <w:sz w:val="22"/>
          <w:szCs w:val="22"/>
        </w:rPr>
        <w:t>Implications for early intervention and demand</w:t>
      </w:r>
    </w:p>
    <w:p w:rsidR="003C41EA" w:rsidRPr="00361E55" w:rsidP="001A5B1F">
      <w:pPr>
        <w:pStyle w:val="NormalWeb"/>
        <w:spacing w:before="0" w:beforeAutospacing="0" w:after="0" w:afterAutospacing="0"/>
        <w:rPr>
          <w:rFonts w:ascii="Arial" w:hAnsi="Arial" w:cs="Arial"/>
          <w:b/>
          <w:bCs/>
          <w:sz w:val="22"/>
          <w:szCs w:val="22"/>
        </w:rPr>
      </w:pPr>
      <w:r w:rsidRPr="00361E55">
        <w:rPr>
          <w:rFonts w:ascii="Arial" w:hAnsi="Arial" w:cs="Arial"/>
          <w:sz w:val="22"/>
          <w:szCs w:val="22"/>
        </w:rPr>
        <w:t xml:space="preserve">While the Talent 25 study does not measure clinical outcomes, the findings indicate that </w:t>
      </w:r>
      <w:r w:rsidRPr="00361E55">
        <w:rPr>
          <w:rStyle w:val="Strong"/>
          <w:rFonts w:ascii="Arial" w:hAnsi="Arial" w:eastAsiaTheme="majorEastAsia" w:cs="Arial"/>
          <w:b w:val="0"/>
          <w:bCs w:val="0"/>
          <w:sz w:val="22"/>
          <w:szCs w:val="22"/>
        </w:rPr>
        <w:t>accessible, community-based provision plays a preventative role in supporting wellbeing at earlier stages of need</w:t>
      </w:r>
      <w:r w:rsidRPr="00361E55">
        <w:rPr>
          <w:rFonts w:ascii="Arial" w:hAnsi="Arial" w:cs="Arial"/>
          <w:b/>
          <w:bCs/>
          <w:sz w:val="22"/>
          <w:szCs w:val="22"/>
        </w:rPr>
        <w:t>.</w:t>
      </w: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By strengthening:</w:t>
      </w:r>
    </w:p>
    <w:p w:rsidR="003C41EA" w:rsidRPr="00361E55" w:rsidP="001A5B1F">
      <w:pPr>
        <w:numPr>
          <w:ilvl w:val="0"/>
          <w:numId w:val="24"/>
        </w:numPr>
        <w:rPr>
          <w:rFonts w:ascii="Arial" w:hAnsi="Arial" w:cs="Arial"/>
          <w:sz w:val="22"/>
          <w:szCs w:val="22"/>
        </w:rPr>
      </w:pPr>
      <w:r w:rsidRPr="00361E55">
        <w:rPr>
          <w:rFonts w:ascii="Arial" w:hAnsi="Arial" w:cs="Arial"/>
          <w:sz w:val="22"/>
          <w:szCs w:val="22"/>
        </w:rPr>
        <w:t xml:space="preserve">social connection; </w:t>
      </w:r>
    </w:p>
    <w:p w:rsidR="003C41EA" w:rsidRPr="00361E55" w:rsidP="001A5B1F">
      <w:pPr>
        <w:numPr>
          <w:ilvl w:val="0"/>
          <w:numId w:val="24"/>
        </w:numPr>
        <w:rPr>
          <w:rFonts w:ascii="Arial" w:hAnsi="Arial" w:cs="Arial"/>
          <w:sz w:val="22"/>
          <w:szCs w:val="22"/>
        </w:rPr>
      </w:pPr>
      <w:r w:rsidRPr="00361E55">
        <w:rPr>
          <w:rFonts w:ascii="Arial" w:hAnsi="Arial" w:cs="Arial"/>
          <w:sz w:val="22"/>
          <w:szCs w:val="22"/>
        </w:rPr>
        <w:t xml:space="preserve">confidence and engagement; </w:t>
      </w:r>
    </w:p>
    <w:p w:rsidR="003C41EA" w:rsidRPr="00361E55" w:rsidP="001A5B1F">
      <w:pPr>
        <w:numPr>
          <w:ilvl w:val="0"/>
          <w:numId w:val="24"/>
        </w:numPr>
        <w:rPr>
          <w:rFonts w:ascii="Arial" w:hAnsi="Arial" w:cs="Arial"/>
          <w:sz w:val="22"/>
          <w:szCs w:val="22"/>
        </w:rPr>
      </w:pPr>
      <w:r w:rsidRPr="00361E55">
        <w:rPr>
          <w:rFonts w:ascii="Arial" w:hAnsi="Arial" w:cs="Arial"/>
          <w:sz w:val="22"/>
          <w:szCs w:val="22"/>
        </w:rPr>
        <w:t xml:space="preserve">family wellbeing </w:t>
      </w: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such provision may contribute to reducing escalation of need. However, further research would be required to establish causal impacts on demand for specialist services.</w:t>
      </w:r>
    </w:p>
    <w:p w:rsidR="003C41EA" w:rsidRPr="00361E55" w:rsidP="001A5B1F">
      <w:pPr>
        <w:pStyle w:val="Heading3"/>
        <w:spacing w:before="0" w:after="0"/>
        <w:rPr>
          <w:rFonts w:ascii="Arial" w:hAnsi="Arial" w:cs="Arial"/>
          <w:b/>
          <w:bCs/>
          <w:color w:val="auto"/>
          <w:sz w:val="22"/>
          <w:szCs w:val="22"/>
        </w:rPr>
      </w:pPr>
    </w:p>
    <w:p w:rsidR="003C41EA" w:rsidRPr="00361E55" w:rsidP="001A5B1F">
      <w:pPr>
        <w:pStyle w:val="Heading3"/>
        <w:spacing w:before="0" w:after="0"/>
        <w:rPr>
          <w:rFonts w:ascii="Arial" w:hAnsi="Arial" w:cs="Arial"/>
          <w:b/>
          <w:bCs/>
          <w:color w:val="auto"/>
          <w:sz w:val="22"/>
          <w:szCs w:val="22"/>
        </w:rPr>
      </w:pPr>
      <w:r w:rsidRPr="00361E55">
        <w:rPr>
          <w:rFonts w:ascii="Arial" w:hAnsi="Arial" w:cs="Arial"/>
          <w:b/>
          <w:bCs/>
          <w:color w:val="auto"/>
          <w:sz w:val="22"/>
          <w:szCs w:val="22"/>
        </w:rPr>
        <w:t>Recommendations</w:t>
      </w: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Based on the evidence, the following actions are recommended:</w:t>
      </w:r>
    </w:p>
    <w:p w:rsidR="003C41EA" w:rsidRPr="00361E55" w:rsidP="001A5B1F">
      <w:pPr>
        <w:pStyle w:val="NormalWeb"/>
        <w:spacing w:before="0" w:beforeAutospacing="0" w:after="0" w:afterAutospacing="0"/>
        <w:rPr>
          <w:rFonts w:ascii="Arial" w:hAnsi="Arial" w:cs="Arial"/>
          <w:sz w:val="22"/>
          <w:szCs w:val="22"/>
        </w:rPr>
      </w:pPr>
    </w:p>
    <w:p w:rsidR="003C41EA" w:rsidRPr="00361E55" w:rsidP="001A5B1F">
      <w:pPr>
        <w:pStyle w:val="NormalWeb"/>
        <w:spacing w:before="0" w:beforeAutospacing="0" w:after="0" w:afterAutospacing="0"/>
        <w:rPr>
          <w:rFonts w:ascii="Arial" w:hAnsi="Arial" w:cs="Arial"/>
          <w:sz w:val="22"/>
          <w:szCs w:val="22"/>
        </w:rPr>
      </w:pPr>
      <w:r w:rsidRPr="00361E55">
        <w:rPr>
          <w:rStyle w:val="Strong"/>
          <w:rFonts w:ascii="Arial" w:hAnsi="Arial" w:eastAsiaTheme="majorEastAsia" w:cs="Arial"/>
          <w:b w:val="0"/>
          <w:bCs w:val="0"/>
          <w:sz w:val="22"/>
          <w:szCs w:val="22"/>
        </w:rPr>
        <w:t>1</w:t>
      </w:r>
      <w:r w:rsidRPr="00361E55">
        <w:rPr>
          <w:rStyle w:val="Strong"/>
          <w:rFonts w:ascii="Arial" w:hAnsi="Arial" w:eastAsiaTheme="majorEastAsia" w:cs="Arial"/>
          <w:sz w:val="22"/>
          <w:szCs w:val="22"/>
        </w:rPr>
        <w:t xml:space="preserve">. </w:t>
      </w:r>
      <w:r w:rsidRPr="00361E55">
        <w:rPr>
          <w:rStyle w:val="Strong"/>
          <w:rFonts w:ascii="Arial" w:hAnsi="Arial" w:eastAsiaTheme="majorEastAsia" w:cs="Arial"/>
          <w:b w:val="0"/>
          <w:bCs w:val="0"/>
          <w:i/>
          <w:iCs/>
          <w:sz w:val="22"/>
          <w:szCs w:val="22"/>
        </w:rPr>
        <w:t>Recognise and strengthen community-based early support</w:t>
      </w:r>
    </w:p>
    <w:p w:rsidR="003C41EA" w:rsidRPr="00361E55" w:rsidP="001A5B1F">
      <w:pPr>
        <w:numPr>
          <w:ilvl w:val="0"/>
          <w:numId w:val="25"/>
        </w:numPr>
        <w:rPr>
          <w:rFonts w:ascii="Arial" w:hAnsi="Arial" w:cs="Arial"/>
          <w:sz w:val="22"/>
          <w:szCs w:val="22"/>
        </w:rPr>
      </w:pPr>
      <w:r w:rsidRPr="00361E55">
        <w:rPr>
          <w:rFonts w:ascii="Arial" w:hAnsi="Arial" w:cs="Arial"/>
          <w:sz w:val="22"/>
          <w:szCs w:val="22"/>
        </w:rPr>
        <w:t xml:space="preserve">Position community provision as part of the wider mental health support system </w:t>
      </w:r>
    </w:p>
    <w:p w:rsidR="003C41EA" w:rsidRPr="00361E55" w:rsidP="001A5B1F">
      <w:pPr>
        <w:numPr>
          <w:ilvl w:val="0"/>
          <w:numId w:val="25"/>
        </w:numPr>
        <w:rPr>
          <w:rFonts w:ascii="Arial" w:hAnsi="Arial" w:cs="Arial"/>
          <w:sz w:val="22"/>
          <w:szCs w:val="22"/>
        </w:rPr>
      </w:pPr>
      <w:r w:rsidRPr="00361E55">
        <w:rPr>
          <w:rFonts w:ascii="Arial" w:hAnsi="Arial" w:cs="Arial"/>
          <w:sz w:val="22"/>
          <w:szCs w:val="22"/>
        </w:rPr>
        <w:t>Provide sustainable funding for trusted local organisations</w:t>
      </w:r>
    </w:p>
    <w:p w:rsidR="003C41EA" w:rsidRPr="00361E55" w:rsidP="00E03CEA">
      <w:pPr>
        <w:ind w:left="720"/>
        <w:rPr>
          <w:rFonts w:ascii="Arial" w:hAnsi="Arial" w:cs="Arial"/>
          <w:sz w:val="22"/>
          <w:szCs w:val="22"/>
        </w:rPr>
      </w:pPr>
    </w:p>
    <w:p w:rsidR="003C41EA" w:rsidRPr="00361E55" w:rsidP="001A5B1F">
      <w:pPr>
        <w:pStyle w:val="NormalWeb"/>
        <w:spacing w:before="0" w:beforeAutospacing="0" w:after="0" w:afterAutospacing="0"/>
        <w:rPr>
          <w:rFonts w:ascii="Arial" w:hAnsi="Arial" w:cs="Arial"/>
          <w:b/>
          <w:bCs/>
          <w:i/>
          <w:iCs/>
          <w:sz w:val="22"/>
          <w:szCs w:val="22"/>
        </w:rPr>
      </w:pPr>
      <w:r w:rsidRPr="00361E55">
        <w:rPr>
          <w:rStyle w:val="Strong"/>
          <w:rFonts w:ascii="Arial" w:hAnsi="Arial" w:eastAsiaTheme="majorEastAsia" w:cs="Arial"/>
          <w:b w:val="0"/>
          <w:bCs w:val="0"/>
          <w:sz w:val="22"/>
          <w:szCs w:val="22"/>
        </w:rPr>
        <w:t>2</w:t>
      </w:r>
      <w:r w:rsidRPr="00361E55">
        <w:rPr>
          <w:rStyle w:val="Strong"/>
          <w:rFonts w:ascii="Arial" w:hAnsi="Arial" w:eastAsiaTheme="majorEastAsia" w:cs="Arial"/>
          <w:sz w:val="22"/>
          <w:szCs w:val="22"/>
        </w:rPr>
        <w:t xml:space="preserve">. </w:t>
      </w:r>
      <w:r w:rsidRPr="00361E55">
        <w:rPr>
          <w:rStyle w:val="Strong"/>
          <w:rFonts w:ascii="Arial" w:hAnsi="Arial" w:eastAsiaTheme="majorEastAsia" w:cs="Arial"/>
          <w:b w:val="0"/>
          <w:bCs w:val="0"/>
          <w:i/>
          <w:iCs/>
          <w:sz w:val="22"/>
          <w:szCs w:val="22"/>
        </w:rPr>
        <w:t>Address the gap below specialist thresholds</w:t>
      </w:r>
    </w:p>
    <w:p w:rsidR="003C41EA" w:rsidRPr="00361E55" w:rsidP="001A5B1F">
      <w:pPr>
        <w:numPr>
          <w:ilvl w:val="0"/>
          <w:numId w:val="26"/>
        </w:numPr>
        <w:rPr>
          <w:rFonts w:ascii="Arial" w:hAnsi="Arial" w:cs="Arial"/>
          <w:sz w:val="22"/>
          <w:szCs w:val="22"/>
        </w:rPr>
      </w:pPr>
      <w:r w:rsidRPr="00361E55">
        <w:rPr>
          <w:rFonts w:ascii="Arial" w:hAnsi="Arial" w:cs="Arial"/>
          <w:sz w:val="22"/>
          <w:szCs w:val="22"/>
        </w:rPr>
        <w:t xml:space="preserve">Improve access to early-stage, non-clinical support </w:t>
      </w:r>
    </w:p>
    <w:p w:rsidR="003C41EA" w:rsidRPr="00361E55" w:rsidP="001A5B1F">
      <w:pPr>
        <w:numPr>
          <w:ilvl w:val="0"/>
          <w:numId w:val="26"/>
        </w:numPr>
        <w:rPr>
          <w:rFonts w:ascii="Arial" w:hAnsi="Arial" w:cs="Arial"/>
          <w:sz w:val="22"/>
          <w:szCs w:val="22"/>
        </w:rPr>
      </w:pPr>
      <w:r w:rsidRPr="00361E55">
        <w:rPr>
          <w:rFonts w:ascii="Arial" w:hAnsi="Arial" w:cs="Arial"/>
          <w:sz w:val="22"/>
          <w:szCs w:val="22"/>
        </w:rPr>
        <w:t xml:space="preserve">Develop clearer pathways for children and families with emerging needs </w:t>
      </w:r>
    </w:p>
    <w:p w:rsidR="003C41EA" w:rsidRPr="00361E55" w:rsidP="00E03CEA">
      <w:pPr>
        <w:ind w:left="720"/>
        <w:rPr>
          <w:rFonts w:ascii="Arial" w:hAnsi="Arial" w:cs="Arial"/>
          <w:sz w:val="22"/>
          <w:szCs w:val="22"/>
        </w:rPr>
      </w:pPr>
    </w:p>
    <w:p w:rsidR="003C41EA" w:rsidRPr="00361E55" w:rsidP="001A5B1F">
      <w:pPr>
        <w:pStyle w:val="NormalWeb"/>
        <w:spacing w:before="0" w:beforeAutospacing="0" w:after="0" w:afterAutospacing="0"/>
        <w:rPr>
          <w:rFonts w:ascii="Arial" w:hAnsi="Arial" w:cs="Arial"/>
          <w:sz w:val="22"/>
          <w:szCs w:val="22"/>
        </w:rPr>
      </w:pPr>
      <w:r w:rsidRPr="00361E55">
        <w:rPr>
          <w:rStyle w:val="Strong"/>
          <w:rFonts w:ascii="Arial" w:hAnsi="Arial" w:eastAsiaTheme="majorEastAsia" w:cs="Arial"/>
          <w:b w:val="0"/>
          <w:bCs w:val="0"/>
          <w:sz w:val="22"/>
          <w:szCs w:val="22"/>
        </w:rPr>
        <w:t>3</w:t>
      </w:r>
      <w:r w:rsidRPr="00361E55">
        <w:rPr>
          <w:rStyle w:val="Strong"/>
          <w:rFonts w:ascii="Arial" w:hAnsi="Arial" w:eastAsiaTheme="majorEastAsia" w:cs="Arial"/>
          <w:sz w:val="22"/>
          <w:szCs w:val="22"/>
        </w:rPr>
        <w:t xml:space="preserve">. </w:t>
      </w:r>
      <w:r w:rsidRPr="00361E55">
        <w:rPr>
          <w:rStyle w:val="Strong"/>
          <w:rFonts w:ascii="Arial" w:hAnsi="Arial" w:eastAsiaTheme="majorEastAsia" w:cs="Arial"/>
          <w:b w:val="0"/>
          <w:bCs w:val="0"/>
          <w:i/>
          <w:iCs/>
          <w:sz w:val="22"/>
          <w:szCs w:val="22"/>
        </w:rPr>
        <w:t>Reduce inequalities in access</w:t>
      </w:r>
    </w:p>
    <w:p w:rsidR="003C41EA" w:rsidRPr="00361E55" w:rsidP="001A5B1F">
      <w:pPr>
        <w:numPr>
          <w:ilvl w:val="0"/>
          <w:numId w:val="27"/>
        </w:numPr>
        <w:rPr>
          <w:rFonts w:ascii="Arial" w:hAnsi="Arial" w:cs="Arial"/>
          <w:sz w:val="22"/>
          <w:szCs w:val="22"/>
        </w:rPr>
      </w:pPr>
      <w:r w:rsidRPr="00361E55">
        <w:rPr>
          <w:rFonts w:ascii="Arial" w:hAnsi="Arial" w:cs="Arial"/>
          <w:sz w:val="22"/>
          <w:szCs w:val="22"/>
        </w:rPr>
        <w:t xml:space="preserve">Target provision towards underserved communities </w:t>
      </w:r>
    </w:p>
    <w:p w:rsidR="003C41EA" w:rsidRPr="00361E55" w:rsidP="001A5B1F">
      <w:pPr>
        <w:numPr>
          <w:ilvl w:val="0"/>
          <w:numId w:val="27"/>
        </w:numPr>
        <w:rPr>
          <w:rFonts w:ascii="Arial" w:hAnsi="Arial" w:cs="Arial"/>
          <w:sz w:val="22"/>
          <w:szCs w:val="22"/>
        </w:rPr>
      </w:pPr>
      <w:r w:rsidRPr="00361E55">
        <w:rPr>
          <w:rFonts w:ascii="Arial" w:hAnsi="Arial" w:cs="Arial"/>
          <w:sz w:val="22"/>
          <w:szCs w:val="22"/>
        </w:rPr>
        <w:t xml:space="preserve">Improve awareness, affordability, and cultural relevance </w:t>
      </w:r>
    </w:p>
    <w:p w:rsidR="003C41EA" w:rsidRPr="00361E55" w:rsidP="00E03CEA">
      <w:pPr>
        <w:ind w:left="720"/>
        <w:rPr>
          <w:rFonts w:ascii="Arial" w:hAnsi="Arial" w:cs="Arial"/>
          <w:sz w:val="22"/>
          <w:szCs w:val="22"/>
        </w:rPr>
      </w:pPr>
    </w:p>
    <w:p w:rsidR="003C41EA" w:rsidRPr="00361E55" w:rsidP="001A5B1F">
      <w:pPr>
        <w:pStyle w:val="NormalWeb"/>
        <w:spacing w:before="0" w:beforeAutospacing="0" w:after="0" w:afterAutospacing="0"/>
        <w:rPr>
          <w:rFonts w:ascii="Arial" w:hAnsi="Arial" w:cs="Arial"/>
          <w:sz w:val="22"/>
          <w:szCs w:val="22"/>
        </w:rPr>
      </w:pPr>
      <w:r w:rsidRPr="00361E55">
        <w:rPr>
          <w:rStyle w:val="Strong"/>
          <w:rFonts w:ascii="Arial" w:hAnsi="Arial" w:eastAsiaTheme="majorEastAsia" w:cs="Arial"/>
          <w:b w:val="0"/>
          <w:bCs w:val="0"/>
          <w:sz w:val="22"/>
          <w:szCs w:val="22"/>
        </w:rPr>
        <w:t>4</w:t>
      </w:r>
      <w:r w:rsidRPr="00361E55">
        <w:rPr>
          <w:rStyle w:val="Strong"/>
          <w:rFonts w:ascii="Arial" w:hAnsi="Arial" w:eastAsiaTheme="majorEastAsia" w:cs="Arial"/>
          <w:sz w:val="22"/>
          <w:szCs w:val="22"/>
        </w:rPr>
        <w:t xml:space="preserve">. </w:t>
      </w:r>
      <w:r w:rsidRPr="00361E55">
        <w:rPr>
          <w:rStyle w:val="Strong"/>
          <w:rFonts w:ascii="Arial" w:hAnsi="Arial" w:eastAsiaTheme="majorEastAsia" w:cs="Arial"/>
          <w:b w:val="0"/>
          <w:bCs w:val="0"/>
          <w:i/>
          <w:iCs/>
          <w:sz w:val="22"/>
          <w:szCs w:val="22"/>
        </w:rPr>
        <w:t>Improve integration across sectors</w:t>
      </w:r>
    </w:p>
    <w:p w:rsidR="003C41EA" w:rsidRPr="00361E55" w:rsidP="001A5B1F">
      <w:pPr>
        <w:numPr>
          <w:ilvl w:val="0"/>
          <w:numId w:val="28"/>
        </w:numPr>
        <w:rPr>
          <w:rFonts w:ascii="Arial" w:hAnsi="Arial" w:cs="Arial"/>
          <w:sz w:val="22"/>
          <w:szCs w:val="22"/>
        </w:rPr>
      </w:pPr>
      <w:r w:rsidRPr="00361E55">
        <w:rPr>
          <w:rFonts w:ascii="Arial" w:hAnsi="Arial" w:cs="Arial"/>
          <w:sz w:val="22"/>
          <w:szCs w:val="22"/>
        </w:rPr>
        <w:t xml:space="preserve">Develop local frameworks linking education, community and health services </w:t>
      </w:r>
    </w:p>
    <w:p w:rsidR="003C41EA" w:rsidRPr="00361E55" w:rsidP="001A5B1F">
      <w:pPr>
        <w:numPr>
          <w:ilvl w:val="0"/>
          <w:numId w:val="28"/>
        </w:numPr>
        <w:rPr>
          <w:rFonts w:ascii="Arial" w:hAnsi="Arial" w:cs="Arial"/>
          <w:sz w:val="22"/>
          <w:szCs w:val="22"/>
        </w:rPr>
      </w:pPr>
      <w:r w:rsidRPr="00361E55">
        <w:rPr>
          <w:rFonts w:ascii="Arial" w:hAnsi="Arial" w:cs="Arial"/>
          <w:sz w:val="22"/>
          <w:szCs w:val="22"/>
        </w:rPr>
        <w:t xml:space="preserve">Strengthen referral pathways and joint working </w:t>
      </w:r>
    </w:p>
    <w:p w:rsidR="003C41EA" w:rsidRPr="00361E55" w:rsidP="00E03CEA">
      <w:pPr>
        <w:ind w:left="720"/>
        <w:rPr>
          <w:rFonts w:ascii="Arial" w:hAnsi="Arial" w:cs="Arial"/>
          <w:sz w:val="22"/>
          <w:szCs w:val="22"/>
        </w:rPr>
      </w:pPr>
    </w:p>
    <w:p w:rsidR="003C41EA" w:rsidRPr="00361E55" w:rsidP="001A5B1F">
      <w:pPr>
        <w:pStyle w:val="NormalWeb"/>
        <w:spacing w:before="0" w:beforeAutospacing="0" w:after="0" w:afterAutospacing="0"/>
        <w:rPr>
          <w:rFonts w:ascii="Arial" w:hAnsi="Arial" w:cs="Arial"/>
          <w:sz w:val="22"/>
          <w:szCs w:val="22"/>
        </w:rPr>
      </w:pPr>
      <w:r w:rsidRPr="00361E55">
        <w:rPr>
          <w:rStyle w:val="Strong"/>
          <w:rFonts w:ascii="Arial" w:hAnsi="Arial" w:eastAsiaTheme="majorEastAsia" w:cs="Arial"/>
          <w:b w:val="0"/>
          <w:bCs w:val="0"/>
          <w:sz w:val="22"/>
          <w:szCs w:val="22"/>
        </w:rPr>
        <w:t>5</w:t>
      </w:r>
      <w:r w:rsidRPr="00361E55">
        <w:rPr>
          <w:rStyle w:val="Strong"/>
          <w:rFonts w:ascii="Arial" w:hAnsi="Arial" w:eastAsiaTheme="majorEastAsia" w:cs="Arial"/>
          <w:sz w:val="22"/>
          <w:szCs w:val="22"/>
        </w:rPr>
        <w:t xml:space="preserve">. </w:t>
      </w:r>
      <w:r w:rsidRPr="00361E55">
        <w:rPr>
          <w:rStyle w:val="Strong"/>
          <w:rFonts w:ascii="Arial" w:hAnsi="Arial" w:eastAsiaTheme="majorEastAsia" w:cs="Arial"/>
          <w:b w:val="0"/>
          <w:bCs w:val="0"/>
          <w:i/>
          <w:iCs/>
          <w:sz w:val="22"/>
          <w:szCs w:val="22"/>
        </w:rPr>
        <w:t>Prioritise early years provision</w:t>
      </w:r>
    </w:p>
    <w:p w:rsidR="003C41EA" w:rsidRPr="00361E55" w:rsidP="001A5B1F">
      <w:pPr>
        <w:numPr>
          <w:ilvl w:val="0"/>
          <w:numId w:val="29"/>
        </w:numPr>
        <w:rPr>
          <w:rFonts w:ascii="Arial" w:hAnsi="Arial" w:cs="Arial"/>
          <w:sz w:val="22"/>
          <w:szCs w:val="22"/>
        </w:rPr>
      </w:pPr>
      <w:r w:rsidRPr="00361E55">
        <w:rPr>
          <w:rFonts w:ascii="Arial" w:hAnsi="Arial" w:cs="Arial"/>
          <w:sz w:val="22"/>
          <w:szCs w:val="22"/>
        </w:rPr>
        <w:t xml:space="preserve">Expand accessible support for children aged 0–3 and their families </w:t>
      </w:r>
    </w:p>
    <w:p w:rsidR="003C41EA" w:rsidRPr="00361E55" w:rsidP="001A5B1F">
      <w:pPr>
        <w:numPr>
          <w:ilvl w:val="0"/>
          <w:numId w:val="29"/>
        </w:numPr>
        <w:rPr>
          <w:rFonts w:ascii="Arial" w:hAnsi="Arial" w:cs="Arial"/>
          <w:sz w:val="22"/>
          <w:szCs w:val="22"/>
        </w:rPr>
      </w:pPr>
      <w:r w:rsidRPr="00361E55">
        <w:rPr>
          <w:rFonts w:ascii="Arial" w:hAnsi="Arial" w:cs="Arial"/>
          <w:sz w:val="22"/>
          <w:szCs w:val="22"/>
        </w:rPr>
        <w:t xml:space="preserve">Embed early intervention within family and community settings </w:t>
      </w:r>
    </w:p>
    <w:p w:rsidR="003C41EA" w:rsidRPr="00361E55" w:rsidP="001A5B1F">
      <w:pPr>
        <w:pStyle w:val="Heading3"/>
        <w:spacing w:before="0" w:after="0"/>
        <w:rPr>
          <w:rFonts w:ascii="Arial" w:hAnsi="Arial" w:cs="Arial"/>
          <w:b/>
          <w:bCs/>
          <w:color w:val="auto"/>
          <w:sz w:val="22"/>
          <w:szCs w:val="22"/>
        </w:rPr>
      </w:pPr>
    </w:p>
    <w:p w:rsidR="003C41EA" w:rsidRPr="00361E55" w:rsidP="001A5B1F">
      <w:pPr>
        <w:pStyle w:val="Heading3"/>
        <w:spacing w:before="0" w:after="0"/>
        <w:rPr>
          <w:rFonts w:ascii="Arial" w:hAnsi="Arial" w:cs="Arial"/>
          <w:b/>
          <w:bCs/>
          <w:color w:val="auto"/>
          <w:sz w:val="22"/>
          <w:szCs w:val="22"/>
        </w:rPr>
      </w:pPr>
      <w:r w:rsidRPr="00361E55">
        <w:rPr>
          <w:rFonts w:ascii="Arial" w:hAnsi="Arial" w:cs="Arial"/>
          <w:b/>
          <w:bCs/>
          <w:color w:val="auto"/>
          <w:sz w:val="22"/>
          <w:szCs w:val="22"/>
        </w:rPr>
        <w:t>Concluding statement</w:t>
      </w: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 xml:space="preserve">Talent 25 provides longitudinal, place-based evidence that </w:t>
      </w:r>
      <w:r w:rsidRPr="00361E55">
        <w:rPr>
          <w:rStyle w:val="Strong"/>
          <w:rFonts w:ascii="Arial" w:hAnsi="Arial" w:eastAsiaTheme="majorEastAsia" w:cs="Arial"/>
          <w:b w:val="0"/>
          <w:bCs w:val="0"/>
          <w:sz w:val="22"/>
          <w:szCs w:val="22"/>
        </w:rPr>
        <w:t>early, community-based provision plays a meaningful role in supporting children and young people’s wellbeing</w:t>
      </w:r>
      <w:r w:rsidRPr="00361E55">
        <w:rPr>
          <w:rFonts w:ascii="Arial" w:hAnsi="Arial" w:cs="Arial"/>
          <w:sz w:val="22"/>
          <w:szCs w:val="22"/>
        </w:rPr>
        <w:t>, particularly prior to engagement with specialist services.</w:t>
      </w: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Strengthening this part of the system represents a practical opportunity to:</w:t>
      </w:r>
    </w:p>
    <w:p w:rsidR="003C41EA" w:rsidRPr="00361E55" w:rsidP="001A5B1F">
      <w:pPr>
        <w:numPr>
          <w:ilvl w:val="0"/>
          <w:numId w:val="30"/>
        </w:numPr>
        <w:rPr>
          <w:rFonts w:ascii="Arial" w:hAnsi="Arial" w:cs="Arial"/>
          <w:sz w:val="22"/>
          <w:szCs w:val="22"/>
        </w:rPr>
      </w:pPr>
      <w:r w:rsidRPr="00361E55">
        <w:rPr>
          <w:rFonts w:ascii="Arial" w:hAnsi="Arial" w:cs="Arial"/>
          <w:sz w:val="22"/>
          <w:szCs w:val="22"/>
        </w:rPr>
        <w:t xml:space="preserve">improve early intervention </w:t>
      </w:r>
    </w:p>
    <w:p w:rsidR="003C41EA" w:rsidRPr="00361E55" w:rsidP="001A5B1F">
      <w:pPr>
        <w:numPr>
          <w:ilvl w:val="0"/>
          <w:numId w:val="30"/>
        </w:numPr>
        <w:rPr>
          <w:rFonts w:ascii="Arial" w:hAnsi="Arial" w:cs="Arial"/>
          <w:sz w:val="22"/>
          <w:szCs w:val="22"/>
        </w:rPr>
      </w:pPr>
      <w:r w:rsidRPr="00361E55">
        <w:rPr>
          <w:rFonts w:ascii="Arial" w:hAnsi="Arial" w:cs="Arial"/>
          <w:sz w:val="22"/>
          <w:szCs w:val="22"/>
        </w:rPr>
        <w:t xml:space="preserve">reduce inequalities in access </w:t>
      </w:r>
    </w:p>
    <w:p w:rsidR="003C41EA" w:rsidRPr="00361E55" w:rsidP="001A5B1F">
      <w:pPr>
        <w:numPr>
          <w:ilvl w:val="0"/>
          <w:numId w:val="30"/>
        </w:numPr>
        <w:rPr>
          <w:rFonts w:ascii="Arial" w:hAnsi="Arial" w:cs="Arial"/>
          <w:sz w:val="22"/>
          <w:szCs w:val="22"/>
        </w:rPr>
      </w:pPr>
      <w:r w:rsidRPr="00361E55">
        <w:rPr>
          <w:rFonts w:ascii="Arial" w:hAnsi="Arial" w:cs="Arial"/>
          <w:sz w:val="22"/>
          <w:szCs w:val="22"/>
        </w:rPr>
        <w:t xml:space="preserve">support more effective integration across education, community and health provision </w:t>
      </w:r>
    </w:p>
    <w:p w:rsidR="003C41EA" w:rsidRPr="00361E55" w:rsidP="001A5B1F">
      <w:pPr>
        <w:pStyle w:val="NormalWeb"/>
        <w:spacing w:before="0" w:beforeAutospacing="0" w:after="0" w:afterAutospacing="0"/>
        <w:rPr>
          <w:rFonts w:ascii="Arial" w:hAnsi="Arial" w:cs="Arial"/>
          <w:sz w:val="22"/>
          <w:szCs w:val="22"/>
        </w:rPr>
      </w:pPr>
    </w:p>
    <w:p w:rsidR="003C41EA" w:rsidRPr="00361E55" w:rsidP="001A5B1F">
      <w:pPr>
        <w:pStyle w:val="NormalWeb"/>
        <w:spacing w:before="0" w:beforeAutospacing="0" w:after="0" w:afterAutospacing="0"/>
        <w:rPr>
          <w:rFonts w:ascii="Arial" w:hAnsi="Arial" w:cs="Arial"/>
          <w:sz w:val="22"/>
          <w:szCs w:val="22"/>
        </w:rPr>
      </w:pPr>
      <w:r w:rsidRPr="00361E55">
        <w:rPr>
          <w:rFonts w:ascii="Arial" w:hAnsi="Arial" w:cs="Arial"/>
          <w:sz w:val="22"/>
          <w:szCs w:val="22"/>
        </w:rPr>
        <w:t>The programme’s partnership model, supported by Arts Council England and De Montfort University, also provides a practical example of how cross-sector collaboration can support early intervention at a local level.</w:t>
      </w:r>
    </w:p>
    <w:p w:rsidR="003C41EA" w:rsidRPr="00361E55" w:rsidP="00425E34">
      <w:pPr>
        <w:rPr>
          <w:rFonts w:ascii="Arial" w:hAnsi="Arial" w:cs="Arial"/>
          <w:b/>
          <w:bCs/>
          <w:sz w:val="22"/>
          <w:szCs w:val="22"/>
        </w:rPr>
      </w:pPr>
    </w:p>
    <w:p w:rsidR="003C41EA" w:rsidP="00D81E14">
      <w:pPr>
        <w:rPr>
          <w:rFonts w:ascii="Arial" w:hAnsi="Arial" w:cs="Arial"/>
          <w:b/>
          <w:bCs/>
          <w:sz w:val="22"/>
          <w:szCs w:val="22"/>
        </w:rPr>
      </w:pPr>
    </w:p>
    <w:p w:rsidR="00361E55" w:rsidRPr="00361E55" w:rsidP="00D81E14">
      <w:pPr>
        <w:rPr>
          <w:rFonts w:ascii="Arial" w:hAnsi="Arial" w:cs="Arial"/>
          <w:b/>
          <w:bCs/>
          <w:i/>
          <w:iCs/>
          <w:sz w:val="22"/>
          <w:szCs w:val="22"/>
        </w:rPr>
      </w:pPr>
      <w:r w:rsidRPr="00361E55">
        <w:rPr>
          <w:rFonts w:ascii="Arial" w:hAnsi="Arial" w:cs="Arial"/>
          <w:b/>
          <w:bCs/>
          <w:i/>
          <w:iCs/>
          <w:sz w:val="22"/>
          <w:szCs w:val="22"/>
        </w:rPr>
        <w:t>March 2025</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E46067"/>
    <w:multiLevelType w:val="multilevel"/>
    <w:tmpl w:val="38D2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A02C3"/>
    <w:multiLevelType w:val="hybridMultilevel"/>
    <w:tmpl w:val="3BBC29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C96858"/>
    <w:multiLevelType w:val="multilevel"/>
    <w:tmpl w:val="9E68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2565F7"/>
    <w:multiLevelType w:val="multilevel"/>
    <w:tmpl w:val="E41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153B0A"/>
    <w:multiLevelType w:val="multilevel"/>
    <w:tmpl w:val="7904F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D273DC"/>
    <w:multiLevelType w:val="multilevel"/>
    <w:tmpl w:val="2210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FD4204"/>
    <w:multiLevelType w:val="multilevel"/>
    <w:tmpl w:val="9612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475549"/>
    <w:multiLevelType w:val="hybridMultilevel"/>
    <w:tmpl w:val="16AE7B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3D74208"/>
    <w:multiLevelType w:val="hybridMultilevel"/>
    <w:tmpl w:val="FEAC90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3ED165F"/>
    <w:multiLevelType w:val="multilevel"/>
    <w:tmpl w:val="FB28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FD52EE"/>
    <w:multiLevelType w:val="multilevel"/>
    <w:tmpl w:val="7F5E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947BD0"/>
    <w:multiLevelType w:val="multilevel"/>
    <w:tmpl w:val="3AFC4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A2368B"/>
    <w:multiLevelType w:val="multilevel"/>
    <w:tmpl w:val="6FD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A73CBA"/>
    <w:multiLevelType w:val="multilevel"/>
    <w:tmpl w:val="D08A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082906"/>
    <w:multiLevelType w:val="multilevel"/>
    <w:tmpl w:val="12B64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625B60"/>
    <w:multiLevelType w:val="multilevel"/>
    <w:tmpl w:val="9B96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DE6442"/>
    <w:multiLevelType w:val="multilevel"/>
    <w:tmpl w:val="1F3E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9E3407"/>
    <w:multiLevelType w:val="hybridMultilevel"/>
    <w:tmpl w:val="3BB4FC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40D78A2"/>
    <w:multiLevelType w:val="hybridMultilevel"/>
    <w:tmpl w:val="6A3881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56C798F"/>
    <w:multiLevelType w:val="multilevel"/>
    <w:tmpl w:val="578C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811D3F"/>
    <w:multiLevelType w:val="multilevel"/>
    <w:tmpl w:val="5E54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6079E8"/>
    <w:multiLevelType w:val="multilevel"/>
    <w:tmpl w:val="F57E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AC324E7"/>
    <w:multiLevelType w:val="multilevel"/>
    <w:tmpl w:val="C3FA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D54F48"/>
    <w:multiLevelType w:val="multilevel"/>
    <w:tmpl w:val="68C4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F50709"/>
    <w:multiLevelType w:val="multilevel"/>
    <w:tmpl w:val="1B1A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570421"/>
    <w:multiLevelType w:val="multilevel"/>
    <w:tmpl w:val="3F04E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6D357E"/>
    <w:multiLevelType w:val="multilevel"/>
    <w:tmpl w:val="CD52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112BE6"/>
    <w:multiLevelType w:val="hybridMultilevel"/>
    <w:tmpl w:val="EB48D1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38619CA"/>
    <w:multiLevelType w:val="multilevel"/>
    <w:tmpl w:val="0CF2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437B52"/>
    <w:multiLevelType w:val="multilevel"/>
    <w:tmpl w:val="9EBE4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021C03"/>
    <w:multiLevelType w:val="multilevel"/>
    <w:tmpl w:val="C6343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3"/>
  </w:num>
  <w:num w:numId="3">
    <w:abstractNumId w:val="7"/>
  </w:num>
  <w:num w:numId="4">
    <w:abstractNumId w:val="18"/>
  </w:num>
  <w:num w:numId="5">
    <w:abstractNumId w:val="8"/>
  </w:num>
  <w:num w:numId="6">
    <w:abstractNumId w:val="17"/>
  </w:num>
  <w:num w:numId="7">
    <w:abstractNumId w:val="1"/>
  </w:num>
  <w:num w:numId="8">
    <w:abstractNumId w:val="26"/>
  </w:num>
  <w:num w:numId="9">
    <w:abstractNumId w:val="29"/>
  </w:num>
  <w:num w:numId="10">
    <w:abstractNumId w:val="3"/>
  </w:num>
  <w:num w:numId="11">
    <w:abstractNumId w:val="19"/>
  </w:num>
  <w:num w:numId="12">
    <w:abstractNumId w:val="2"/>
  </w:num>
  <w:num w:numId="13">
    <w:abstractNumId w:val="4"/>
  </w:num>
  <w:num w:numId="14">
    <w:abstractNumId w:val="24"/>
  </w:num>
  <w:num w:numId="15">
    <w:abstractNumId w:val="22"/>
  </w:num>
  <w:num w:numId="16">
    <w:abstractNumId w:val="13"/>
  </w:num>
  <w:num w:numId="17">
    <w:abstractNumId w:val="11"/>
  </w:num>
  <w:num w:numId="18">
    <w:abstractNumId w:val="25"/>
  </w:num>
  <w:num w:numId="19">
    <w:abstractNumId w:val="0"/>
  </w:num>
  <w:num w:numId="20">
    <w:abstractNumId w:val="21"/>
  </w:num>
  <w:num w:numId="21">
    <w:abstractNumId w:val="9"/>
  </w:num>
  <w:num w:numId="22">
    <w:abstractNumId w:val="12"/>
  </w:num>
  <w:num w:numId="23">
    <w:abstractNumId w:val="10"/>
  </w:num>
  <w:num w:numId="24">
    <w:abstractNumId w:val="16"/>
  </w:num>
  <w:num w:numId="25">
    <w:abstractNumId w:val="5"/>
  </w:num>
  <w:num w:numId="26">
    <w:abstractNumId w:val="14"/>
  </w:num>
  <w:num w:numId="27">
    <w:abstractNumId w:val="30"/>
  </w:num>
  <w:num w:numId="28">
    <w:abstractNumId w:val="15"/>
  </w:num>
  <w:num w:numId="29">
    <w:abstractNumId w:val="6"/>
  </w:num>
  <w:num w:numId="30">
    <w:abstractNumId w:val="20"/>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7AFD"/>
    <w:rPr>
      <w:rFonts w:ascii="Times New Roman" w:eastAsia="Times New Roman" w:hAnsi="Times New Roman" w:cs="Times New Roman"/>
      <w:kern w:val="0"/>
      <w:lang w:eastAsia="en-GB"/>
    </w:rPr>
  </w:style>
  <w:style w:type="paragraph" w:styleId="Heading1">
    <w:name w:val="heading 1"/>
    <w:basedOn w:val="Normal"/>
    <w:next w:val="Normal"/>
    <w:link w:val="Heading1Char"/>
    <w:uiPriority w:val="9"/>
    <w:qFormat/>
    <w:rsid w:val="000965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65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965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65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65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65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5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5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5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5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65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965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65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65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65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5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5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522"/>
    <w:rPr>
      <w:rFonts w:eastAsiaTheme="majorEastAsia" w:cstheme="majorBidi"/>
      <w:color w:val="272727" w:themeColor="text1" w:themeTint="D8"/>
    </w:rPr>
  </w:style>
  <w:style w:type="paragraph" w:styleId="Title">
    <w:name w:val="Title"/>
    <w:basedOn w:val="Normal"/>
    <w:next w:val="Normal"/>
    <w:link w:val="TitleChar"/>
    <w:uiPriority w:val="10"/>
    <w:qFormat/>
    <w:rsid w:val="000965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5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52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5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5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96522"/>
    <w:rPr>
      <w:i/>
      <w:iCs/>
      <w:color w:val="404040" w:themeColor="text1" w:themeTint="BF"/>
    </w:rPr>
  </w:style>
  <w:style w:type="paragraph" w:styleId="ListParagraph">
    <w:name w:val="List Paragraph"/>
    <w:basedOn w:val="Normal"/>
    <w:uiPriority w:val="34"/>
    <w:qFormat/>
    <w:rsid w:val="00096522"/>
    <w:pPr>
      <w:ind w:left="720"/>
      <w:contextualSpacing/>
    </w:pPr>
  </w:style>
  <w:style w:type="character" w:styleId="IntenseEmphasis">
    <w:name w:val="Intense Emphasis"/>
    <w:basedOn w:val="DefaultParagraphFont"/>
    <w:uiPriority w:val="21"/>
    <w:qFormat/>
    <w:rsid w:val="00096522"/>
    <w:rPr>
      <w:i/>
      <w:iCs/>
      <w:color w:val="0F4761" w:themeColor="accent1" w:themeShade="BF"/>
    </w:rPr>
  </w:style>
  <w:style w:type="paragraph" w:styleId="IntenseQuote">
    <w:name w:val="Intense Quote"/>
    <w:basedOn w:val="Normal"/>
    <w:next w:val="Normal"/>
    <w:link w:val="IntenseQuoteChar"/>
    <w:uiPriority w:val="30"/>
    <w:qFormat/>
    <w:rsid w:val="000965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6522"/>
    <w:rPr>
      <w:i/>
      <w:iCs/>
      <w:color w:val="0F4761" w:themeColor="accent1" w:themeShade="BF"/>
    </w:rPr>
  </w:style>
  <w:style w:type="character" w:styleId="IntenseReference">
    <w:name w:val="Intense Reference"/>
    <w:basedOn w:val="DefaultParagraphFont"/>
    <w:uiPriority w:val="32"/>
    <w:qFormat/>
    <w:rsid w:val="00096522"/>
    <w:rPr>
      <w:b/>
      <w:bCs/>
      <w:smallCaps/>
      <w:color w:val="0F4761" w:themeColor="accent1" w:themeShade="BF"/>
      <w:spacing w:val="5"/>
    </w:rPr>
  </w:style>
  <w:style w:type="character" w:styleId="Hyperlink">
    <w:name w:val="Hyperlink"/>
    <w:basedOn w:val="DefaultParagraphFont"/>
    <w:uiPriority w:val="99"/>
    <w:unhideWhenUsed/>
    <w:rsid w:val="00741910"/>
    <w:rPr>
      <w:color w:val="467886" w:themeColor="hyperlink"/>
      <w:u w:val="single"/>
    </w:rPr>
  </w:style>
  <w:style w:type="character" w:customStyle="1" w:styleId="UnresolvedMention1">
    <w:name w:val="Unresolved Mention1"/>
    <w:basedOn w:val="DefaultParagraphFont"/>
    <w:uiPriority w:val="99"/>
    <w:semiHidden/>
    <w:unhideWhenUsed/>
    <w:rsid w:val="00741910"/>
    <w:rPr>
      <w:color w:val="605E5C"/>
      <w:shd w:val="clear" w:color="auto" w:fill="E1DFDD"/>
    </w:rPr>
  </w:style>
  <w:style w:type="character" w:styleId="FollowedHyperlink">
    <w:name w:val="FollowedHyperlink"/>
    <w:basedOn w:val="DefaultParagraphFont"/>
    <w:uiPriority w:val="99"/>
    <w:semiHidden/>
    <w:unhideWhenUsed/>
    <w:rsid w:val="00741910"/>
    <w:rPr>
      <w:color w:val="96607D" w:themeColor="followedHyperlink"/>
      <w:u w:val="single"/>
    </w:rPr>
  </w:style>
  <w:style w:type="table" w:styleId="TableGrid">
    <w:name w:val="Table Grid"/>
    <w:basedOn w:val="TableNormal"/>
    <w:uiPriority w:val="39"/>
    <w:rsid w:val="00642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1E14"/>
    <w:pPr>
      <w:tabs>
        <w:tab w:val="center" w:pos="4513"/>
        <w:tab w:val="right" w:pos="9026"/>
      </w:tabs>
    </w:pPr>
  </w:style>
  <w:style w:type="character" w:customStyle="1" w:styleId="HeaderChar">
    <w:name w:val="Header Char"/>
    <w:basedOn w:val="DefaultParagraphFont"/>
    <w:link w:val="Header"/>
    <w:uiPriority w:val="99"/>
    <w:rsid w:val="00D81E14"/>
    <w:rPr>
      <w:rFonts w:ascii="Times New Roman" w:eastAsia="Times New Roman" w:hAnsi="Times New Roman" w:cs="Times New Roman"/>
      <w:kern w:val="0"/>
      <w:lang w:eastAsia="en-GB"/>
    </w:rPr>
  </w:style>
  <w:style w:type="paragraph" w:styleId="Footer">
    <w:name w:val="footer"/>
    <w:basedOn w:val="Normal"/>
    <w:link w:val="FooterChar"/>
    <w:uiPriority w:val="99"/>
    <w:unhideWhenUsed/>
    <w:rsid w:val="00D81E14"/>
    <w:pPr>
      <w:tabs>
        <w:tab w:val="center" w:pos="4513"/>
        <w:tab w:val="right" w:pos="9026"/>
      </w:tabs>
    </w:pPr>
  </w:style>
  <w:style w:type="character" w:customStyle="1" w:styleId="FooterChar">
    <w:name w:val="Footer Char"/>
    <w:basedOn w:val="DefaultParagraphFont"/>
    <w:link w:val="Footer"/>
    <w:uiPriority w:val="99"/>
    <w:rsid w:val="00D81E14"/>
    <w:rPr>
      <w:rFonts w:ascii="Times New Roman" w:eastAsia="Times New Roman" w:hAnsi="Times New Roman" w:cs="Times New Roman"/>
      <w:kern w:val="0"/>
      <w:lang w:eastAsia="en-GB"/>
    </w:rPr>
  </w:style>
  <w:style w:type="character" w:styleId="PageNumber">
    <w:name w:val="page number"/>
    <w:basedOn w:val="DefaultParagraphFont"/>
    <w:uiPriority w:val="99"/>
    <w:semiHidden/>
    <w:unhideWhenUsed/>
    <w:rsid w:val="00591C88"/>
  </w:style>
  <w:style w:type="character" w:styleId="Strong">
    <w:name w:val="Strong"/>
    <w:basedOn w:val="DefaultParagraphFont"/>
    <w:uiPriority w:val="22"/>
    <w:qFormat/>
    <w:rsid w:val="00E33D28"/>
    <w:rPr>
      <w:b/>
      <w:bCs/>
    </w:rPr>
  </w:style>
  <w:style w:type="paragraph" w:styleId="NormalWeb">
    <w:name w:val="Normal (Web)"/>
    <w:basedOn w:val="Normal"/>
    <w:uiPriority w:val="99"/>
    <w:semiHidden/>
    <w:unhideWhenUsed/>
    <w:rsid w:val="00E33D2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CYM0166</dc:title>
  <cp:revision>0</cp:revision>
</cp:coreProperties>
</file>