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752FF" w:rsidRPr="008C2DEA" w:rsidP="002752FF">
      <w:pPr>
        <w:jc w:val="center"/>
        <w:rPr>
          <w:rFonts w:ascii="Calibri" w:hAnsi="Calibri" w:cs="Calibri"/>
          <w:b/>
          <w:bCs/>
          <w:sz w:val="36"/>
          <w:szCs w:val="36"/>
          <w:lang w:val="en-US"/>
        </w:rPr>
      </w:pPr>
      <w:r w:rsidRPr="008C2DEA">
        <w:rPr>
          <w:rFonts w:ascii="Calibri" w:hAnsi="Calibri" w:cs="Calibri"/>
          <w:sz w:val="36"/>
          <w:szCs w:val="36"/>
          <w:lang w:val="en-US"/>
        </w:rPr>
        <w:t xml:space="preserve">Written Evidence Submitted by </w:t>
      </w:r>
      <w:r w:rsidRPr="008C2DEA">
        <w:rPr>
          <w:rFonts w:ascii="Calibri" w:hAnsi="Calibri" w:cs="Calibri"/>
          <w:sz w:val="36"/>
          <w:szCs w:val="36"/>
        </w:rPr>
        <w:t>The Well Centre</w:t>
      </w:r>
      <w:r w:rsidRPr="008C2DEA">
        <w:rPr>
          <w:rFonts w:ascii="Calibri" w:hAnsi="Calibri" w:cs="Calibri"/>
          <w:sz w:val="36"/>
          <w:szCs w:val="36"/>
          <w:lang w:val="en-US"/>
        </w:rPr>
        <w:t xml:space="preserve"> (CYM0160</w:t>
      </w:r>
      <w:r w:rsidRPr="008C2DEA">
        <w:rPr>
          <w:rFonts w:ascii="Calibri" w:hAnsi="Calibri" w:cs="Calibri"/>
          <w:b/>
          <w:bCs/>
          <w:sz w:val="36"/>
          <w:szCs w:val="36"/>
          <w:lang w:val="en-US"/>
        </w:rPr>
        <w:t>)</w:t>
      </w:r>
    </w:p>
    <w:p w:rsidR="002752FF" w:rsidRPr="008C2DEA" w:rsidP="005C2DDB">
      <w:pPr>
        <w:rPr>
          <w:rFonts w:ascii="Calibri" w:hAnsi="Calibri" w:cs="Calibri"/>
          <w:b/>
          <w:bCs/>
          <w:sz w:val="28"/>
          <w:szCs w:val="28"/>
        </w:rPr>
      </w:pPr>
    </w:p>
    <w:p w:rsidR="002752FF" w:rsidRPr="008C2DEA" w:rsidP="005C2DDB">
      <w:pPr>
        <w:rPr>
          <w:rFonts w:ascii="Calibri" w:hAnsi="Calibri" w:cs="Calibri"/>
          <w:b/>
          <w:bCs/>
          <w:sz w:val="28"/>
          <w:szCs w:val="28"/>
        </w:rPr>
      </w:pPr>
    </w:p>
    <w:p w:rsidR="002D5EB4" w:rsidRPr="008C2DEA" w:rsidP="005C2DDB">
      <w:pPr>
        <w:rPr>
          <w:rFonts w:ascii="Calibri" w:hAnsi="Calibri" w:cs="Calibri"/>
          <w:b/>
          <w:bCs/>
          <w:sz w:val="28"/>
          <w:szCs w:val="28"/>
        </w:rPr>
      </w:pPr>
      <w:r w:rsidRPr="008C2DEA">
        <w:rPr>
          <w:rFonts w:ascii="Calibri" w:hAnsi="Calibri" w:cs="Calibri"/>
          <w:b/>
          <w:bCs/>
          <w:sz w:val="28"/>
          <w:szCs w:val="28"/>
        </w:rPr>
        <w:t>Call for Evidence</w:t>
      </w:r>
    </w:p>
    <w:p w:rsidR="002D5EB4" w:rsidRPr="008C2DEA" w:rsidP="005C2DDB">
      <w:pPr>
        <w:rPr>
          <w:rFonts w:ascii="Calibri" w:hAnsi="Calibri" w:cs="Calibri"/>
          <w:b/>
          <w:bCs/>
          <w:sz w:val="28"/>
          <w:szCs w:val="28"/>
        </w:rPr>
      </w:pPr>
      <w:r w:rsidRPr="008C2DEA">
        <w:rPr>
          <w:rFonts w:ascii="Calibri" w:hAnsi="Calibri" w:cs="Calibri"/>
          <w:b/>
          <w:bCs/>
          <w:sz w:val="28"/>
          <w:szCs w:val="28"/>
        </w:rPr>
        <w:t>Children and Young People's Mental Health</w:t>
      </w:r>
    </w:p>
    <w:p w:rsidR="002D5EB4" w:rsidRPr="008C2DEA" w:rsidP="005C2DDB">
      <w:pPr>
        <w:rPr>
          <w:rFonts w:ascii="Calibri" w:hAnsi="Calibri" w:cs="Calibri"/>
          <w:b/>
          <w:bCs/>
          <w:sz w:val="28"/>
          <w:szCs w:val="28"/>
        </w:rPr>
      </w:pPr>
      <w:r w:rsidRPr="008C2DEA">
        <w:rPr>
          <w:rFonts w:ascii="Calibri" w:hAnsi="Calibri" w:cs="Calibri"/>
          <w:b/>
          <w:bCs/>
          <w:sz w:val="28"/>
          <w:szCs w:val="28"/>
        </w:rPr>
        <w:t>Submission from The Well Centre Charity</w:t>
      </w:r>
    </w:p>
    <w:p w:rsidR="002D5EB4" w:rsidRPr="008C2DEA" w:rsidP="005C2DDB">
      <w:pPr>
        <w:rPr>
          <w:rFonts w:ascii="Calibri" w:hAnsi="Calibri" w:cs="Calibri"/>
        </w:rPr>
      </w:pPr>
    </w:p>
    <w:p w:rsidR="002D5EB4" w:rsidRPr="008C2DEA" w:rsidP="003838E8">
      <w:pPr>
        <w:ind w:left="720" w:hanging="720"/>
        <w:rPr>
          <w:rFonts w:ascii="Calibri" w:hAnsi="Calibri" w:cs="Calibri"/>
          <w:b/>
          <w:bCs/>
        </w:rPr>
      </w:pPr>
      <w:r w:rsidRPr="008C2DEA">
        <w:rPr>
          <w:rFonts w:ascii="Calibri" w:hAnsi="Calibri" w:cs="Calibri"/>
          <w:b/>
          <w:bCs/>
        </w:rPr>
        <w:t>The Well Centre model</w:t>
      </w:r>
    </w:p>
    <w:p w:rsidR="002D5EB4" w:rsidRPr="008C2DEA" w:rsidP="005C2DDB">
      <w:pPr>
        <w:rPr>
          <w:rFonts w:ascii="Calibri" w:hAnsi="Calibri" w:cs="Calibri"/>
        </w:rPr>
      </w:pPr>
      <w:r w:rsidRPr="008C2DEA">
        <w:rPr>
          <w:rFonts w:ascii="Calibri" w:hAnsi="Calibri" w:cs="Calibri"/>
        </w:rPr>
        <w:t>The Well Centre is an established young person's health hub currently commissioned in South London. Core elements include that the service is general practitioner-(GP) led, youth-friendly, and takes a holistic approach to responding to young people's health needs. The team comprises GPs, senior mental health practitioners, and health and wellbeing practitioners, who provide primary care, counselling, social prescribing, advocacy and mentoring to young people aged 11-21.</w:t>
      </w:r>
    </w:p>
    <w:p w:rsidR="002D5EB4" w:rsidRPr="008C2DEA" w:rsidP="005C2DDB">
      <w:pPr>
        <w:rPr>
          <w:rFonts w:ascii="Calibri" w:hAnsi="Calibri" w:cs="Calibri"/>
        </w:rPr>
      </w:pPr>
      <w:r w:rsidRPr="008C2DEA">
        <w:rPr>
          <w:rFonts w:ascii="Calibri" w:hAnsi="Calibri" w:cs="Calibri"/>
        </w:rPr>
        <w:t>Overall, the Well Centre service is widely valued by stakeholders and clients.</w:t>
      </w:r>
      <w:r>
        <w:rPr>
          <w:rStyle w:val="FootnoteReference"/>
          <w:rFonts w:ascii="Calibri" w:hAnsi="Calibri" w:cs="Calibri"/>
        </w:rPr>
        <w:footnoteReference w:id="2"/>
      </w:r>
      <w:r w:rsidRPr="008C2DEA">
        <w:rPr>
          <w:rFonts w:ascii="Calibri" w:hAnsi="Calibri" w:cs="Calibri"/>
        </w:rPr>
        <w:t xml:space="preserve"> A range of positive impacts can be identified from qualitative data, including improved experiences for young people, improved wellbeing, better communication, improved practitioner knowledge and confidence, improved access to services and good use of onward referral. </w:t>
      </w:r>
    </w:p>
    <w:p w:rsidR="002D5EB4" w:rsidRPr="008C2DEA" w:rsidP="005C2DDB">
      <w:pPr>
        <w:rPr>
          <w:rFonts w:ascii="Calibri" w:hAnsi="Calibri" w:cs="Calibri"/>
        </w:rPr>
      </w:pPr>
      <w:r w:rsidRPr="008C2DEA">
        <w:rPr>
          <w:rFonts w:ascii="Calibri" w:hAnsi="Calibri" w:cs="Calibri"/>
        </w:rPr>
        <w:t xml:space="preserve">The model is well established and popular.  </w:t>
      </w:r>
      <w:r w:rsidRPr="008C2DEA">
        <w:rPr>
          <w:rFonts w:ascii="Calibri" w:hAnsi="Calibri" w:cs="Calibri"/>
        </w:rPr>
        <w:t>A number of</w:t>
      </w:r>
      <w:r w:rsidRPr="008C2DEA">
        <w:rPr>
          <w:rFonts w:ascii="Calibri" w:hAnsi="Calibri" w:cs="Calibri"/>
        </w:rPr>
        <w:t xml:space="preserve"> new pilot sites are being set up around the country by the new </w:t>
      </w:r>
      <w:r>
        <w:fldChar w:fldCharType="begin"/>
      </w:r>
      <w:r>
        <w:instrText xml:space="preserve"> HYPERLINK "https://wellcentrecharity.org/" </w:instrText>
      </w:r>
      <w:r>
        <w:fldChar w:fldCharType="separate"/>
      </w:r>
      <w:r w:rsidRPr="008C2DEA">
        <w:rPr>
          <w:rStyle w:val="Hyperlink"/>
          <w:rFonts w:ascii="Calibri" w:hAnsi="Calibri" w:cs="Calibri"/>
          <w:color w:val="auto"/>
        </w:rPr>
        <w:t>Well Centre Charity</w:t>
      </w:r>
      <w:r>
        <w:fldChar w:fldCharType="end"/>
      </w:r>
      <w:r w:rsidRPr="008C2DEA">
        <w:rPr>
          <w:rFonts w:ascii="Calibri" w:hAnsi="Calibri" w:cs="Calibri"/>
        </w:rPr>
        <w:t xml:space="preserve">, to spread and scale the model.  Funding from the National Lottery Community Fund and the Maudsley’s Building Brighter Futures Fund is supporting this work. </w:t>
      </w:r>
    </w:p>
    <w:p w:rsidR="002D5EB4" w:rsidRPr="008C2DEA" w:rsidP="005C2DDB">
      <w:pPr>
        <w:rPr>
          <w:rFonts w:ascii="Calibri" w:hAnsi="Calibri" w:cs="Calibri"/>
        </w:rPr>
      </w:pPr>
      <w:r w:rsidRPr="008C2DEA">
        <w:rPr>
          <w:rFonts w:ascii="Calibri" w:hAnsi="Calibri" w:cs="Calibri"/>
        </w:rPr>
        <w:t xml:space="preserve">The Well Centre Charity’s team is pleased to submit these answers to the Committee’s questions concerning the role of primary care in meeting the mental health needs of children and young people.  The team is made up of GPs, social entrepreneurs, youth work professionals and evidence and impact specialists.  We have organised our comments according to your topic areas.  </w:t>
      </w:r>
    </w:p>
    <w:p w:rsidR="002D5EB4" w:rsidRPr="008C2DEA" w:rsidP="005C2DDB">
      <w:pPr>
        <w:rPr>
          <w:rFonts w:ascii="Calibri" w:hAnsi="Calibri" w:cs="Calibri"/>
          <w:b/>
          <w:bCs/>
        </w:rPr>
      </w:pPr>
      <w:r w:rsidRPr="008C2DEA">
        <w:rPr>
          <w:rFonts w:ascii="Calibri" w:hAnsi="Calibri" w:cs="Calibri"/>
          <w:b/>
          <w:bCs/>
        </w:rPr>
        <w:t>The role of education and community settings in support and delivery  </w:t>
      </w:r>
    </w:p>
    <w:p w:rsidR="002D5EB4" w:rsidRPr="008C2DEA" w:rsidP="0041100C">
      <w:pPr>
        <w:pStyle w:val="ListParagraph"/>
        <w:numPr>
          <w:ilvl w:val="0"/>
          <w:numId w:val="4"/>
        </w:numPr>
        <w:rPr>
          <w:rFonts w:ascii="Calibri" w:hAnsi="Calibri" w:cs="Calibri"/>
        </w:rPr>
      </w:pPr>
      <w:r w:rsidRPr="008C2DEA">
        <w:rPr>
          <w:rFonts w:ascii="Calibri" w:hAnsi="Calibri" w:cs="Calibri"/>
        </w:rPr>
        <w:t xml:space="preserve">Schools and colleges are critical for supporting young people’s wellbeing.  Their role stems from (a) providing a healthy environment that supports wellbeing and positive development, and (b) identifying problems and helping young people to get support.  </w:t>
      </w:r>
      <w:r w:rsidRPr="008C2DEA">
        <w:rPr>
          <w:rFonts w:ascii="Calibri" w:hAnsi="Calibri" w:cs="Calibri"/>
        </w:rPr>
        <w:t>They are not mental health services though, and recent randomised control trials have shown the challenges in delivering population wide mental health prevention in these contexts.</w:t>
      </w:r>
      <w:r>
        <w:rPr>
          <w:rStyle w:val="FootnoteReference"/>
          <w:rFonts w:ascii="Calibri" w:hAnsi="Calibri" w:cs="Calibri"/>
        </w:rPr>
        <w:footnoteReference w:id="3"/>
      </w:r>
      <w:r w:rsidRPr="008C2DEA">
        <w:rPr>
          <w:rFonts w:ascii="Calibri" w:hAnsi="Calibri" w:cs="Calibri"/>
        </w:rPr>
        <w:t xml:space="preserve">  They may – with clear targeting perhaps - be able to offer low levels, early intervention options, but they will not – and should not – fill the gap between emerging problems and CAMHS referral.  In addition, services in schools can be disconnected from other services and may not be familiar with all the local referral options.  In addition, children and young people regularly tell us that they are not comfortable having their mental health being dealt with in the school environment. </w:t>
      </w:r>
    </w:p>
    <w:p w:rsidR="002D5EB4" w:rsidRPr="008C2DEA" w:rsidP="0041100C">
      <w:pPr>
        <w:pStyle w:val="ListParagraph"/>
        <w:rPr>
          <w:rFonts w:ascii="Calibri" w:hAnsi="Calibri" w:cs="Calibri"/>
        </w:rPr>
      </w:pPr>
    </w:p>
    <w:p w:rsidR="002D5EB4" w:rsidRPr="008C2DEA" w:rsidP="0041100C">
      <w:pPr>
        <w:pStyle w:val="ListParagraph"/>
        <w:numPr>
          <w:ilvl w:val="0"/>
          <w:numId w:val="4"/>
        </w:numPr>
        <w:rPr>
          <w:rFonts w:ascii="Calibri" w:hAnsi="Calibri" w:cs="Calibri"/>
        </w:rPr>
      </w:pPr>
      <w:r w:rsidRPr="008C2DEA">
        <w:rPr>
          <w:rFonts w:ascii="Calibri" w:hAnsi="Calibri" w:cs="Calibri"/>
        </w:rPr>
        <w:t xml:space="preserve">The various suggestions for new hubs providing community support to young people are welcome.  However these are generally in early, experimental modes and it is not entirely clear the extent to which they can deliver to the adolescent age group (focusing perhaps more often on early years and family support), or can provide holistic, serious health support.  This needs more thought and more prioritisation of the adolescent age group in planning and delivery.   In addition, there is a risk that trying to shoehorn young people’s services into essentially an early year-type hub might not be effective as these may then be less attractive to young people (too paediatric).  There is a danger that the adolescence-specific elements get neglected or sidelined.  In addition, much of the mental health work with this age group spans the age 18 barrier; would hubs be able to manage that? </w:t>
      </w:r>
    </w:p>
    <w:p w:rsidR="002D5EB4" w:rsidRPr="008C2DEA" w:rsidP="0041100C">
      <w:pPr>
        <w:pStyle w:val="ListParagraph"/>
        <w:rPr>
          <w:rFonts w:ascii="Calibri" w:hAnsi="Calibri" w:cs="Calibri"/>
        </w:rPr>
      </w:pPr>
    </w:p>
    <w:p w:rsidR="002D5EB4" w:rsidRPr="008C2DEA" w:rsidP="0041100C">
      <w:pPr>
        <w:pStyle w:val="ListParagraph"/>
        <w:numPr>
          <w:ilvl w:val="0"/>
          <w:numId w:val="4"/>
        </w:numPr>
        <w:rPr>
          <w:rFonts w:ascii="Calibri" w:hAnsi="Calibri" w:cs="Calibri"/>
        </w:rPr>
      </w:pPr>
      <w:r w:rsidRPr="008C2DEA">
        <w:rPr>
          <w:rFonts w:ascii="Calibri" w:hAnsi="Calibri" w:cs="Calibri"/>
        </w:rPr>
        <w:t>Youth work settings are the big missed opportunity.  You did not specifically mention these in your references to education and community settings.  They are distinct from new plans for community hubs, both in terms of their aims, but also the age range they deliver to.  They are however, being decimated by spending cuts.</w:t>
      </w:r>
      <w:r>
        <w:rPr>
          <w:rStyle w:val="FootnoteReference"/>
          <w:rFonts w:ascii="Calibri" w:hAnsi="Calibri" w:cs="Calibri"/>
        </w:rPr>
        <w:footnoteReference w:id="4"/>
      </w:r>
      <w:r w:rsidRPr="008C2DEA">
        <w:rPr>
          <w:rFonts w:ascii="Calibri" w:hAnsi="Calibri" w:cs="Calibri"/>
        </w:rPr>
        <w:t xml:space="preserve">  If they are to be a realistic option for helping with delivery, this needs thought and investment; outreach primary care in youth zones is a tested model (Healthspot/Spotlight</w:t>
      </w:r>
      <w:r>
        <w:rPr>
          <w:rStyle w:val="FootnoteReference"/>
          <w:rFonts w:ascii="Calibri" w:hAnsi="Calibri" w:cs="Calibri"/>
        </w:rPr>
        <w:footnoteReference w:id="5"/>
      </w:r>
      <w:r w:rsidRPr="008C2DEA">
        <w:rPr>
          <w:rFonts w:ascii="Calibri" w:hAnsi="Calibri" w:cs="Calibri"/>
        </w:rPr>
        <w:t xml:space="preserve">), but there will be other locations where this is less realistic or desirable.  Allowing local areas to find the right delivery routes for them is critical.  </w:t>
      </w:r>
    </w:p>
    <w:p w:rsidR="002D5EB4" w:rsidRPr="008C2DEA" w:rsidP="005C2DDB">
      <w:pPr>
        <w:rPr>
          <w:rFonts w:ascii="Calibri" w:hAnsi="Calibri" w:cs="Calibri"/>
          <w:b/>
          <w:bCs/>
        </w:rPr>
      </w:pPr>
      <w:r w:rsidRPr="008C2DEA">
        <w:rPr>
          <w:rFonts w:ascii="Calibri" w:hAnsi="Calibri" w:cs="Calibri"/>
          <w:b/>
          <w:bCs/>
        </w:rPr>
        <w:t>The role of NHS and specialist mental health services in support and delivery </w:t>
      </w:r>
    </w:p>
    <w:p w:rsidR="002D5EB4" w:rsidRPr="008C2DEA" w:rsidP="003769BD">
      <w:pPr>
        <w:rPr>
          <w:rFonts w:ascii="Calibri" w:hAnsi="Calibri" w:cs="Calibri"/>
        </w:rPr>
      </w:pPr>
      <w:r w:rsidRPr="008C2DEA">
        <w:rPr>
          <w:rFonts w:ascii="Calibri" w:hAnsi="Calibri" w:cs="Calibri"/>
        </w:rPr>
        <w:t xml:space="preserve">CAMHS clearly has a huge role to play in meeting young people’s mental health needs.  However we would note that: </w:t>
      </w:r>
    </w:p>
    <w:p w:rsidR="002D5EB4" w:rsidRPr="008C2DEA" w:rsidP="00E56C07">
      <w:pPr>
        <w:pStyle w:val="ListParagraph"/>
        <w:numPr>
          <w:ilvl w:val="0"/>
          <w:numId w:val="5"/>
        </w:numPr>
        <w:rPr>
          <w:rFonts w:ascii="Calibri" w:hAnsi="Calibri" w:cs="Calibri"/>
        </w:rPr>
      </w:pPr>
      <w:r w:rsidRPr="008C2DEA">
        <w:rPr>
          <w:rFonts w:ascii="Calibri" w:hAnsi="Calibri" w:cs="Calibri"/>
        </w:rPr>
        <w:t>Conservative estimates suggest between 10 – 25% of young people will have a diagnosable mental health problem at some point.</w:t>
      </w:r>
      <w:r>
        <w:rPr>
          <w:rStyle w:val="FootnoteReference"/>
          <w:rFonts w:ascii="Calibri" w:hAnsi="Calibri" w:cs="Calibri"/>
        </w:rPr>
        <w:footnoteReference w:id="6"/>
      </w:r>
      <w:r w:rsidRPr="008C2DEA">
        <w:rPr>
          <w:rFonts w:ascii="Calibri" w:hAnsi="Calibri" w:cs="Calibri"/>
        </w:rPr>
        <w:t xml:space="preserve">  </w:t>
      </w:r>
    </w:p>
    <w:p w:rsidR="002D5EB4" w:rsidRPr="008C2DEA" w:rsidP="00E56C07">
      <w:pPr>
        <w:pStyle w:val="ListParagraph"/>
        <w:rPr>
          <w:rFonts w:ascii="Calibri" w:hAnsi="Calibri" w:cs="Calibri"/>
        </w:rPr>
      </w:pPr>
    </w:p>
    <w:p w:rsidR="002D5EB4" w:rsidRPr="008C2DEA" w:rsidP="003769BD">
      <w:pPr>
        <w:pStyle w:val="ListParagraph"/>
        <w:numPr>
          <w:ilvl w:val="0"/>
          <w:numId w:val="5"/>
        </w:numPr>
        <w:rPr>
          <w:rFonts w:ascii="Calibri" w:hAnsi="Calibri" w:cs="Calibri"/>
        </w:rPr>
      </w:pPr>
      <w:r w:rsidRPr="008C2DEA">
        <w:rPr>
          <w:rFonts w:ascii="Calibri" w:hAnsi="Calibri" w:cs="Calibri"/>
        </w:rPr>
        <w:t>CAMHS deals with, on average, around 2-4% of the age group at any given time.</w:t>
      </w:r>
      <w:r>
        <w:rPr>
          <w:rStyle w:val="FootnoteReference"/>
          <w:rFonts w:ascii="Calibri" w:hAnsi="Calibri" w:cs="Calibri"/>
        </w:rPr>
        <w:footnoteReference w:id="7"/>
      </w:r>
      <w:r w:rsidRPr="008C2DEA">
        <w:rPr>
          <w:rFonts w:ascii="Calibri" w:hAnsi="Calibri" w:cs="Calibri"/>
        </w:rPr>
        <w:t xml:space="preserve">  It can thus only ever be a part of the picture.  The treatment gap between CAMHS and the general population need is huge. </w:t>
      </w:r>
    </w:p>
    <w:p w:rsidR="002D5EB4" w:rsidRPr="008C2DEA" w:rsidP="4C2AE490">
      <w:pPr>
        <w:pStyle w:val="ListParagraph"/>
        <w:rPr>
          <w:rFonts w:ascii="Calibri" w:hAnsi="Calibri" w:cs="Calibri"/>
        </w:rPr>
      </w:pPr>
    </w:p>
    <w:p w:rsidR="002D5EB4" w:rsidRPr="008C2DEA" w:rsidP="4C2AE490">
      <w:pPr>
        <w:pStyle w:val="ListParagraph"/>
        <w:numPr>
          <w:ilvl w:val="0"/>
          <w:numId w:val="5"/>
        </w:numPr>
        <w:rPr>
          <w:rFonts w:ascii="Calibri" w:hAnsi="Calibri" w:cs="Calibri"/>
        </w:rPr>
      </w:pPr>
      <w:r w:rsidRPr="008C2DEA">
        <w:rPr>
          <w:rFonts w:ascii="Calibri" w:hAnsi="Calibri" w:cs="Calibri"/>
        </w:rPr>
        <w:t xml:space="preserve">CAMHS only really deals with young people who have a mental health diagnosis.  This means they do not have the resources to support those who are experiencing distress but do not fit the rigid requirements to achieve a diagnosis (be that mental health or neurodiversity).  Some of these young people will eventually develop a diagnosis as time passes while others will not, and may recover.  The Well Centre’s services aims to identify those at greater risk of deterioration while also offering support to those in distress, which is something CAMHS cannot do.  </w:t>
      </w:r>
    </w:p>
    <w:p w:rsidR="002D5EB4" w:rsidRPr="008C2DEA" w:rsidP="00E56C07">
      <w:pPr>
        <w:pStyle w:val="ListParagraph"/>
        <w:rPr>
          <w:rFonts w:ascii="Calibri" w:hAnsi="Calibri" w:cs="Calibri"/>
        </w:rPr>
      </w:pPr>
    </w:p>
    <w:p w:rsidR="002D5EB4" w:rsidRPr="008C2DEA" w:rsidP="003769BD">
      <w:pPr>
        <w:pStyle w:val="ListParagraph"/>
        <w:numPr>
          <w:ilvl w:val="0"/>
          <w:numId w:val="5"/>
        </w:numPr>
        <w:rPr>
          <w:rFonts w:ascii="Calibri" w:hAnsi="Calibri" w:cs="Calibri"/>
        </w:rPr>
      </w:pPr>
      <w:r w:rsidRPr="008C2DEA">
        <w:rPr>
          <w:rFonts w:ascii="Calibri" w:hAnsi="Calibri" w:cs="Calibri"/>
        </w:rPr>
        <w:t xml:space="preserve">CAMHS operates on a relatively prescriptive model. Core therapies include individual or group Cognitive Behavioural Therapy (CBT), Trauma-Focused CBT, and Family/Systemic Psychotherapy, alongside option for medication. It seems likely that a significant proportion of clients will need ongoing support over several years – beyond this model - as their largely chronic conditions ebb and flow; so community support has to be available as well to provide a full service beyond the delivery of a set intervention. </w:t>
      </w:r>
    </w:p>
    <w:p w:rsidR="002D5EB4" w:rsidRPr="008C2DEA" w:rsidP="00E56C07">
      <w:pPr>
        <w:pStyle w:val="ListParagraph"/>
        <w:rPr>
          <w:rFonts w:ascii="Calibri" w:hAnsi="Calibri" w:cs="Calibri"/>
        </w:rPr>
      </w:pPr>
    </w:p>
    <w:p w:rsidR="002D5EB4" w:rsidRPr="008C2DEA" w:rsidP="00E56C07">
      <w:pPr>
        <w:pStyle w:val="ListParagraph"/>
        <w:numPr>
          <w:ilvl w:val="0"/>
          <w:numId w:val="5"/>
        </w:numPr>
        <w:rPr>
          <w:rFonts w:ascii="Calibri" w:hAnsi="Calibri" w:cs="Calibri"/>
        </w:rPr>
      </w:pPr>
      <w:r w:rsidRPr="008C2DEA">
        <w:rPr>
          <w:rFonts w:ascii="Calibri" w:hAnsi="Calibri" w:cs="Calibri"/>
        </w:rPr>
        <w:t xml:space="preserve">Reforms to CAMHS are thus important (to reduce waiting lists, help people in crisis, and deal effectively with the most serious patients), but this won’t solve the treatment gap.  It can’t. </w:t>
      </w:r>
      <w:r>
        <w:rPr>
          <w:rStyle w:val="FootnoteReference"/>
          <w:rFonts w:ascii="Calibri" w:hAnsi="Calibri" w:cs="Calibri"/>
        </w:rPr>
        <w:footnoteReference w:id="8"/>
      </w:r>
    </w:p>
    <w:p w:rsidR="002D5EB4" w:rsidRPr="008C2DEA" w:rsidP="00327D42">
      <w:pPr>
        <w:pStyle w:val="ListParagraph"/>
        <w:rPr>
          <w:rFonts w:ascii="Calibri" w:hAnsi="Calibri" w:cs="Calibri"/>
        </w:rPr>
      </w:pPr>
    </w:p>
    <w:p w:rsidR="002D5EB4" w:rsidRPr="008C2DEA" w:rsidP="00C46FE5">
      <w:pPr>
        <w:pStyle w:val="ListParagraph"/>
        <w:numPr>
          <w:ilvl w:val="0"/>
          <w:numId w:val="5"/>
        </w:numPr>
        <w:rPr>
          <w:rFonts w:ascii="Calibri" w:hAnsi="Calibri" w:cs="Calibri"/>
        </w:rPr>
      </w:pPr>
      <w:r w:rsidRPr="008C2DEA">
        <w:rPr>
          <w:rFonts w:ascii="Calibri" w:hAnsi="Calibri" w:cs="Calibri"/>
        </w:rPr>
        <w:t xml:space="preserve">Tackling increasing rates of children and young people deteriorating to the point of A&amp;E attendance or acute admission means making sure there are accessible, known, and trusted resources in the local community who can respond swiftly and give reassurance and advice.  It is highly likely this won’t be CAMHS. </w:t>
      </w:r>
    </w:p>
    <w:p w:rsidR="002D5EB4" w:rsidRPr="008C2DEA" w:rsidP="00C46FE5">
      <w:pPr>
        <w:rPr>
          <w:rFonts w:ascii="Calibri" w:hAnsi="Calibri" w:cs="Calibri"/>
        </w:rPr>
      </w:pPr>
      <w:r w:rsidRPr="008C2DEA">
        <w:rPr>
          <w:rFonts w:ascii="Calibri" w:hAnsi="Calibri" w:cs="Calibri"/>
          <w:b/>
          <w:bCs/>
        </w:rPr>
        <w:t>What does good practice look like in general practice with regard to children and young people’s mental health</w:t>
      </w:r>
      <w:r w:rsidRPr="008C2DEA">
        <w:rPr>
          <w:rFonts w:ascii="Calibri" w:hAnsi="Calibri" w:cs="Calibri"/>
        </w:rPr>
        <w:t>? </w:t>
      </w:r>
    </w:p>
    <w:p w:rsidR="002D5EB4" w:rsidRPr="008C2DEA">
      <w:pPr>
        <w:rPr>
          <w:rFonts w:ascii="Calibri" w:hAnsi="Calibri" w:cs="Calibri"/>
        </w:rPr>
      </w:pPr>
      <w:r w:rsidRPr="008C2DEA">
        <w:rPr>
          <w:rFonts w:ascii="Calibri" w:hAnsi="Calibri" w:cs="Calibri"/>
        </w:rPr>
        <w:t xml:space="preserve">General practice offers a unique, important and trusted source of support for young people.  It is a well designed and delivered service that already exists in the community, and presents an immediate, trusted solution to improving community-led, integrated neighbourhood care </w:t>
      </w:r>
      <w:r w:rsidRPr="008C2DEA">
        <w:rPr>
          <w:rFonts w:ascii="Calibri" w:hAnsi="Calibri" w:cs="Calibri"/>
        </w:rPr>
        <w:t xml:space="preserve">to the adolescent age group.  In theory the Well Centre model of youth-friendly general practice is scalable across all GP practices and integrated neighbourhood systems.  The Well Centre Charity currently holds both National Lottery Community Fund and Maudsley Charity Building Brighter Futures Fund grants to begin this spread and scale work.  </w:t>
      </w:r>
    </w:p>
    <w:p w:rsidR="002D5EB4" w:rsidRPr="008C2DEA">
      <w:pPr>
        <w:rPr>
          <w:rFonts w:ascii="Calibri" w:hAnsi="Calibri" w:cs="Calibri"/>
        </w:rPr>
      </w:pPr>
      <w:r w:rsidRPr="008C2DEA">
        <w:rPr>
          <w:rFonts w:ascii="Calibri" w:hAnsi="Calibri" w:cs="Calibri"/>
        </w:rPr>
        <w:t xml:space="preserve">From our work on this, and pre-existing good practice guidelines such as the ‘You’re Welcome’ quality criteria, we suggest that good practice includes: </w:t>
      </w:r>
    </w:p>
    <w:p w:rsidR="002D5EB4" w:rsidRPr="008C2DEA" w:rsidP="00953590">
      <w:pPr>
        <w:pStyle w:val="ListParagraph"/>
        <w:numPr>
          <w:ilvl w:val="0"/>
          <w:numId w:val="6"/>
        </w:numPr>
        <w:rPr>
          <w:rFonts w:ascii="Calibri" w:hAnsi="Calibri" w:cs="Calibri"/>
        </w:rPr>
      </w:pPr>
      <w:r w:rsidRPr="008C2DEA">
        <w:rPr>
          <w:rFonts w:ascii="Calibri" w:hAnsi="Calibri" w:cs="Calibri"/>
        </w:rPr>
        <w:t xml:space="preserve">Availability of appropriate &amp; trained staff: </w:t>
      </w:r>
    </w:p>
    <w:p w:rsidR="002D5EB4" w:rsidRPr="008C2DEA" w:rsidP="004D19CC">
      <w:pPr>
        <w:pStyle w:val="ListParagraph"/>
        <w:numPr>
          <w:ilvl w:val="1"/>
          <w:numId w:val="6"/>
        </w:numPr>
        <w:rPr>
          <w:rFonts w:ascii="Calibri" w:hAnsi="Calibri" w:cs="Calibri"/>
        </w:rPr>
      </w:pPr>
      <w:r w:rsidRPr="008C2DEA">
        <w:rPr>
          <w:rFonts w:ascii="Calibri" w:hAnsi="Calibri" w:cs="Calibri"/>
        </w:rPr>
        <w:t>Trained primary care staff</w:t>
      </w:r>
    </w:p>
    <w:p w:rsidR="002D5EB4" w:rsidRPr="008C2DEA" w:rsidP="004D19CC">
      <w:pPr>
        <w:pStyle w:val="ListParagraph"/>
        <w:numPr>
          <w:ilvl w:val="1"/>
          <w:numId w:val="6"/>
        </w:numPr>
        <w:rPr>
          <w:rFonts w:ascii="Calibri" w:hAnsi="Calibri" w:cs="Calibri"/>
        </w:rPr>
      </w:pPr>
      <w:r w:rsidRPr="008C2DEA">
        <w:rPr>
          <w:rFonts w:ascii="Calibri" w:hAnsi="Calibri" w:cs="Calibri"/>
        </w:rPr>
        <w:t>Partnership with other youth-friendly professions such as youth workers, youth counsellors, CAMHS, community paediatrics and the voluntary sector</w:t>
      </w:r>
    </w:p>
    <w:p w:rsidR="002D5EB4" w:rsidRPr="008C2DEA" w:rsidP="00953590">
      <w:pPr>
        <w:pStyle w:val="ListParagraph"/>
        <w:numPr>
          <w:ilvl w:val="0"/>
          <w:numId w:val="6"/>
        </w:numPr>
        <w:rPr>
          <w:rFonts w:ascii="Calibri" w:hAnsi="Calibri" w:cs="Calibri"/>
        </w:rPr>
      </w:pPr>
      <w:r w:rsidRPr="008C2DEA">
        <w:rPr>
          <w:rFonts w:ascii="Calibri" w:hAnsi="Calibri" w:cs="Calibri"/>
        </w:rPr>
        <w:t>Clearly youth-friendly approach that improves accessibility and access to services (particularly for less well served groups, thus reducing health inequalities)</w:t>
      </w:r>
    </w:p>
    <w:p w:rsidR="002D5EB4" w:rsidRPr="008C2DEA" w:rsidP="00953590">
      <w:pPr>
        <w:pStyle w:val="ListParagraph"/>
        <w:numPr>
          <w:ilvl w:val="0"/>
          <w:numId w:val="6"/>
        </w:numPr>
        <w:rPr>
          <w:rFonts w:ascii="Calibri" w:hAnsi="Calibri" w:cs="Calibri"/>
        </w:rPr>
      </w:pPr>
      <w:r w:rsidRPr="008C2DEA">
        <w:rPr>
          <w:rFonts w:ascii="Calibri" w:hAnsi="Calibri" w:cs="Calibri"/>
        </w:rPr>
        <w:t>Understanding of confidentiality &amp; consent for the adolescent age group</w:t>
      </w:r>
    </w:p>
    <w:p w:rsidR="002D5EB4" w:rsidRPr="008C2DEA" w:rsidP="00953590">
      <w:pPr>
        <w:pStyle w:val="ListParagraph"/>
        <w:numPr>
          <w:ilvl w:val="0"/>
          <w:numId w:val="6"/>
        </w:numPr>
        <w:rPr>
          <w:rFonts w:ascii="Calibri" w:hAnsi="Calibri" w:cs="Calibri"/>
        </w:rPr>
      </w:pPr>
      <w:r w:rsidRPr="008C2DEA">
        <w:rPr>
          <w:rFonts w:ascii="Calibri" w:hAnsi="Calibri" w:cs="Calibri"/>
        </w:rPr>
        <w:t xml:space="preserve">Holistic approach that understands how adolescents think about their health, and the links between physical and mental health at this age </w:t>
      </w:r>
    </w:p>
    <w:p w:rsidR="002D5EB4" w:rsidRPr="008C2DEA" w:rsidP="00953590">
      <w:pPr>
        <w:pStyle w:val="ListParagraph"/>
        <w:numPr>
          <w:ilvl w:val="0"/>
          <w:numId w:val="6"/>
        </w:numPr>
        <w:rPr>
          <w:rFonts w:ascii="Calibri" w:hAnsi="Calibri" w:cs="Calibri"/>
        </w:rPr>
      </w:pPr>
      <w:r w:rsidRPr="008C2DEA">
        <w:rPr>
          <w:rFonts w:ascii="Calibri" w:hAnsi="Calibri" w:cs="Calibri"/>
        </w:rPr>
        <w:t>Understanding of the transition to adulthood &amp; the tension between this and the support of the family/carers; ability to manage the competing needs and provide what is right for the young person</w:t>
      </w:r>
    </w:p>
    <w:p w:rsidR="002D5EB4" w:rsidRPr="008C2DEA" w:rsidP="00953590">
      <w:pPr>
        <w:pStyle w:val="ListParagraph"/>
        <w:numPr>
          <w:ilvl w:val="0"/>
          <w:numId w:val="6"/>
        </w:numPr>
        <w:rPr>
          <w:rFonts w:ascii="Calibri" w:hAnsi="Calibri" w:cs="Calibri"/>
        </w:rPr>
      </w:pPr>
      <w:r w:rsidRPr="008C2DEA">
        <w:rPr>
          <w:rFonts w:ascii="Calibri" w:hAnsi="Calibri" w:cs="Calibri"/>
        </w:rPr>
        <w:t>Rapid response that provides support when they need it (more likely than other groups to not be able to wait)</w:t>
      </w:r>
    </w:p>
    <w:p w:rsidR="002D5EB4" w:rsidRPr="008C2DEA" w:rsidP="00953590">
      <w:pPr>
        <w:pStyle w:val="ListParagraph"/>
        <w:numPr>
          <w:ilvl w:val="0"/>
          <w:numId w:val="6"/>
        </w:numPr>
        <w:rPr>
          <w:rFonts w:ascii="Calibri" w:hAnsi="Calibri" w:cs="Calibri"/>
        </w:rPr>
      </w:pPr>
      <w:r w:rsidRPr="008C2DEA">
        <w:rPr>
          <w:rFonts w:ascii="Calibri" w:hAnsi="Calibri" w:cs="Calibri"/>
        </w:rPr>
        <w:t>Understanding of risk and how to respond</w:t>
      </w:r>
    </w:p>
    <w:p w:rsidR="002D5EB4" w:rsidRPr="008C2DEA" w:rsidP="009B72E0">
      <w:pPr>
        <w:rPr>
          <w:rFonts w:ascii="Calibri" w:hAnsi="Calibri" w:cs="Calibri"/>
        </w:rPr>
      </w:pPr>
      <w:r w:rsidRPr="008C2DEA">
        <w:rPr>
          <w:rFonts w:ascii="Calibri" w:hAnsi="Calibri" w:cs="Calibri"/>
        </w:rPr>
        <w:t xml:space="preserve">A number of key resources and training options are already provided to support this work, including those of the Royal College of GPs, the Association for Young People’s Health, and the Well Centre Charity. The Well Centre Charity's team brings together GPs, youth work professionals, social entrepreneurs, clinical psychologist and evidence specialists. The clinical lead is Dr Stephanie Lamb, co-founder and Clinical Director, who also chairs the Royal College of General Practitioners' Adolescent Health Special Interest Group. Alongside her, co-founder and CEO John Poyton brings a youth work perspective on adolescent health spanning nearly 25 years. The Charity also works in active research partnership with King's College London and the CAMHS Digital Lab, ensuring that practice development is grounded in and contributing to the evidence base. </w:t>
      </w:r>
    </w:p>
    <w:p w:rsidR="002D5EB4" w:rsidRPr="008C2DEA" w:rsidP="009B72E0">
      <w:pPr>
        <w:rPr>
          <w:rFonts w:ascii="Calibri" w:hAnsi="Calibri" w:cs="Calibri"/>
        </w:rPr>
      </w:pPr>
      <w:r w:rsidRPr="008C2DEA">
        <w:rPr>
          <w:rFonts w:ascii="Calibri" w:hAnsi="Calibri" w:cs="Calibri"/>
        </w:rPr>
        <w:t xml:space="preserve">Interest in replicating the Well Centre model is growing, with pilots developing from London to Newcastle to Newquay, supported by the National Lottery Community Fund and Maudsley Charity. The Charity is also convening a broader alliance of organisations delivering excellent youth-friendly primary care models across the country, including Healthspot in East London, Footsteps in Stockton-on-Tees and Thrive in Hertfordshire, recognising that good practice in this space takes more than one form. Practical resources to support GP practices in delivering youth-friendly care are available at </w:t>
      </w:r>
      <w:r>
        <w:fldChar w:fldCharType="begin"/>
      </w:r>
      <w:r>
        <w:instrText xml:space="preserve"> HYPERLINK "https://wellcentrecharity.org/resources" </w:instrText>
      </w:r>
      <w:r>
        <w:fldChar w:fldCharType="separate"/>
      </w:r>
      <w:r w:rsidRPr="008C2DEA">
        <w:rPr>
          <w:rStyle w:val="Hyperlink"/>
          <w:rFonts w:ascii="Calibri" w:hAnsi="Calibri" w:cs="Calibri"/>
          <w:color w:val="auto"/>
        </w:rPr>
        <w:t>wellcentrecharity.org/resources</w:t>
      </w:r>
      <w:r>
        <w:fldChar w:fldCharType="end"/>
      </w:r>
      <w:r w:rsidRPr="008C2DEA">
        <w:rPr>
          <w:rFonts w:ascii="Calibri" w:hAnsi="Calibri" w:cs="Calibri"/>
        </w:rPr>
        <w:t xml:space="preserve">. </w:t>
      </w:r>
    </w:p>
    <w:p w:rsidR="002D5EB4" w:rsidRPr="008C2DEA" w:rsidP="005C2DDB">
      <w:pPr>
        <w:rPr>
          <w:rFonts w:ascii="Calibri" w:hAnsi="Calibri" w:cs="Calibri"/>
          <w:b/>
          <w:bCs/>
        </w:rPr>
      </w:pPr>
      <w:r w:rsidRPr="008C2DEA">
        <w:rPr>
          <w:rFonts w:ascii="Calibri" w:hAnsi="Calibri" w:cs="Calibri"/>
          <w:b/>
          <w:bCs/>
        </w:rPr>
        <w:t>Integration between education, NHS and community provision   </w:t>
      </w:r>
    </w:p>
    <w:p w:rsidR="002D5EB4" w:rsidRPr="008C2DEA" w:rsidP="005C2DDB">
      <w:pPr>
        <w:numPr>
          <w:ilvl w:val="0"/>
          <w:numId w:val="3"/>
        </w:numPr>
        <w:rPr>
          <w:rFonts w:ascii="Calibri" w:hAnsi="Calibri" w:cs="Calibri"/>
        </w:rPr>
      </w:pPr>
      <w:r w:rsidRPr="008C2DEA">
        <w:rPr>
          <w:rFonts w:ascii="Calibri" w:hAnsi="Calibri" w:cs="Calibri"/>
        </w:rPr>
        <w:t>Does better community provision reduce demand on CAMHS and acute NHS services? </w:t>
      </w:r>
    </w:p>
    <w:p w:rsidR="002D5EB4" w:rsidRPr="008C2DEA" w:rsidP="005C2DDB">
      <w:pPr>
        <w:numPr>
          <w:ilvl w:val="1"/>
          <w:numId w:val="3"/>
        </w:numPr>
        <w:rPr>
          <w:rFonts w:ascii="Calibri" w:hAnsi="Calibri" w:cs="Calibri"/>
        </w:rPr>
      </w:pPr>
      <w:r w:rsidRPr="008C2DEA">
        <w:rPr>
          <w:rFonts w:ascii="Calibri" w:hAnsi="Calibri" w:cs="Calibri"/>
        </w:rPr>
        <w:t>Yes</w:t>
      </w:r>
      <w:r>
        <w:rPr>
          <w:rStyle w:val="FootnoteReference"/>
          <w:rFonts w:ascii="Calibri" w:hAnsi="Calibri" w:cs="Calibri"/>
        </w:rPr>
        <w:footnoteReference w:id="9"/>
      </w:r>
      <w:r w:rsidRPr="008C2DEA">
        <w:rPr>
          <w:rFonts w:ascii="Calibri" w:hAnsi="Calibri" w:cs="Calibri"/>
        </w:rPr>
        <w:t xml:space="preserve">, but direct evidence is difficult to pin down.  This is partly because there’s so much being delivered under the ‘mental health’ banner.  Some will be good, some less so.  </w:t>
      </w:r>
    </w:p>
    <w:p w:rsidR="002D5EB4" w:rsidRPr="008C2DEA" w:rsidP="005C2DDB">
      <w:pPr>
        <w:numPr>
          <w:ilvl w:val="1"/>
          <w:numId w:val="3"/>
        </w:numPr>
        <w:rPr>
          <w:rFonts w:ascii="Calibri" w:hAnsi="Calibri" w:cs="Calibri"/>
        </w:rPr>
      </w:pPr>
      <w:r w:rsidRPr="008C2DEA">
        <w:rPr>
          <w:rFonts w:ascii="Calibri" w:hAnsi="Calibri" w:cs="Calibri"/>
        </w:rPr>
        <w:t>But – it may not reduce demand overall, as it is likely that there is a significant proportion of young people who never get the help they need.  Getting better at identifying them may increase the pool needing some kind of help.  But even so we should be able to stop them reaching crisis by providing more community based services.  A&amp;E is not a good place for young people with mental health problems</w:t>
      </w:r>
      <w:r>
        <w:rPr>
          <w:rStyle w:val="FootnoteReference"/>
          <w:rFonts w:ascii="Calibri" w:hAnsi="Calibri" w:cs="Calibri"/>
        </w:rPr>
        <w:footnoteReference w:id="10"/>
      </w:r>
      <w:r w:rsidRPr="008C2DEA">
        <w:rPr>
          <w:rFonts w:ascii="Calibri" w:hAnsi="Calibri" w:cs="Calibri"/>
        </w:rPr>
        <w:t xml:space="preserve">   </w:t>
      </w:r>
    </w:p>
    <w:p w:rsidR="002D5EB4" w:rsidRPr="008C2DEA" w:rsidP="005C2DDB">
      <w:pPr>
        <w:numPr>
          <w:ilvl w:val="1"/>
          <w:numId w:val="3"/>
        </w:numPr>
        <w:rPr>
          <w:rFonts w:ascii="Calibri" w:hAnsi="Calibri" w:cs="Calibri"/>
        </w:rPr>
      </w:pPr>
      <w:r w:rsidRPr="008C2DEA">
        <w:rPr>
          <w:rFonts w:ascii="Calibri" w:hAnsi="Calibri" w:cs="Calibri"/>
        </w:rPr>
        <w:t>We’re getting much better at identification but need to be careful not to confuse this with intervention.  Simply identifying a problem does not necessarily lead to a better outcome.  It is not the low level help that needs to be improved, it is the gap in the middle between (a) a definite problem that could do with an intervention, (b) shortage of Tier 2.5</w:t>
      </w:r>
      <w:r>
        <w:rPr>
          <w:rStyle w:val="FootnoteReference"/>
          <w:rFonts w:ascii="Calibri" w:hAnsi="Calibri" w:cs="Calibri"/>
        </w:rPr>
        <w:footnoteReference w:id="11"/>
      </w:r>
      <w:r w:rsidRPr="008C2DEA">
        <w:rPr>
          <w:rFonts w:ascii="Calibri" w:hAnsi="Calibri" w:cs="Calibri"/>
        </w:rPr>
        <w:t xml:space="preserve"> to Tier 4 services. </w:t>
      </w:r>
    </w:p>
    <w:p w:rsidR="002D5EB4" w:rsidRPr="008C2DEA" w:rsidP="005C2DDB">
      <w:pPr>
        <w:numPr>
          <w:ilvl w:val="1"/>
          <w:numId w:val="3"/>
        </w:numPr>
        <w:rPr>
          <w:rFonts w:ascii="Calibri" w:hAnsi="Calibri" w:cs="Calibri"/>
        </w:rPr>
      </w:pPr>
      <w:r w:rsidRPr="008C2DEA">
        <w:rPr>
          <w:rFonts w:ascii="Calibri" w:hAnsi="Calibri" w:cs="Calibri"/>
        </w:rPr>
        <w:t xml:space="preserve">Referral pathways can be very varied and inequitable.  In some cases, your most effective advocate is going to be your family, which can doubly disadvantage some groups of young people such as care leavers.  This has to be tackled so there are clearer pathways.  GP based services can provide a way of tackling these kinds of inequities.  </w:t>
      </w:r>
    </w:p>
    <w:p w:rsidR="002D5EB4" w:rsidRPr="008C2DEA" w:rsidP="005C2DDB">
      <w:pPr>
        <w:numPr>
          <w:ilvl w:val="0"/>
          <w:numId w:val="3"/>
        </w:numPr>
        <w:rPr>
          <w:rFonts w:ascii="Calibri" w:hAnsi="Calibri" w:cs="Calibri"/>
        </w:rPr>
      </w:pPr>
      <w:r w:rsidRPr="008C2DEA">
        <w:rPr>
          <w:rFonts w:ascii="Calibri" w:hAnsi="Calibri" w:cs="Calibri"/>
        </w:rPr>
        <w:t xml:space="preserve">Practical barriers to making the system work better? </w:t>
      </w:r>
    </w:p>
    <w:p w:rsidR="002D5EB4" w:rsidRPr="008C2DEA" w:rsidP="005C2DDB">
      <w:pPr>
        <w:numPr>
          <w:ilvl w:val="1"/>
          <w:numId w:val="3"/>
        </w:numPr>
        <w:rPr>
          <w:rFonts w:ascii="Calibri" w:hAnsi="Calibri" w:cs="Calibri"/>
        </w:rPr>
      </w:pPr>
      <w:r w:rsidRPr="008C2DEA">
        <w:rPr>
          <w:rFonts w:ascii="Calibri" w:hAnsi="Calibri" w:cs="Calibri"/>
        </w:rPr>
        <w:t>Lack of ringfenced funds</w:t>
      </w:r>
    </w:p>
    <w:p w:rsidR="002D5EB4" w:rsidRPr="008C2DEA" w:rsidP="005C2DDB">
      <w:pPr>
        <w:numPr>
          <w:ilvl w:val="1"/>
          <w:numId w:val="3"/>
        </w:numPr>
        <w:rPr>
          <w:rFonts w:ascii="Calibri" w:hAnsi="Calibri" w:cs="Calibri"/>
        </w:rPr>
      </w:pPr>
      <w:r w:rsidRPr="008C2DEA">
        <w:rPr>
          <w:rFonts w:ascii="Calibri" w:hAnsi="Calibri" w:cs="Calibri"/>
        </w:rPr>
        <w:t>Lack of effective advocacy for commissioning for the adolescent age group</w:t>
      </w:r>
    </w:p>
    <w:p w:rsidR="002D5EB4" w:rsidRPr="008C2DEA" w:rsidP="005C2DDB">
      <w:pPr>
        <w:numPr>
          <w:ilvl w:val="1"/>
          <w:numId w:val="3"/>
        </w:numPr>
        <w:rPr>
          <w:rFonts w:ascii="Calibri" w:hAnsi="Calibri" w:cs="Calibri"/>
        </w:rPr>
      </w:pPr>
      <w:r w:rsidRPr="008C2DEA">
        <w:rPr>
          <w:rFonts w:ascii="Calibri" w:hAnsi="Calibri" w:cs="Calibri"/>
        </w:rPr>
        <w:t>Lack of advocates/specialists for children and young people in some forums</w:t>
      </w:r>
    </w:p>
    <w:p w:rsidR="002D5EB4" w:rsidRPr="008C2DEA" w:rsidP="005C2DDB">
      <w:pPr>
        <w:numPr>
          <w:ilvl w:val="1"/>
          <w:numId w:val="3"/>
        </w:numPr>
        <w:rPr>
          <w:rFonts w:ascii="Calibri" w:hAnsi="Calibri" w:cs="Calibri"/>
        </w:rPr>
      </w:pPr>
      <w:r w:rsidRPr="008C2DEA">
        <w:rPr>
          <w:rFonts w:ascii="Calibri" w:hAnsi="Calibri" w:cs="Calibri"/>
        </w:rPr>
        <w:t>Lack of appreciation of the particular needs of the adolescent age group (where most need is concentrated)</w:t>
      </w:r>
    </w:p>
    <w:p w:rsidR="002D5EB4" w:rsidRPr="008C2DEA">
      <w:pPr>
        <w:rPr>
          <w:rFonts w:ascii="Calibri" w:hAnsi="Calibri" w:cs="Calibri"/>
          <w:highlight w:val="yellow"/>
        </w:rPr>
      </w:pPr>
      <w:r w:rsidRPr="008C2DEA">
        <w:rPr>
          <w:rFonts w:ascii="Calibri" w:hAnsi="Calibri" w:cs="Calibri"/>
        </w:rPr>
        <w:t>A critical step in reducing systemic barriers would be convening and resourcing an alliance of organisations already delivering best practice in youth-friendly general practice. The Well Centre Charity has begun this work, bringing together practitioners and innovators across the country who are demonstrating what is possible. Such an alliance could engage directly with policymakers and NHS England to drive the top-down system change needed to ensure that all 6,500 GP practices become more accessible and responsive to young people: a genuinely community-based offer, located on the doorstep of where young people live, and central to the health missions agenda. The Committee may wish to engage directly with this emerging alliance, and the Well Centre Charity would welcome the opportunity to facilitate that conversation.</w:t>
      </w:r>
    </w:p>
    <w:p w:rsidR="002D5EB4" w:rsidRPr="008C2DEA" w:rsidP="008B6ACF">
      <w:pPr>
        <w:rPr>
          <w:rFonts w:ascii="Calibri" w:hAnsi="Calibri" w:cs="Calibri"/>
        </w:rPr>
      </w:pPr>
      <w:r w:rsidRPr="008C2DEA">
        <w:rPr>
          <w:rFonts w:ascii="Calibri" w:hAnsi="Calibri" w:cs="Calibri"/>
        </w:rPr>
        <w:t>The mental health needs of children and young people cannot be met by CAMHS alone, nor by schools, nor by any single part of the system. What is needed is a trusted, accessible, community-based offer that sits between universal services and specialist care, is genuinely youth-friendly, and is available to every young person regardless of whether they meet a diagnostic threshold. Youth-friendly general practice, developed and delivered in the way the Well Centre model demonstrates, offers exactly that. It is not a new idea requiring years of piloting; it is a proven approach ready to scale. We urge the Committee to recommend sustained investment in this model, and in the infrastructure needed to spread it, so that every young person in England has access to the kind of care that should be their right.</w:t>
      </w:r>
    </w:p>
    <w:p w:rsidR="002D5EB4" w:rsidRPr="008C2DEA" w:rsidP="00A97DDB">
      <w:pPr>
        <w:jc w:val="right"/>
        <w:rPr>
          <w:rFonts w:ascii="Calibri" w:hAnsi="Calibri" w:cs="Calibri"/>
        </w:rPr>
      </w:pPr>
    </w:p>
    <w:p w:rsidR="002D5EB4" w:rsidRPr="008C2DEA" w:rsidP="00A97DDB">
      <w:pPr>
        <w:jc w:val="right"/>
        <w:rPr>
          <w:rFonts w:ascii="Calibri" w:hAnsi="Calibri" w:cs="Calibri"/>
        </w:rPr>
      </w:pPr>
    </w:p>
    <w:p w:rsidR="002D5EB4" w:rsidRPr="008C2DEA" w:rsidP="00B40DB8">
      <w:pPr>
        <w:jc w:val="right"/>
        <w:rPr>
          <w:rStyle w:val="Strong"/>
          <w:rFonts w:ascii="Calibri" w:hAnsi="Calibri" w:cs="Calibri"/>
        </w:rPr>
      </w:pPr>
      <w:r w:rsidRPr="008C2DEA">
        <w:rPr>
          <w:rStyle w:val="Strong"/>
          <w:rFonts w:ascii="Calibri" w:hAnsi="Calibri" w:cs="Calibri"/>
        </w:rPr>
        <w:t>Authors: John Poyton OBE, Dr Ann Hagell (Public Health), Dr Stephanie Lamb (GP) and Dr Sadru Kheraj (GP)</w:t>
      </w:r>
      <w:r w:rsidRPr="008C2DEA">
        <w:rPr>
          <w:rFonts w:ascii="Calibri" w:hAnsi="Calibri" w:cs="Calibri"/>
        </w:rPr>
        <w:t xml:space="preserve"> </w:t>
      </w:r>
      <w:r w:rsidRPr="008C2DEA">
        <w:rPr>
          <w:rStyle w:val="Strong"/>
          <w:rFonts w:ascii="Calibri" w:hAnsi="Calibri" w:cs="Calibri"/>
        </w:rPr>
        <w:t>on behalf of The Well Centre Charity</w:t>
      </w:r>
    </w:p>
    <w:p w:rsidR="002752FF" w:rsidRPr="008C2DEA" w:rsidP="00B40DB8">
      <w:pPr>
        <w:jc w:val="right"/>
        <w:rPr>
          <w:rStyle w:val="Strong"/>
          <w:rFonts w:ascii="Calibri" w:hAnsi="Calibri" w:cs="Calibri"/>
        </w:rPr>
      </w:pPr>
    </w:p>
    <w:p w:rsidR="002752FF" w:rsidRPr="008C2DEA" w:rsidP="00B40DB8">
      <w:pPr>
        <w:jc w:val="right"/>
        <w:rPr>
          <w:rStyle w:val="Strong"/>
          <w:rFonts w:ascii="Calibri" w:hAnsi="Calibri" w:cs="Calibri"/>
        </w:rPr>
      </w:pPr>
    </w:p>
    <w:p w:rsidR="002752FF" w:rsidRPr="008C2DEA" w:rsidP="008C2DEA">
      <w:pPr>
        <w:rPr>
          <w:rFonts w:ascii="Calibri" w:hAnsi="Calibri" w:cs="Calibri"/>
          <w:i/>
          <w:iCs/>
        </w:rPr>
      </w:pPr>
      <w:r w:rsidRPr="008C2DEA">
        <w:rPr>
          <w:rFonts w:ascii="Calibri" w:hAnsi="Calibri" w:cs="Calibri"/>
          <w:i/>
          <w:iCs/>
        </w:rPr>
        <w:t>March 2026</w:t>
      </w:r>
    </w:p>
    <w:sectPr>
      <w:headerReference w:type="default" r:id="rI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70A3A" w:rsidP="005C2DDB">
      <w:pPr>
        <w:spacing w:after="0" w:line="240" w:lineRule="auto"/>
      </w:pPr>
      <w:r>
        <w:separator/>
      </w:r>
    </w:p>
  </w:footnote>
  <w:footnote w:type="continuationSeparator" w:id="1">
    <w:p w:rsidR="00470A3A" w:rsidP="005C2DDB">
      <w:pPr>
        <w:spacing w:after="0" w:line="240" w:lineRule="auto"/>
      </w:pPr>
      <w:r>
        <w:continuationSeparator/>
      </w:r>
    </w:p>
  </w:footnote>
  <w:footnote w:id="2">
    <w:p w:rsidR="002D5EB4" w:rsidP="005C2DDB">
      <w:pPr>
        <w:pStyle w:val="FootnoteText"/>
      </w:pPr>
      <w:r>
        <w:rPr>
          <w:rStyle w:val="FootnoteReference"/>
        </w:rPr>
        <w:footnoteRef/>
      </w:r>
      <w:r>
        <w:t xml:space="preserve"> Hagell A (2025) </w:t>
      </w:r>
      <w:r>
        <w:fldChar w:fldCharType="begin"/>
      </w:r>
      <w:r>
        <w:instrText xml:space="preserve"> HYPERLINK "https://www.magonlinelibrary.com/doi/abs/10.12968/jfch.2025.2.3.126" </w:instrText>
      </w:r>
      <w:r>
        <w:fldChar w:fldCharType="separate"/>
      </w:r>
      <w:r w:rsidRPr="00777919">
        <w:rPr>
          <w:rStyle w:val="Hyperlink"/>
        </w:rPr>
        <w:t>Improving the primary care offer to young people: Successes and challenges in implementing the Well Centre model</w:t>
      </w:r>
      <w:r>
        <w:fldChar w:fldCharType="end"/>
      </w:r>
      <w:r>
        <w:t xml:space="preserve">.  </w:t>
      </w:r>
      <w:r w:rsidRPr="00777919">
        <w:rPr>
          <w:i/>
          <w:iCs/>
        </w:rPr>
        <w:t>Journal of Family and Child Health</w:t>
      </w:r>
      <w:r>
        <w:t>, 2(3)</w:t>
      </w:r>
    </w:p>
  </w:footnote>
  <w:footnote w:id="3">
    <w:p w:rsidR="002D5EB4">
      <w:pPr>
        <w:pStyle w:val="FootnoteText"/>
      </w:pPr>
      <w:r>
        <w:rPr>
          <w:rStyle w:val="FootnoteReference"/>
        </w:rPr>
        <w:footnoteRef/>
      </w:r>
      <w:r>
        <w:t xml:space="preserve"> </w:t>
      </w:r>
      <w:r>
        <w:fldChar w:fldCharType="begin"/>
      </w:r>
      <w:r>
        <w:instrText xml:space="preserve"> HYPERLINK "https://www.theguardian.com/commentisfree/2025/may/20/mental-health-lessons-school-dont-work-mindfulness" </w:instrText>
      </w:r>
      <w:r>
        <w:fldChar w:fldCharType="separate"/>
      </w:r>
      <w:r w:rsidRPr="00640EB8">
        <w:rPr>
          <w:rStyle w:val="Hyperlink"/>
        </w:rPr>
        <w:t>https://www.theguardian.com/commentisfree/2025/may/20/mental-health-lessons-school-dont-work-mindfulness</w:t>
      </w:r>
      <w:r>
        <w:fldChar w:fldCharType="end"/>
      </w:r>
      <w:r>
        <w:t xml:space="preserve"> </w:t>
      </w:r>
    </w:p>
  </w:footnote>
  <w:footnote w:id="4">
    <w:p w:rsidR="002D5EB4">
      <w:pPr>
        <w:pStyle w:val="FootnoteText"/>
      </w:pPr>
      <w:r>
        <w:rPr>
          <w:rStyle w:val="FootnoteReference"/>
        </w:rPr>
        <w:footnoteRef/>
      </w:r>
      <w:r>
        <w:t xml:space="preserve"> </w:t>
      </w:r>
      <w:r>
        <w:fldChar w:fldCharType="begin"/>
      </w:r>
      <w:r>
        <w:instrText xml:space="preserve"> HYPERLINK "https://www.unison.org.uk/news/article/2024/12/opinion-when-young-people-lose-their-services-we-all-pay-more/" </w:instrText>
      </w:r>
      <w:r>
        <w:fldChar w:fldCharType="separate"/>
      </w:r>
      <w:r w:rsidRPr="0082170C">
        <w:rPr>
          <w:rStyle w:val="Hyperlink"/>
        </w:rPr>
        <w:t>https://www.unison.org.uk/news/article/2024/12/opinion-when-young-people-lose-their-services-we-all-pay-more/</w:t>
      </w:r>
      <w:r>
        <w:fldChar w:fldCharType="end"/>
      </w:r>
      <w:r>
        <w:t xml:space="preserve"> </w:t>
      </w:r>
    </w:p>
  </w:footnote>
  <w:footnote w:id="5">
    <w:p w:rsidR="002D5EB4">
      <w:pPr>
        <w:pStyle w:val="FootnoteText"/>
      </w:pPr>
      <w:r>
        <w:rPr>
          <w:rStyle w:val="FootnoteReference"/>
        </w:rPr>
        <w:footnoteRef/>
      </w:r>
      <w:r>
        <w:t xml:space="preserve"> </w:t>
      </w:r>
      <w:r>
        <w:fldChar w:fldCharType="begin"/>
      </w:r>
      <w:r>
        <w:instrText xml:space="preserve"> HYPERLINK "https://wearespotlight.com/health-spot/" </w:instrText>
      </w:r>
      <w:r>
        <w:fldChar w:fldCharType="separate"/>
      </w:r>
      <w:r w:rsidRPr="0082170C">
        <w:rPr>
          <w:rStyle w:val="Hyperlink"/>
        </w:rPr>
        <w:t>https://wearespotlight.com/health-spot/</w:t>
      </w:r>
      <w:r>
        <w:fldChar w:fldCharType="end"/>
      </w:r>
      <w:r>
        <w:t xml:space="preserve"> </w:t>
      </w:r>
    </w:p>
  </w:footnote>
  <w:footnote w:id="6">
    <w:p w:rsidR="002D5EB4">
      <w:pPr>
        <w:pStyle w:val="FootnoteText"/>
      </w:pPr>
      <w:r>
        <w:rPr>
          <w:rStyle w:val="FootnoteReference"/>
        </w:rPr>
        <w:footnoteRef/>
      </w:r>
      <w:r>
        <w:t xml:space="preserve"> NHS Digital national surveys.  Range varies depending on source and severity of problem, but even at the bottom of the range there’s a massive treatment gap</w:t>
      </w:r>
    </w:p>
  </w:footnote>
  <w:footnote w:id="7">
    <w:p w:rsidR="002D5EB4">
      <w:pPr>
        <w:pStyle w:val="FootnoteText"/>
      </w:pPr>
      <w:r>
        <w:rPr>
          <w:rStyle w:val="FootnoteReference"/>
        </w:rPr>
        <w:footnoteRef/>
      </w:r>
      <w:r>
        <w:t xml:space="preserve"> NHS Benchmarking – eg, Watkins S (2020) </w:t>
      </w:r>
      <w:r>
        <w:fldChar w:fldCharType="begin"/>
      </w:r>
      <w:r>
        <w:instrText xml:space="preserve"> HYPERLINK "https://s3.eu-west-2.amazonaws.com/nhsbn-static/Child%20&amp;%20Adolescent%20Mental%20Health%20Services/2020/CAMHS%202020%20presentation%20FINAL.pdf" </w:instrText>
      </w:r>
      <w:r>
        <w:fldChar w:fldCharType="separate"/>
      </w:r>
      <w:r w:rsidRPr="00AD04E2">
        <w:rPr>
          <w:rStyle w:val="Hyperlink"/>
        </w:rPr>
        <w:t>CAMHS Benchmarking Findings 2020</w:t>
      </w:r>
      <w:r>
        <w:fldChar w:fldCharType="end"/>
      </w:r>
      <w:r>
        <w:t xml:space="preserve"> </w:t>
      </w:r>
    </w:p>
  </w:footnote>
  <w:footnote w:id="8">
    <w:p w:rsidR="002D5EB4">
      <w:pPr>
        <w:pStyle w:val="FootnoteText"/>
      </w:pPr>
      <w:r>
        <w:rPr>
          <w:rStyle w:val="FootnoteReference"/>
        </w:rPr>
        <w:footnoteRef/>
      </w:r>
      <w:r>
        <w:t xml:space="preserve"> Williams B (2022) It can’t all be about CAMHS.  </w:t>
      </w:r>
      <w:r w:rsidRPr="00D12DDB">
        <w:rPr>
          <w:i/>
          <w:iCs/>
        </w:rPr>
        <w:t>Clinical Psychology Forum</w:t>
      </w:r>
      <w:r w:rsidRPr="00D12DDB">
        <w:t xml:space="preserve"> 357 – September 2022</w:t>
      </w:r>
    </w:p>
  </w:footnote>
  <w:footnote w:id="9">
    <w:p w:rsidR="002D5EB4">
      <w:pPr>
        <w:pStyle w:val="FootnoteText"/>
      </w:pPr>
      <w:r>
        <w:rPr>
          <w:rStyle w:val="FootnoteReference"/>
        </w:rPr>
        <w:footnoteRef/>
      </w:r>
      <w:r>
        <w:t xml:space="preserve"> </w:t>
      </w:r>
      <w:r w:rsidRPr="000C5720">
        <w:t>Mao, W., Shalaby, R., &amp; Agyapong, V. I. O. (2023). Interventions to Reduce Repeat Presentations to Hospital Emergency Departments for Mental Health Concerns: A Scoping Review of the Literature. </w:t>
      </w:r>
      <w:r w:rsidRPr="000C5720">
        <w:rPr>
          <w:i/>
          <w:iCs/>
        </w:rPr>
        <w:t>Healthcare</w:t>
      </w:r>
      <w:r w:rsidRPr="000C5720">
        <w:t>, </w:t>
      </w:r>
      <w:r w:rsidRPr="000C5720">
        <w:rPr>
          <w:i/>
          <w:iCs/>
        </w:rPr>
        <w:t>11</w:t>
      </w:r>
      <w:r w:rsidRPr="000C5720">
        <w:t>(8),</w:t>
      </w:r>
    </w:p>
  </w:footnote>
  <w:footnote w:id="10">
    <w:p w:rsidR="002D5EB4">
      <w:pPr>
        <w:pStyle w:val="FootnoteText"/>
      </w:pPr>
      <w:r>
        <w:rPr>
          <w:rStyle w:val="FootnoteReference"/>
        </w:rPr>
        <w:footnoteRef/>
      </w:r>
      <w:r>
        <w:t xml:space="preserve"> </w:t>
      </w:r>
      <w:r w:rsidRPr="00774A5E">
        <w:t>Cadorna G, Vera San Juan N, Staples H, Johnson S, Appleton R</w:t>
      </w:r>
      <w:r>
        <w:t xml:space="preserve"> (2024)</w:t>
      </w:r>
      <w:r w:rsidRPr="00774A5E">
        <w:t xml:space="preserve"> Systematic review and metasynthesis of qualitative literature on young peoples experiences of going to A&amp;E/emergency departments for mental health support. </w:t>
      </w:r>
      <w:r w:rsidRPr="00C80B86">
        <w:rPr>
          <w:i/>
          <w:iCs/>
        </w:rPr>
        <w:t>Child Adolesc Ment Health</w:t>
      </w:r>
      <w:r w:rsidRPr="00774A5E">
        <w:t>; 29: 266–75</w:t>
      </w:r>
    </w:p>
  </w:footnote>
  <w:footnote w:id="11">
    <w:p w:rsidR="002D5EB4">
      <w:pPr>
        <w:pStyle w:val="FootnoteText"/>
      </w:pPr>
      <w:r>
        <w:rPr>
          <w:rStyle w:val="FootnoteReference"/>
        </w:rPr>
        <w:footnoteRef/>
      </w:r>
      <w:r>
        <w:t xml:space="preserve"> The Well Centre is often referred to as a Tier 2.5 service – this is because it can hold more ‘risk’ than a general community based service in education and the voluntary sector – because it is GP-centred.  Community based services not run by GPs can struggle to ‘hold’ the risk children can pose to themselves &amp; others.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5EB4" w:rsidP="005C2DD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781750"/>
    <w:multiLevelType w:val="multilevel"/>
    <w:tmpl w:val="FD28B2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347941"/>
    <w:multiLevelType w:val="multilevel"/>
    <w:tmpl w:val="F24A8F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BB4D9D"/>
    <w:multiLevelType w:val="hybridMultilevel"/>
    <w:tmpl w:val="BE9034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3483999"/>
    <w:multiLevelType w:val="multilevel"/>
    <w:tmpl w:val="CBD8C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9630D2"/>
    <w:multiLevelType w:val="multilevel"/>
    <w:tmpl w:val="47B086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FB3B36"/>
    <w:multiLevelType w:val="hybridMultilevel"/>
    <w:tmpl w:val="A3987B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B8E7846"/>
    <w:multiLevelType w:val="hybridMultilevel"/>
    <w:tmpl w:val="C8B2DD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E332E47"/>
    <w:multiLevelType w:val="multilevel"/>
    <w:tmpl w:val="4D40EE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FBE2A11"/>
    <w:multiLevelType w:val="multilevel"/>
    <w:tmpl w:val="27C290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4"/>
  </w:num>
  <w:num w:numId="3">
    <w:abstractNumId w:val="3"/>
  </w:num>
  <w:num w:numId="4">
    <w:abstractNumId w:val="2"/>
  </w:num>
  <w:num w:numId="5">
    <w:abstractNumId w:val="6"/>
  </w:num>
  <w:num w:numId="6">
    <w:abstractNumId w:val="5"/>
  </w:num>
  <w:num w:numId="7">
    <w:abstractNumId w:val="7"/>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5C2D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2D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2D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2D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2D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2D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2D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2D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2D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2D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2D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2D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2D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2D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2D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2D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2D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2DDB"/>
    <w:rPr>
      <w:rFonts w:eastAsiaTheme="majorEastAsia" w:cstheme="majorBidi"/>
      <w:color w:val="272727" w:themeColor="text1" w:themeTint="D8"/>
    </w:rPr>
  </w:style>
  <w:style w:type="paragraph" w:styleId="Title">
    <w:name w:val="Title"/>
    <w:basedOn w:val="Normal"/>
    <w:next w:val="Normal"/>
    <w:link w:val="TitleChar"/>
    <w:uiPriority w:val="10"/>
    <w:qFormat/>
    <w:rsid w:val="005C2D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2D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2D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2D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2DDB"/>
    <w:pPr>
      <w:spacing w:before="160"/>
      <w:jc w:val="center"/>
    </w:pPr>
    <w:rPr>
      <w:i/>
      <w:iCs/>
      <w:color w:val="404040" w:themeColor="text1" w:themeTint="BF"/>
    </w:rPr>
  </w:style>
  <w:style w:type="character" w:customStyle="1" w:styleId="QuoteChar">
    <w:name w:val="Quote Char"/>
    <w:basedOn w:val="DefaultParagraphFont"/>
    <w:link w:val="Quote"/>
    <w:uiPriority w:val="29"/>
    <w:rsid w:val="005C2DDB"/>
    <w:rPr>
      <w:i/>
      <w:iCs/>
      <w:color w:val="404040" w:themeColor="text1" w:themeTint="BF"/>
    </w:rPr>
  </w:style>
  <w:style w:type="paragraph" w:styleId="ListParagraph">
    <w:name w:val="List Paragraph"/>
    <w:basedOn w:val="Normal"/>
    <w:uiPriority w:val="34"/>
    <w:qFormat/>
    <w:rsid w:val="005C2DDB"/>
    <w:pPr>
      <w:ind w:left="720"/>
      <w:contextualSpacing/>
    </w:pPr>
  </w:style>
  <w:style w:type="character" w:styleId="IntenseEmphasis">
    <w:name w:val="Intense Emphasis"/>
    <w:basedOn w:val="DefaultParagraphFont"/>
    <w:uiPriority w:val="21"/>
    <w:qFormat/>
    <w:rsid w:val="005C2DDB"/>
    <w:rPr>
      <w:i/>
      <w:iCs/>
      <w:color w:val="0F4761" w:themeColor="accent1" w:themeShade="BF"/>
    </w:rPr>
  </w:style>
  <w:style w:type="paragraph" w:styleId="IntenseQuote">
    <w:name w:val="Intense Quote"/>
    <w:basedOn w:val="Normal"/>
    <w:next w:val="Normal"/>
    <w:link w:val="IntenseQuoteChar"/>
    <w:uiPriority w:val="30"/>
    <w:qFormat/>
    <w:rsid w:val="005C2D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2DDB"/>
    <w:rPr>
      <w:i/>
      <w:iCs/>
      <w:color w:val="0F4761" w:themeColor="accent1" w:themeShade="BF"/>
    </w:rPr>
  </w:style>
  <w:style w:type="character" w:styleId="IntenseReference">
    <w:name w:val="Intense Reference"/>
    <w:basedOn w:val="DefaultParagraphFont"/>
    <w:uiPriority w:val="32"/>
    <w:qFormat/>
    <w:rsid w:val="005C2DDB"/>
    <w:rPr>
      <w:b/>
      <w:bCs/>
      <w:smallCaps/>
      <w:color w:val="0F4761" w:themeColor="accent1" w:themeShade="BF"/>
      <w:spacing w:val="5"/>
    </w:rPr>
  </w:style>
  <w:style w:type="paragraph" w:styleId="Header">
    <w:name w:val="header"/>
    <w:basedOn w:val="Normal"/>
    <w:link w:val="HeaderChar"/>
    <w:uiPriority w:val="99"/>
    <w:unhideWhenUsed/>
    <w:rsid w:val="005C2D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DDB"/>
  </w:style>
  <w:style w:type="paragraph" w:styleId="Footer">
    <w:name w:val="footer"/>
    <w:basedOn w:val="Normal"/>
    <w:link w:val="FooterChar"/>
    <w:uiPriority w:val="99"/>
    <w:unhideWhenUsed/>
    <w:rsid w:val="005C2D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DDB"/>
  </w:style>
  <w:style w:type="character" w:styleId="Hyperlink">
    <w:name w:val="Hyperlink"/>
    <w:basedOn w:val="DefaultParagraphFont"/>
    <w:uiPriority w:val="99"/>
    <w:unhideWhenUsed/>
    <w:rsid w:val="005C2DDB"/>
    <w:rPr>
      <w:color w:val="467886" w:themeColor="hyperlink"/>
      <w:u w:val="single"/>
    </w:rPr>
  </w:style>
  <w:style w:type="character" w:customStyle="1" w:styleId="UnresolvedMention1">
    <w:name w:val="Unresolved Mention1"/>
    <w:basedOn w:val="DefaultParagraphFont"/>
    <w:uiPriority w:val="99"/>
    <w:semiHidden/>
    <w:unhideWhenUsed/>
    <w:rsid w:val="005C2DDB"/>
    <w:rPr>
      <w:color w:val="605E5C"/>
      <w:shd w:val="clear" w:color="auto" w:fill="E1DFDD"/>
    </w:rPr>
  </w:style>
  <w:style w:type="paragraph" w:styleId="FootnoteText">
    <w:name w:val="footnote text"/>
    <w:basedOn w:val="Normal"/>
    <w:link w:val="FootnoteTextChar"/>
    <w:uiPriority w:val="99"/>
    <w:unhideWhenUsed/>
    <w:rsid w:val="005C2DDB"/>
    <w:pPr>
      <w:spacing w:after="0" w:line="240" w:lineRule="auto"/>
    </w:pPr>
    <w:rPr>
      <w:sz w:val="20"/>
      <w:szCs w:val="20"/>
    </w:rPr>
  </w:style>
  <w:style w:type="character" w:customStyle="1" w:styleId="FootnoteTextChar">
    <w:name w:val="Footnote Text Char"/>
    <w:basedOn w:val="DefaultParagraphFont"/>
    <w:link w:val="FootnoteText"/>
    <w:uiPriority w:val="99"/>
    <w:rsid w:val="005C2DDB"/>
    <w:rPr>
      <w:sz w:val="20"/>
      <w:szCs w:val="20"/>
    </w:rPr>
  </w:style>
  <w:style w:type="character" w:styleId="FootnoteReference">
    <w:name w:val="footnote reference"/>
    <w:basedOn w:val="DefaultParagraphFont"/>
    <w:uiPriority w:val="99"/>
    <w:semiHidden/>
    <w:unhideWhenUsed/>
    <w:rsid w:val="005C2DDB"/>
    <w:rPr>
      <w:vertAlign w:val="superscript"/>
    </w:rPr>
  </w:style>
  <w:style w:type="character" w:styleId="FollowedHyperlink">
    <w:name w:val="FollowedHyperlink"/>
    <w:basedOn w:val="DefaultParagraphFont"/>
    <w:uiPriority w:val="99"/>
    <w:semiHidden/>
    <w:unhideWhenUsed/>
    <w:rsid w:val="00B15432"/>
    <w:rPr>
      <w:color w:val="96607D" w:themeColor="followedHyperlink"/>
      <w:u w:val="single"/>
    </w:rPr>
  </w:style>
  <w:style w:type="character" w:styleId="CommentReference">
    <w:name w:val="annotation reference"/>
    <w:basedOn w:val="DefaultParagraphFont"/>
    <w:uiPriority w:val="99"/>
    <w:semiHidden/>
    <w:unhideWhenUsed/>
    <w:rsid w:val="00B15432"/>
    <w:rPr>
      <w:sz w:val="16"/>
      <w:szCs w:val="16"/>
    </w:rPr>
  </w:style>
  <w:style w:type="paragraph" w:styleId="CommentText">
    <w:name w:val="annotation text"/>
    <w:basedOn w:val="Normal"/>
    <w:link w:val="CommentTextChar"/>
    <w:uiPriority w:val="99"/>
    <w:unhideWhenUsed/>
    <w:rsid w:val="00B15432"/>
    <w:pPr>
      <w:spacing w:line="240" w:lineRule="auto"/>
    </w:pPr>
    <w:rPr>
      <w:sz w:val="20"/>
      <w:szCs w:val="20"/>
    </w:rPr>
  </w:style>
  <w:style w:type="character" w:customStyle="1" w:styleId="CommentTextChar">
    <w:name w:val="Comment Text Char"/>
    <w:basedOn w:val="DefaultParagraphFont"/>
    <w:link w:val="CommentText"/>
    <w:uiPriority w:val="99"/>
    <w:rsid w:val="00B15432"/>
    <w:rPr>
      <w:sz w:val="20"/>
      <w:szCs w:val="20"/>
    </w:rPr>
  </w:style>
  <w:style w:type="paragraph" w:styleId="CommentSubject">
    <w:name w:val="annotation subject"/>
    <w:basedOn w:val="CommentText"/>
    <w:next w:val="CommentText"/>
    <w:link w:val="CommentSubjectChar"/>
    <w:uiPriority w:val="99"/>
    <w:semiHidden/>
    <w:unhideWhenUsed/>
    <w:rsid w:val="00B15432"/>
    <w:rPr>
      <w:b/>
      <w:bCs/>
    </w:rPr>
  </w:style>
  <w:style w:type="character" w:customStyle="1" w:styleId="CommentSubjectChar">
    <w:name w:val="Comment Subject Char"/>
    <w:basedOn w:val="CommentTextChar"/>
    <w:link w:val="CommentSubject"/>
    <w:uiPriority w:val="99"/>
    <w:semiHidden/>
    <w:rsid w:val="00B15432"/>
    <w:rPr>
      <w:b/>
      <w:bCs/>
      <w:sz w:val="20"/>
      <w:szCs w:val="20"/>
    </w:rPr>
  </w:style>
  <w:style w:type="character" w:styleId="Strong">
    <w:name w:val="Strong"/>
    <w:basedOn w:val="DefaultParagraphFont"/>
    <w:uiPriority w:val="22"/>
    <w:qFormat/>
    <w:rsid w:val="00202A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58F3D-D06D-43EE-B470-9F37201E7C78}">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CYM0160</dc:title>
  <cp:revision>0</cp:revision>
</cp:coreProperties>
</file>