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47E91" w:rsidRPr="0002431E">
      <w:pPr>
        <w:rPr>
          <w:rFonts w:ascii="Calibri" w:hAnsi="Calibri" w:cs="Calibri"/>
        </w:rPr>
      </w:pPr>
    </w:p>
    <w:p w:rsidR="00A47E91" w:rsidRPr="0002431E" w:rsidP="00721D19">
      <w:pPr>
        <w:jc w:val="center"/>
        <w:rPr>
          <w:rFonts w:ascii="Calibri" w:hAnsi="Calibri" w:cs="Calibri"/>
        </w:rPr>
      </w:pPr>
      <w:r w:rsidRPr="00721D19">
        <w:rPr>
          <w:rFonts w:ascii="Calibri" w:hAnsi="Calibri" w:cs="Calibri"/>
          <w:lang w:val="en-US"/>
        </w:rPr>
        <w:t>Written Evidence Submitted by Dr Rebecca Appleton, Professor Sonia Johnson &amp; Professor Bryn Lloyd-Evans (CYM0159)</w:t>
      </w:r>
    </w:p>
    <w:p w:rsidR="00A47E91" w:rsidRPr="0002431E">
      <w:pPr>
        <w:rPr>
          <w:rFonts w:ascii="Calibri" w:hAnsi="Calibri" w:cs="Calibri"/>
        </w:rPr>
      </w:pPr>
    </w:p>
    <w:p w:rsidR="00A47E91" w:rsidRPr="0002431E">
      <w:pPr>
        <w:rPr>
          <w:rFonts w:ascii="Calibri" w:hAnsi="Calibri" w:cs="Calibri"/>
        </w:rPr>
      </w:pPr>
    </w:p>
    <w:p w:rsidR="00E10CE5" w:rsidRPr="0002431E">
      <w:pPr>
        <w:rPr>
          <w:rFonts w:ascii="Calibri" w:hAnsi="Calibri" w:cs="Calibri"/>
        </w:rPr>
      </w:pPr>
      <w:r>
        <w:rPr>
          <w:rFonts w:ascii="Calibri" w:hAnsi="Calibri" w:cs="Calibri"/>
        </w:rPr>
        <w:t>S</w:t>
      </w:r>
      <w:r w:rsidRPr="0002431E">
        <w:rPr>
          <w:rFonts w:ascii="Calibri" w:hAnsi="Calibri" w:cs="Calibri"/>
        </w:rPr>
        <w:t>ubmitted by: Dr Becky Appleton, NIHR Fellow, Division of Psychiatry, University College London. Lead of national evaluation of Early Support Hubs and expert in youth mental health.</w:t>
      </w:r>
    </w:p>
    <w:p w:rsidR="00E10CE5" w:rsidRPr="0002431E" w:rsidP="54F30D2B">
      <w:pPr>
        <w:rPr>
          <w:rFonts w:ascii="Calibri" w:hAnsi="Calibri" w:cs="Calibri"/>
        </w:rPr>
      </w:pPr>
      <w:r w:rsidRPr="0002431E">
        <w:rPr>
          <w:rFonts w:ascii="Calibri" w:hAnsi="Calibri" w:cs="Calibri"/>
        </w:rPr>
        <w:t>Prof Sonia Johnson and Prof Bryn Lloyd-Evans, NIHR Policy Research Unit in Mental Health, Division of Psychiatry, University College London</w:t>
      </w:r>
    </w:p>
    <w:p w:rsidR="00E10CE5" w:rsidRPr="0002431E" w:rsidP="212A1107">
      <w:pPr>
        <w:rPr>
          <w:rFonts w:ascii="Calibri" w:hAnsi="Calibri" w:cs="Calibri"/>
          <w:i/>
          <w:iCs/>
        </w:rPr>
      </w:pPr>
      <w:r w:rsidRPr="0002431E">
        <w:rPr>
          <w:rFonts w:ascii="Calibri" w:hAnsi="Calibri" w:cs="Calibri"/>
          <w:i/>
          <w:iCs/>
        </w:rPr>
        <w:t xml:space="preserve">This work is based on our work in the NIHR Policy Research Unit in Mental Health and in other research studies in the public domain. The views expressed are our own only and not of those who have funded or commissioned our research. </w:t>
      </w:r>
    </w:p>
    <w:p w:rsidR="00E10CE5" w:rsidRPr="0002431E">
      <w:pPr>
        <w:rPr>
          <w:rFonts w:ascii="Calibri" w:hAnsi="Calibri" w:cs="Calibri"/>
          <w:b/>
          <w:bCs/>
        </w:rPr>
      </w:pPr>
      <w:r w:rsidRPr="0002431E">
        <w:rPr>
          <w:rFonts w:ascii="Calibri" w:hAnsi="Calibri" w:cs="Calibri"/>
          <w:b/>
          <w:bCs/>
        </w:rPr>
        <w:t>What opportunities are there to provide mental health support for children and young people through community-based approaches?</w:t>
      </w:r>
    </w:p>
    <w:p w:rsidR="00E10CE5" w:rsidRPr="0002431E">
      <w:pPr>
        <w:rPr>
          <w:rFonts w:ascii="Calibri" w:hAnsi="Calibri" w:cs="Calibri"/>
        </w:rPr>
      </w:pPr>
      <w:r w:rsidRPr="0002431E">
        <w:rPr>
          <w:rFonts w:ascii="Calibri" w:hAnsi="Calibri" w:cs="Calibri"/>
        </w:rPr>
        <w:t>We reviewed international evidence to identify innovative approaches to early community-based support for young people with symptoms of common mental health problems such as depression and anxiety (Appleton et al., 2025). The approaches that we found broadly aimed to make the early response to the onset of symptoms more prompt, comprehensive and effective. The primary goals of these approaches could be categorised as either (1) making care more comprehensive and joined up, (2) increasing speed or ease of access to support or (3) providing targeted support for specific needs in addition to anxiety and depression. Examples included: offering open-access holistic support for young people at a very early stage of experiencing symptoms, collaborative care (where different professionals work together to support young people), integrating mental health support into community and sports organisations, and combining mental health support with additional help for other needs (e.g. substance misuse or housing problems). The types of services varied, but included community mental health organisations, often with multidisciplinary teams made of different professionals.</w:t>
      </w:r>
    </w:p>
    <w:p w:rsidR="00E10CE5" w:rsidRPr="0002431E">
      <w:pPr>
        <w:rPr>
          <w:rFonts w:ascii="Calibri" w:hAnsi="Calibri" w:cs="Calibri"/>
        </w:rPr>
      </w:pPr>
      <w:r w:rsidRPr="0002431E">
        <w:rPr>
          <w:rFonts w:ascii="Calibri" w:hAnsi="Calibri" w:cs="Calibri"/>
        </w:rPr>
        <w:t>Findings showed that several approaches may facilitate access to support and reduce waiting times in the short-term. Significant improvements in mental health and wellbeing compared to controls were also reported across most studies that had comparator groups. Young people also reported positive experiences of the various approaches to early intervention across the included studies. However, it is important to note that only two of the included studies (and none of the trials) were conducted in the UK.</w:t>
      </w:r>
    </w:p>
    <w:p w:rsidR="00E10CE5" w:rsidRPr="0002431E" w:rsidP="54F30D2B">
      <w:pPr>
        <w:rPr>
          <w:rFonts w:ascii="Calibri" w:hAnsi="Calibri" w:cs="Calibri"/>
        </w:rPr>
      </w:pPr>
      <w:r w:rsidRPr="0002431E">
        <w:rPr>
          <w:rFonts w:ascii="Calibri" w:hAnsi="Calibri" w:cs="Calibri"/>
        </w:rPr>
        <w:t xml:space="preserve">Early Support Hubs are an innovative model in England, which aim to provide easy access, community-based mental health and wellbeing support for young people. 24 Hubs received additional funding from the DHSC to improve their mental health offer and took part in our evaluation. In our interviews with staff and young people, we found that Hubs navigate the system for young people via referrals &amp; signposting (e.g. CAMHS, MHSTs, Crisis Team or GPs). They advocate for the young person, helping them pursue the care and support they require. However, we need stronger evidence about what support is provided to whom, and the potential and perceived impacts for young people. Similar international models include Jigsaw in Ireland and headspace in Australia. Evidence suggests these services are effective in being able to reduce psychological distress and improve psychosocial functioning (Rickwood et al., 2023; O’Keeffe et al., 2015). </w:t>
      </w:r>
      <w:r w:rsidRPr="0002431E">
        <w:rPr>
          <w:rFonts w:ascii="Calibri" w:hAnsi="Calibri" w:cs="Calibri"/>
        </w:rPr>
        <w:t>However</w:t>
      </w:r>
      <w:r w:rsidRPr="0002431E">
        <w:rPr>
          <w:rFonts w:ascii="Calibri" w:hAnsi="Calibri" w:cs="Calibri"/>
        </w:rPr>
        <w:t xml:space="preserve"> there is a lack of robust evidence from controlled studies which compare outcomes from young people who did and did not receive support.</w:t>
      </w:r>
    </w:p>
    <w:p w:rsidR="00E10CE5" w:rsidRPr="0002431E" w:rsidP="00DA1B93">
      <w:pPr>
        <w:numPr>
          <w:ilvl w:val="0"/>
          <w:numId w:val="13"/>
        </w:numPr>
        <w:rPr>
          <w:rFonts w:ascii="Calibri" w:hAnsi="Calibri" w:cs="Calibri"/>
          <w:b/>
          <w:bCs/>
        </w:rPr>
      </w:pPr>
      <w:r w:rsidRPr="0002431E">
        <w:rPr>
          <w:rFonts w:ascii="Calibri" w:hAnsi="Calibri" w:cs="Calibri"/>
          <w:b/>
          <w:bCs/>
        </w:rPr>
        <w:t>What mental health support should be available through Young Futures Hubs, and how should these hubs connect with other local services? </w:t>
      </w:r>
    </w:p>
    <w:p w:rsidR="00E10CE5" w:rsidRPr="0002431E" w:rsidP="001E1A5C">
      <w:pPr>
        <w:ind w:left="360"/>
        <w:rPr>
          <w:rFonts w:ascii="Calibri" w:hAnsi="Calibri" w:cs="Calibri"/>
        </w:rPr>
      </w:pPr>
      <w:r w:rsidRPr="0002431E">
        <w:rPr>
          <w:rFonts w:ascii="Calibri" w:hAnsi="Calibri" w:cs="Calibri"/>
        </w:rPr>
        <w:t>Interviews we have conducted with staff teams at Early Support Hubs, which work with a wide range of young people rather than specifically those at risk of serious violence, suggest that some managers and staff anticipate challenges in meeting the needs simultaneously of young people at risk of serious violence (SYV) and those with common mental health problems such as anxiety and depression. Both groups have different needs, and it may be difficult to provide a comprehensive service to both groups simultaneously. Young people at risk of SYV often have additional needs and have experienced adverse childhood events or trauma, which require more specialist expertise from staff working within these services. A qualitative study from our group suggests that teams working with this population need to be proactive and patient in building trusting relationships over an extended period, rather than only providing brief contacts with young people (Asiedu-Addo et al., in prep). Other important considerations include:</w:t>
      </w:r>
    </w:p>
    <w:p w:rsidR="00E10CE5" w:rsidRPr="0002431E" w:rsidP="000074F4">
      <w:pPr>
        <w:pStyle w:val="ListParagraph"/>
        <w:numPr>
          <w:ilvl w:val="0"/>
          <w:numId w:val="3"/>
        </w:numPr>
        <w:rPr>
          <w:rFonts w:ascii="Calibri" w:hAnsi="Calibri" w:cs="Calibri"/>
        </w:rPr>
      </w:pPr>
      <w:r w:rsidRPr="0002431E">
        <w:rPr>
          <w:rFonts w:ascii="Calibri" w:hAnsi="Calibri" w:cs="Calibri"/>
        </w:rPr>
        <w:t>Building up a trusting relationship with staff is crucial for young people with SYV and takes time - so opportunities for sustained contact, good continuity of staff, and non-clinical spaces to focus on relational care are all important.</w:t>
      </w:r>
    </w:p>
    <w:p w:rsidR="00E10CE5" w:rsidRPr="0002431E" w:rsidP="000074F4">
      <w:pPr>
        <w:pStyle w:val="ListParagraph"/>
        <w:numPr>
          <w:ilvl w:val="0"/>
          <w:numId w:val="3"/>
        </w:numPr>
        <w:rPr>
          <w:rFonts w:ascii="Calibri" w:hAnsi="Calibri" w:cs="Calibri"/>
        </w:rPr>
      </w:pPr>
      <w:r w:rsidRPr="0002431E">
        <w:rPr>
          <w:rFonts w:ascii="Calibri" w:hAnsi="Calibri" w:cs="Calibri"/>
        </w:rPr>
        <w:t xml:space="preserve">Staff who can provide a </w:t>
      </w:r>
      <w:r w:rsidRPr="0002431E">
        <w:rPr>
          <w:rFonts w:ascii="Calibri" w:hAnsi="Calibri" w:cs="Calibri"/>
        </w:rPr>
        <w:t>psychologically-informed</w:t>
      </w:r>
      <w:r w:rsidRPr="0002431E">
        <w:rPr>
          <w:rFonts w:ascii="Calibri" w:hAnsi="Calibri" w:cs="Calibri"/>
        </w:rPr>
        <w:t xml:space="preserve"> and trauma-informed approach to care are valuable, even when not delivering formal psychological therapy.</w:t>
      </w:r>
    </w:p>
    <w:p w:rsidR="00E10CE5" w:rsidRPr="0002431E" w:rsidP="000074F4">
      <w:pPr>
        <w:pStyle w:val="ListParagraph"/>
        <w:numPr>
          <w:ilvl w:val="0"/>
          <w:numId w:val="3"/>
        </w:numPr>
        <w:rPr>
          <w:rFonts w:ascii="Calibri" w:hAnsi="Calibri" w:cs="Calibri"/>
        </w:rPr>
      </w:pPr>
      <w:r w:rsidRPr="0002431E">
        <w:rPr>
          <w:rFonts w:ascii="Calibri" w:hAnsi="Calibri" w:cs="Calibri"/>
        </w:rPr>
        <w:t xml:space="preserve">Young people get involved in SYV in the context of multiple social challenges. Support with poverty, education and employment are valuable. Young people involved in SYV need help to imagine a different, more positive future - not an exclusive focus on their involvement in violence. </w:t>
      </w:r>
    </w:p>
    <w:p w:rsidR="00E10CE5" w:rsidRPr="0002431E" w:rsidP="212A1107">
      <w:pPr>
        <w:pStyle w:val="ListParagraph"/>
        <w:numPr>
          <w:ilvl w:val="0"/>
          <w:numId w:val="3"/>
        </w:numPr>
        <w:rPr>
          <w:rFonts w:ascii="Calibri" w:hAnsi="Calibri" w:cs="Calibri"/>
        </w:rPr>
      </w:pPr>
      <w:r w:rsidRPr="0002431E">
        <w:rPr>
          <w:rFonts w:ascii="Calibri" w:hAnsi="Calibri" w:cs="Calibri"/>
        </w:rPr>
        <w:t>Young people involved in SYV often find mental health services inaccessible and inflexible: support from staff with whom they do have a relationship of trust to "form a bridge" to other services can be crucial.</w:t>
      </w:r>
    </w:p>
    <w:p w:rsidR="00E10CE5" w:rsidRPr="0002431E" w:rsidP="00E11CC2">
      <w:pPr>
        <w:rPr>
          <w:rFonts w:ascii="Calibri" w:hAnsi="Calibri" w:cs="Calibri"/>
        </w:rPr>
      </w:pPr>
    </w:p>
    <w:p w:rsidR="00E10CE5" w:rsidRPr="0002431E" w:rsidP="00E11CC2">
      <w:pPr>
        <w:rPr>
          <w:rFonts w:ascii="Calibri" w:hAnsi="Calibri" w:cs="Calibri"/>
        </w:rPr>
      </w:pPr>
    </w:p>
    <w:p w:rsidR="00E10CE5" w:rsidRPr="0002431E" w:rsidP="00DA1B93">
      <w:pPr>
        <w:numPr>
          <w:ilvl w:val="0"/>
          <w:numId w:val="13"/>
        </w:numPr>
        <w:rPr>
          <w:rFonts w:ascii="Calibri" w:hAnsi="Calibri" w:cs="Calibri"/>
          <w:b/>
          <w:bCs/>
        </w:rPr>
      </w:pPr>
      <w:r w:rsidRPr="0002431E">
        <w:rPr>
          <w:rFonts w:ascii="Calibri" w:hAnsi="Calibri" w:cs="Calibri"/>
          <w:b/>
          <w:bCs/>
        </w:rPr>
        <w:t>How can the Government maximise the impact that Early Support Hubs have in meeting children and young people’s mental health needs? </w:t>
      </w:r>
    </w:p>
    <w:p w:rsidR="00E10CE5" w:rsidRPr="0002431E" w:rsidP="00295C3B">
      <w:pPr>
        <w:ind w:left="360"/>
        <w:rPr>
          <w:rFonts w:ascii="Calibri" w:hAnsi="Calibri" w:cs="Calibri"/>
        </w:rPr>
      </w:pPr>
      <w:r w:rsidRPr="0002431E">
        <w:rPr>
          <w:rFonts w:ascii="Calibri" w:hAnsi="Calibri" w:cs="Calibri"/>
        </w:rPr>
        <w:t>Currently, not all areas have an Early Support Hub, and the extent to which services are accessible to all young people in their local area varies across the country. For example, some Hubs have a central base and operate a ‘hub and spoke’ model to reach young people in more rural areas. However, not all Hubs have the resources for such outreach, and instead require all young people to travel to their service, which can be difficult in large rural counties. Relatedly, Hubs could maximise their impact by focusing more on improving access and outreach, especially to groups at risk of exclusion. In our interviews with Hub managers and staff, participants spoke of the importance of outreach work, but identified resource barriers to conducting this effectively.</w:t>
      </w:r>
    </w:p>
    <w:p w:rsidR="00E10CE5" w:rsidRPr="0002431E" w:rsidP="00295C3B">
      <w:pPr>
        <w:ind w:left="360"/>
        <w:rPr>
          <w:rFonts w:ascii="Calibri" w:hAnsi="Calibri" w:cs="Calibri"/>
        </w:rPr>
      </w:pPr>
      <w:r w:rsidRPr="0002431E">
        <w:rPr>
          <w:rFonts w:ascii="Calibri" w:hAnsi="Calibri" w:cs="Calibri"/>
        </w:rPr>
        <w:t>Additionally, there are challenges about addressing the needs of young people in crisis, or those with more severe and complex conditions often requiring specialist treatment (e.g. psychosis, bipolar). Staff we spoke to had differing views on how far to work with them (sometimes while they were waiting for other provision) and when to refer them on. We found that Hubs are focusing on lower-intensity mental health support such as counselling, rather than providing evidence-based psychological therapies (Couchman et al., 2025). This could be partially explained by budget constraints, with qualified CBT therapists and clinical psychologists costing significantly more to employ, but it may limit their ability to contribute to providing NICE-recommended care for young people mental health conditions. If Hubs were able to offer psychological therapy in addition to counselling and other social support, they may be able to better support young people who do not meet thresholds for care at CAMHS. Prescribing for mental health conditions is not usually part of their offer.</w:t>
      </w:r>
    </w:p>
    <w:p w:rsidR="00E10CE5" w:rsidRPr="0002431E" w:rsidP="00DA1B93">
      <w:pPr>
        <w:numPr>
          <w:ilvl w:val="0"/>
          <w:numId w:val="13"/>
        </w:numPr>
        <w:rPr>
          <w:rFonts w:ascii="Calibri" w:hAnsi="Calibri" w:cs="Calibri"/>
          <w:b/>
          <w:bCs/>
        </w:rPr>
      </w:pPr>
      <w:r w:rsidRPr="0002431E">
        <w:rPr>
          <w:rFonts w:ascii="Calibri" w:hAnsi="Calibri" w:cs="Calibri"/>
          <w:b/>
          <w:bCs/>
        </w:rPr>
        <w:t xml:space="preserve"> What regional and local variability is there in provision of open-access mental health support across the country and how can this be reduced? </w:t>
      </w:r>
    </w:p>
    <w:p w:rsidR="00E10CE5" w:rsidRPr="0002431E" w:rsidP="25617AF4">
      <w:pPr>
        <w:ind w:left="360"/>
        <w:rPr>
          <w:rFonts w:ascii="Calibri" w:hAnsi="Calibri" w:cs="Calibri"/>
        </w:rPr>
      </w:pPr>
      <w:r w:rsidRPr="0002431E">
        <w:rPr>
          <w:rFonts w:ascii="Calibri" w:hAnsi="Calibri" w:cs="Calibri"/>
        </w:rPr>
        <w:t xml:space="preserve">The types of support available at the 24 Hubs taking part in our evaluation varies considerably, with Hubs offering a combination of the following: social/recreational activities, counselling, support for specific groups (LGBTQ+, autistic, or bereaved CYP, young carers), drop-in advice sessions, signposting to other services. </w:t>
      </w:r>
    </w:p>
    <w:p w:rsidR="00E10CE5" w:rsidRPr="0002431E" w:rsidP="25617AF4">
      <w:pPr>
        <w:ind w:left="360"/>
        <w:rPr>
          <w:rFonts w:ascii="Calibri" w:hAnsi="Calibri" w:cs="Calibri"/>
        </w:rPr>
      </w:pPr>
      <w:r w:rsidRPr="0002431E">
        <w:rPr>
          <w:rFonts w:ascii="Calibri" w:hAnsi="Calibri" w:cs="Calibri"/>
        </w:rPr>
        <w:t>This is driven by several factors, including:</w:t>
      </w:r>
    </w:p>
    <w:p w:rsidR="00E10CE5" w:rsidRPr="0002431E" w:rsidP="403E3399">
      <w:pPr>
        <w:pStyle w:val="ListParagraph"/>
        <w:numPr>
          <w:ilvl w:val="0"/>
          <w:numId w:val="1"/>
        </w:numPr>
        <w:rPr>
          <w:rFonts w:ascii="Calibri" w:hAnsi="Calibri" w:cs="Calibri"/>
        </w:rPr>
      </w:pPr>
      <w:r w:rsidRPr="0002431E">
        <w:rPr>
          <w:rFonts w:ascii="Calibri" w:hAnsi="Calibri" w:cs="Calibri"/>
        </w:rPr>
        <w:t>Whether the Hub is part of a larger organisation which provides other types of support for young people (e.g. therapy) - if so, this can help young people quickly get other relevant support.</w:t>
      </w:r>
    </w:p>
    <w:p w:rsidR="00E10CE5" w:rsidRPr="0002431E" w:rsidP="403E3399">
      <w:pPr>
        <w:pStyle w:val="ListParagraph"/>
        <w:numPr>
          <w:ilvl w:val="0"/>
          <w:numId w:val="1"/>
        </w:numPr>
        <w:rPr>
          <w:rFonts w:ascii="Calibri" w:hAnsi="Calibri" w:cs="Calibri"/>
        </w:rPr>
      </w:pPr>
      <w:r w:rsidRPr="0002431E">
        <w:rPr>
          <w:rFonts w:ascii="Calibri" w:hAnsi="Calibri" w:cs="Calibri"/>
        </w:rPr>
        <w:t>Whether the Hub has close links with other organisations in their area, such as CAMHS or MHSTs in schools – this facilitates referrals between services.</w:t>
      </w:r>
    </w:p>
    <w:p w:rsidR="00E10CE5" w:rsidRPr="0002431E" w:rsidP="403E3399">
      <w:pPr>
        <w:pStyle w:val="ListParagraph"/>
        <w:numPr>
          <w:ilvl w:val="0"/>
          <w:numId w:val="1"/>
        </w:numPr>
        <w:rPr>
          <w:rFonts w:ascii="Calibri" w:hAnsi="Calibri" w:cs="Calibri"/>
        </w:rPr>
      </w:pPr>
      <w:r w:rsidRPr="0002431E">
        <w:rPr>
          <w:rFonts w:ascii="Calibri" w:hAnsi="Calibri" w:cs="Calibri"/>
        </w:rPr>
        <w:t>The ‘ethos’ of the Hub – whether they view themselves as providing a service which primarily focuses on prevention or very early interventions of mental health problems, or a service which can offer support once substantial symptoms have emerged.</w:t>
      </w:r>
    </w:p>
    <w:p w:rsidR="00E10CE5" w:rsidRPr="0002431E" w:rsidP="403E3399">
      <w:pPr>
        <w:pStyle w:val="ListParagraph"/>
        <w:numPr>
          <w:ilvl w:val="0"/>
          <w:numId w:val="1"/>
        </w:numPr>
        <w:rPr>
          <w:rFonts w:ascii="Calibri" w:hAnsi="Calibri" w:cs="Calibri"/>
        </w:rPr>
      </w:pPr>
      <w:r w:rsidRPr="0002431E">
        <w:rPr>
          <w:rFonts w:ascii="Calibri" w:hAnsi="Calibri" w:cs="Calibri"/>
        </w:rPr>
        <w:t>The resources available (including building space, staff expertise, funding).</w:t>
      </w:r>
    </w:p>
    <w:p w:rsidR="00E10CE5" w:rsidRPr="0002431E" w:rsidP="003E5E12">
      <w:pPr>
        <w:ind w:left="360"/>
        <w:rPr>
          <w:rFonts w:ascii="Calibri" w:hAnsi="Calibri" w:cs="Calibri"/>
        </w:rPr>
      </w:pPr>
      <w:r w:rsidRPr="0002431E">
        <w:rPr>
          <w:rFonts w:ascii="Calibri" w:hAnsi="Calibri" w:cs="Calibri"/>
        </w:rPr>
        <w:t xml:space="preserve">Managers spoke of the need to balance having a national blueprint specifying what Hubs should provide with flexibility to enable Hubs to meet the specific needs of young people in their local communities. </w:t>
      </w:r>
    </w:p>
    <w:p w:rsidR="00E10CE5" w:rsidRPr="0002431E" w:rsidP="000074F4">
      <w:pPr>
        <w:ind w:left="360"/>
        <w:rPr>
          <w:rFonts w:ascii="Calibri" w:hAnsi="Calibri" w:cs="Calibri"/>
          <w:highlight w:val="yellow"/>
        </w:rPr>
      </w:pPr>
      <w:r w:rsidRPr="0002431E">
        <w:rPr>
          <w:rFonts w:ascii="Calibri" w:hAnsi="Calibri" w:cs="Calibri"/>
        </w:rPr>
        <w:t xml:space="preserve">Minimum service standards and guidance on successful operation of Early Support Hubs may be helpful, to ensure that all young people are able to access effective support. Youth Access have co-produced a </w:t>
      </w:r>
      <w:r>
        <w:fldChar w:fldCharType="begin"/>
      </w:r>
      <w:r>
        <w:instrText xml:space="preserve"> HYPERLINK "https://www.youthaccess.org.uk/quality-and-improvement-programme/relevant-resources/principles/youth-access-quality-framework" </w:instrText>
      </w:r>
      <w:r>
        <w:fldChar w:fldCharType="separate"/>
      </w:r>
      <w:r w:rsidRPr="0002431E">
        <w:rPr>
          <w:rStyle w:val="Hyperlink"/>
          <w:rFonts w:ascii="Calibri" w:hAnsi="Calibri" w:cs="Calibri"/>
          <w:color w:val="auto"/>
        </w:rPr>
        <w:t>quality framework</w:t>
      </w:r>
      <w:r>
        <w:fldChar w:fldCharType="end"/>
      </w:r>
      <w:r w:rsidRPr="0002431E">
        <w:rPr>
          <w:rFonts w:ascii="Calibri" w:hAnsi="Calibri" w:cs="Calibri"/>
        </w:rPr>
        <w:t xml:space="preserve"> for Early Support Hubs, which </w:t>
      </w:r>
      <w:r w:rsidRPr="0002431E">
        <w:rPr>
          <w:rFonts w:ascii="Calibri" w:hAnsi="Calibri" w:cs="Calibri"/>
        </w:rPr>
        <w:t>takes into account</w:t>
      </w:r>
      <w:r w:rsidRPr="0002431E">
        <w:rPr>
          <w:rFonts w:ascii="Calibri" w:hAnsi="Calibri" w:cs="Calibri"/>
        </w:rPr>
        <w:t xml:space="preserve"> the view of young people and other relevant experts. </w:t>
      </w:r>
    </w:p>
    <w:p w:rsidR="00E10CE5" w:rsidRPr="0002431E" w:rsidP="00DA1B93">
      <w:pPr>
        <w:rPr>
          <w:rFonts w:ascii="Calibri" w:hAnsi="Calibri" w:cs="Calibri"/>
        </w:rPr>
      </w:pPr>
    </w:p>
    <w:p w:rsidR="00E10CE5" w:rsidRPr="0002431E" w:rsidP="00DA1B93">
      <w:pPr>
        <w:rPr>
          <w:rFonts w:ascii="Calibri" w:hAnsi="Calibri" w:cs="Calibri"/>
          <w:b/>
          <w:bCs/>
        </w:rPr>
      </w:pPr>
      <w:r w:rsidRPr="0002431E">
        <w:rPr>
          <w:rFonts w:ascii="Calibri" w:hAnsi="Calibri" w:cs="Calibri"/>
          <w:b/>
          <w:bCs/>
        </w:rPr>
        <w:t>What factors are driving recent trends in children and young people’s mental health, and how have changes in service thresholds influenced both the presentation of need and access to early support? </w:t>
      </w:r>
    </w:p>
    <w:p w:rsidR="00E10CE5" w:rsidRPr="0002431E" w:rsidP="00DA1B93">
      <w:pPr>
        <w:rPr>
          <w:rFonts w:ascii="Calibri" w:hAnsi="Calibri" w:cs="Calibri"/>
        </w:rPr>
      </w:pPr>
      <w:r w:rsidRPr="0002431E">
        <w:rPr>
          <w:rFonts w:ascii="Calibri" w:hAnsi="Calibri" w:cs="Calibri"/>
        </w:rPr>
        <w:t>Current service thresholds risk young people falling through the gaps between services. Early Support Hubs tend to offer early intervention and preventative mental health and wellbeing support, through youth work, advice sessions and counselling. If a young person presents with more severe symptoms of anxiety or depression, or alternative disorders such as OCD or psychosis, then Hub staff may not have the necessary skills or training to support them. Hubs generally do not offer the recommended ‘evidence-based’ interventions, including CBT or family therapy. Therefore, these young people may be more suited to received support from CAMHS, or adult mental health services (AMHS) if over 18.</w:t>
      </w:r>
    </w:p>
    <w:p w:rsidR="00E10CE5" w:rsidRPr="0002431E" w:rsidP="25617AF4">
      <w:pPr>
        <w:rPr>
          <w:rFonts w:ascii="Calibri" w:hAnsi="Calibri" w:cs="Calibri"/>
        </w:rPr>
      </w:pPr>
      <w:r w:rsidRPr="0002431E">
        <w:rPr>
          <w:rFonts w:ascii="Calibri" w:hAnsi="Calibri" w:cs="Calibri"/>
        </w:rPr>
        <w:t xml:space="preserve">However, due to higher thresholds for CAMHS and longer waiting lists, young people whose symptoms are judged to be ‘too severe’ for community-based services such as Early Support Hubs, may also not be viewed as ‘ill enough’ to receive support at CAMHS or AMHS. This gap in services has also been identified at the transition boundary, once young people age out of CAMHS, when they may be told that they do not meet the thresholds for adult services, but are ‘too ill’ for other community-based support (Appleton et al., 2021). The thresholds for AMHS are even higher than for CAMHS, which can be an additional barrier to providing early support (Tuomainen et al., in press). </w:t>
      </w:r>
    </w:p>
    <w:p w:rsidR="00E10CE5" w:rsidRPr="0002431E" w:rsidP="25617AF4">
      <w:pPr>
        <w:rPr>
          <w:rFonts w:ascii="Calibri" w:hAnsi="Calibri" w:cs="Calibri"/>
        </w:rPr>
      </w:pPr>
    </w:p>
    <w:p w:rsidR="00E10CE5" w:rsidRPr="0002431E" w:rsidP="25617AF4">
      <w:pPr>
        <w:rPr>
          <w:rFonts w:ascii="Calibri" w:hAnsi="Calibri" w:cs="Calibri"/>
        </w:rPr>
      </w:pPr>
    </w:p>
    <w:p w:rsidR="00E10CE5" w:rsidRPr="0002431E" w:rsidP="00DA1B93">
      <w:pPr>
        <w:rPr>
          <w:rFonts w:ascii="Calibri" w:hAnsi="Calibri" w:cs="Calibri"/>
          <w:b/>
          <w:bCs/>
        </w:rPr>
      </w:pPr>
      <w:r w:rsidRPr="0002431E">
        <w:rPr>
          <w:rFonts w:ascii="Calibri" w:hAnsi="Calibri" w:cs="Calibri"/>
          <w:b/>
          <w:bCs/>
        </w:rPr>
        <w:t>What evidence is there that effective delivery of mental health support for children and young people in education settings and open-access provision reduces demand on CAMHS and acute NHS services? </w:t>
      </w:r>
    </w:p>
    <w:p w:rsidR="00E10CE5" w:rsidRPr="0002431E" w:rsidP="00DA1B93">
      <w:pPr>
        <w:rPr>
          <w:rFonts w:ascii="Calibri" w:hAnsi="Calibri" w:cs="Calibri"/>
        </w:rPr>
      </w:pPr>
      <w:r w:rsidRPr="0002431E">
        <w:rPr>
          <w:rFonts w:ascii="Calibri" w:hAnsi="Calibri" w:cs="Calibri"/>
        </w:rPr>
        <w:t xml:space="preserve">Our systematic review of international evidence found that approaches to improve early intervention could potentially decrease the burden on other mental health or emergency services. However, a large majority of relevant studies are from outside the UK and involve services that may include more involvement of mental health professionals than in Early Support Hubs (Appleton et al., 2025). </w:t>
      </w:r>
    </w:p>
    <w:p w:rsidR="00E10CE5" w:rsidRPr="0002431E" w:rsidP="00DA1B93">
      <w:pPr>
        <w:rPr>
          <w:rFonts w:ascii="Calibri" w:hAnsi="Calibri" w:cs="Calibri"/>
        </w:rPr>
      </w:pPr>
      <w:r w:rsidRPr="0002431E">
        <w:rPr>
          <w:rFonts w:ascii="Calibri" w:hAnsi="Calibri" w:cs="Calibri"/>
        </w:rPr>
        <w:t>We do not at present have evidence from the evaluation of Early Support Hubs as to whether they reduce pressures on CAMHS. Hubs are supporting young people with lower levels of mental health need, who are therefore a different population to those who are the main target group for CAMHS. However, staff and service users describe ways of working that have potential to take pressure of the services, for example by intervening early to prevent young people’s mental health deteriorating further and eventually requiring CAMHS support.</w:t>
      </w:r>
    </w:p>
    <w:p w:rsidR="00E10CE5" w:rsidRPr="0002431E">
      <w:pPr>
        <w:rPr>
          <w:rFonts w:ascii="Calibri" w:hAnsi="Calibri" w:cs="Calibri"/>
        </w:rPr>
      </w:pPr>
    </w:p>
    <w:p w:rsidR="00E10CE5" w:rsidRPr="0002431E" w:rsidP="00DA1B93">
      <w:pPr>
        <w:numPr>
          <w:ilvl w:val="0"/>
          <w:numId w:val="14"/>
        </w:numPr>
        <w:rPr>
          <w:rFonts w:ascii="Calibri" w:hAnsi="Calibri" w:cs="Calibri"/>
          <w:b/>
          <w:bCs/>
        </w:rPr>
      </w:pPr>
      <w:r w:rsidRPr="0002431E">
        <w:rPr>
          <w:rFonts w:ascii="Calibri" w:hAnsi="Calibri" w:cs="Calibri"/>
          <w:b/>
          <w:bCs/>
        </w:rPr>
        <w:t>How could pathways be improved to increase the continuity of support available to children and young people underserved by current provision?</w:t>
      </w:r>
    </w:p>
    <w:p w:rsidR="00E10CE5" w:rsidRPr="0002431E" w:rsidP="00506D9F">
      <w:pPr>
        <w:ind w:left="360"/>
        <w:rPr>
          <w:rFonts w:ascii="Calibri" w:hAnsi="Calibri" w:cs="Calibri"/>
        </w:rPr>
      </w:pPr>
      <w:r w:rsidRPr="0002431E">
        <w:rPr>
          <w:rFonts w:ascii="Calibri" w:hAnsi="Calibri" w:cs="Calibri"/>
        </w:rPr>
        <w:t xml:space="preserve">In our interviews with managers, staff and young people across different Early Support Hubs, we identified the following barriers and facilitators to access: </w:t>
      </w:r>
    </w:p>
    <w:p w:rsidR="00E10CE5" w:rsidRPr="0002431E" w:rsidP="000074F4">
      <w:pPr>
        <w:ind w:left="360"/>
        <w:rPr>
          <w:rFonts w:ascii="Calibri" w:eastAsia="Aptos" w:hAnsi="Calibri" w:cs="Calibri"/>
          <w:lang w:val="en-US"/>
        </w:rPr>
      </w:pPr>
      <w:r w:rsidRPr="0002431E">
        <w:rPr>
          <w:rFonts w:ascii="Calibri" w:eastAsia="Aptos" w:hAnsi="Calibri" w:cs="Calibri"/>
          <w:lang w:val="en-US"/>
        </w:rPr>
        <w:t xml:space="preserve">Barriers to access &amp; engagement: </w:t>
      </w:r>
    </w:p>
    <w:p w:rsidR="00E10CE5" w:rsidRPr="0002431E" w:rsidP="000074F4">
      <w:pPr>
        <w:numPr>
          <w:ilvl w:val="2"/>
          <w:numId w:val="9"/>
        </w:numPr>
        <w:spacing w:after="0"/>
        <w:rPr>
          <w:rFonts w:ascii="Calibri" w:eastAsia="Aptos" w:hAnsi="Calibri" w:cs="Calibri"/>
          <w:lang w:val="en-US"/>
        </w:rPr>
      </w:pPr>
      <w:r w:rsidRPr="0002431E">
        <w:rPr>
          <w:rFonts w:ascii="Calibri" w:eastAsia="Aptos" w:hAnsi="Calibri" w:cs="Calibri"/>
          <w:lang w:val="en-US"/>
        </w:rPr>
        <w:t>Rural location of Hubs.</w:t>
      </w:r>
    </w:p>
    <w:p w:rsidR="00E10CE5" w:rsidRPr="0002431E" w:rsidP="000074F4">
      <w:pPr>
        <w:numPr>
          <w:ilvl w:val="2"/>
          <w:numId w:val="9"/>
        </w:numPr>
        <w:spacing w:after="0"/>
        <w:rPr>
          <w:rFonts w:ascii="Calibri" w:eastAsia="Aptos" w:hAnsi="Calibri" w:cs="Calibri"/>
          <w:lang w:val="en-US"/>
        </w:rPr>
      </w:pPr>
      <w:r w:rsidRPr="0002431E">
        <w:rPr>
          <w:rFonts w:ascii="Calibri" w:eastAsia="Aptos" w:hAnsi="Calibri" w:cs="Calibri"/>
          <w:lang w:val="en-US"/>
        </w:rPr>
        <w:t>Language barriers: non-English speakers.</w:t>
      </w:r>
    </w:p>
    <w:p w:rsidR="00E10CE5" w:rsidRPr="0002431E" w:rsidP="000074F4">
      <w:pPr>
        <w:numPr>
          <w:ilvl w:val="2"/>
          <w:numId w:val="9"/>
        </w:numPr>
        <w:spacing w:after="0"/>
        <w:rPr>
          <w:rFonts w:ascii="Calibri" w:eastAsia="Aptos" w:hAnsi="Calibri" w:cs="Calibri"/>
          <w:lang w:val="en-US"/>
        </w:rPr>
      </w:pPr>
      <w:r w:rsidRPr="0002431E">
        <w:rPr>
          <w:rFonts w:ascii="Calibri" w:eastAsia="Aptos" w:hAnsi="Calibri" w:cs="Calibri"/>
          <w:lang w:val="en-US"/>
        </w:rPr>
        <w:t>Ethnic minority backgrounds or refugee backgrounds.</w:t>
      </w:r>
    </w:p>
    <w:p w:rsidR="00E10CE5" w:rsidRPr="0002431E" w:rsidP="000074F4">
      <w:pPr>
        <w:numPr>
          <w:ilvl w:val="2"/>
          <w:numId w:val="9"/>
        </w:numPr>
        <w:spacing w:after="0"/>
        <w:rPr>
          <w:rFonts w:ascii="Calibri" w:eastAsia="Aptos" w:hAnsi="Calibri" w:cs="Calibri"/>
          <w:lang w:val="en-US"/>
        </w:rPr>
      </w:pPr>
      <w:r w:rsidRPr="0002431E">
        <w:rPr>
          <w:rFonts w:ascii="Calibri" w:eastAsia="Aptos" w:hAnsi="Calibri" w:cs="Calibri"/>
          <w:lang w:val="en-US"/>
        </w:rPr>
        <w:t>(Social) anxiety making it difficult to take advantage of the Hub offer.</w:t>
      </w:r>
    </w:p>
    <w:p w:rsidR="00E10CE5" w:rsidRPr="0002431E" w:rsidP="000074F4">
      <w:pPr>
        <w:numPr>
          <w:ilvl w:val="2"/>
          <w:numId w:val="9"/>
        </w:numPr>
        <w:spacing w:after="0"/>
        <w:rPr>
          <w:rFonts w:ascii="Calibri" w:eastAsia="Aptos" w:hAnsi="Calibri" w:cs="Calibri"/>
          <w:lang w:val="en-US"/>
        </w:rPr>
      </w:pPr>
      <w:r w:rsidRPr="0002431E">
        <w:rPr>
          <w:rFonts w:ascii="Calibri" w:eastAsia="Aptos" w:hAnsi="Calibri" w:cs="Calibri"/>
          <w:lang w:val="en-US"/>
        </w:rPr>
        <w:t>Being over the age of 18 years old.</w:t>
      </w:r>
    </w:p>
    <w:p w:rsidR="00E10CE5" w:rsidRPr="0002431E" w:rsidP="00506D9F">
      <w:pPr>
        <w:ind w:left="360"/>
        <w:rPr>
          <w:rFonts w:ascii="Calibri" w:hAnsi="Calibri" w:cs="Calibri"/>
        </w:rPr>
      </w:pPr>
    </w:p>
    <w:p w:rsidR="00E10CE5" w:rsidRPr="0002431E" w:rsidP="000074F4">
      <w:pPr>
        <w:spacing w:after="0"/>
        <w:ind w:left="360"/>
        <w:rPr>
          <w:rFonts w:ascii="Calibri" w:eastAsia="Aptos" w:hAnsi="Calibri" w:cs="Calibri"/>
          <w:lang w:val="en-US"/>
        </w:rPr>
      </w:pPr>
      <w:r w:rsidRPr="0002431E">
        <w:rPr>
          <w:rFonts w:ascii="Calibri" w:eastAsia="Aptos" w:hAnsi="Calibri" w:cs="Calibri"/>
          <w:lang w:val="en-US"/>
        </w:rPr>
        <w:t xml:space="preserve">Facilitators to access: </w:t>
      </w:r>
    </w:p>
    <w:p w:rsidR="00E10CE5" w:rsidRPr="0002431E" w:rsidP="000074F4">
      <w:pPr>
        <w:pStyle w:val="ListParagraph"/>
        <w:numPr>
          <w:ilvl w:val="2"/>
          <w:numId w:val="9"/>
        </w:numPr>
        <w:spacing w:after="0"/>
        <w:rPr>
          <w:rFonts w:ascii="Calibri" w:eastAsia="Aptos" w:hAnsi="Calibri" w:cs="Calibri"/>
          <w:lang w:val="en-US"/>
        </w:rPr>
      </w:pPr>
      <w:r w:rsidRPr="0002431E">
        <w:rPr>
          <w:rFonts w:ascii="Calibri" w:eastAsia="Aptos" w:hAnsi="Calibri" w:cs="Calibri"/>
          <w:lang w:val="en-US"/>
        </w:rPr>
        <w:t>Digital infrastructure, such as online sign-ups.</w:t>
      </w:r>
    </w:p>
    <w:p w:rsidR="00E10CE5" w:rsidRPr="0002431E" w:rsidP="000074F4">
      <w:pPr>
        <w:pStyle w:val="ListParagraph"/>
        <w:numPr>
          <w:ilvl w:val="2"/>
          <w:numId w:val="9"/>
        </w:numPr>
        <w:spacing w:after="0"/>
        <w:rPr>
          <w:rFonts w:ascii="Calibri" w:eastAsia="Aptos" w:hAnsi="Calibri" w:cs="Calibri"/>
          <w:lang w:val="en-US"/>
        </w:rPr>
      </w:pPr>
      <w:r w:rsidRPr="0002431E">
        <w:rPr>
          <w:rFonts w:ascii="Calibri" w:eastAsia="Aptos" w:hAnsi="Calibri" w:cs="Calibri"/>
          <w:lang w:val="en-US"/>
        </w:rPr>
        <w:t>Travel aid, i.e., bursaries for taxi and bus fees.</w:t>
      </w:r>
    </w:p>
    <w:p w:rsidR="00E10CE5" w:rsidRPr="0002431E" w:rsidP="000074F4">
      <w:pPr>
        <w:pStyle w:val="ListParagraph"/>
        <w:numPr>
          <w:ilvl w:val="2"/>
          <w:numId w:val="9"/>
        </w:numPr>
        <w:spacing w:after="0"/>
        <w:rPr>
          <w:rFonts w:ascii="Calibri" w:eastAsia="Aptos" w:hAnsi="Calibri" w:cs="Calibri"/>
          <w:lang w:val="en-US"/>
        </w:rPr>
      </w:pPr>
      <w:r w:rsidRPr="0002431E">
        <w:rPr>
          <w:rFonts w:ascii="Calibri" w:eastAsia="Aptos" w:hAnsi="Calibri" w:cs="Calibri"/>
          <w:lang w:val="en-US"/>
        </w:rPr>
        <w:t>Drop-in sessions.</w:t>
      </w:r>
    </w:p>
    <w:p w:rsidR="00E10CE5" w:rsidRPr="0002431E" w:rsidP="000074F4">
      <w:pPr>
        <w:pStyle w:val="ListParagraph"/>
        <w:numPr>
          <w:ilvl w:val="2"/>
          <w:numId w:val="9"/>
        </w:numPr>
        <w:spacing w:after="0"/>
        <w:rPr>
          <w:rFonts w:ascii="Calibri" w:eastAsia="Aptos" w:hAnsi="Calibri" w:cs="Calibri"/>
          <w:lang w:val="en-US"/>
        </w:rPr>
      </w:pPr>
      <w:r w:rsidRPr="0002431E">
        <w:rPr>
          <w:rFonts w:ascii="Calibri" w:eastAsia="Aptos" w:hAnsi="Calibri" w:cs="Calibri"/>
          <w:lang w:val="en-US"/>
        </w:rPr>
        <w:t>No diagnosis required. Hubs can be engaged with, irrespective of formal clinical diagnosis.</w:t>
      </w:r>
    </w:p>
    <w:p w:rsidR="00E10CE5" w:rsidRPr="0002431E" w:rsidP="00506D9F">
      <w:pPr>
        <w:ind w:left="360"/>
        <w:rPr>
          <w:rFonts w:ascii="Calibri" w:hAnsi="Calibri" w:cs="Calibri"/>
        </w:rPr>
      </w:pPr>
    </w:p>
    <w:p w:rsidR="00E10CE5" w:rsidRPr="0002431E" w:rsidP="00506D9F">
      <w:pPr>
        <w:ind w:left="360"/>
        <w:rPr>
          <w:rFonts w:ascii="Calibri" w:hAnsi="Calibri" w:cs="Calibri"/>
        </w:rPr>
      </w:pPr>
      <w:r w:rsidRPr="0002431E">
        <w:rPr>
          <w:rFonts w:ascii="Calibri" w:hAnsi="Calibri" w:cs="Calibri"/>
        </w:rPr>
        <w:t xml:space="preserve">Managers and staff also mentioned that continuity of care was negatively impacted by the instability of their funding (and that of other voluntary sector organisations in their local area). Insecure funding can lead to problems with staff retention and recruitment, as posts are often </w:t>
      </w:r>
      <w:r w:rsidRPr="0002431E">
        <w:rPr>
          <w:rFonts w:ascii="Calibri" w:hAnsi="Calibri" w:cs="Calibri"/>
        </w:rPr>
        <w:t>fixed-term</w:t>
      </w:r>
      <w:r w:rsidRPr="0002431E">
        <w:rPr>
          <w:rFonts w:ascii="Calibri" w:hAnsi="Calibri" w:cs="Calibri"/>
        </w:rPr>
        <w:t xml:space="preserve"> only. Changing funders and funding also means that Hubs’ service offer can be quite inconsistent, with </w:t>
      </w:r>
      <w:r w:rsidRPr="0002431E">
        <w:rPr>
          <w:rFonts w:ascii="Calibri" w:hAnsi="Calibri" w:cs="Calibri"/>
        </w:rPr>
        <w:t>particular activities</w:t>
      </w:r>
      <w:r w:rsidRPr="0002431E">
        <w:rPr>
          <w:rFonts w:ascii="Calibri" w:hAnsi="Calibri" w:cs="Calibri"/>
        </w:rPr>
        <w:t xml:space="preserve"> or interventions only funded for short periods. This makes it harder for young people and other local organisations or schools to know what support is available at a Hub, which can make it harder to build relationships across services that result in improved care continuity.  </w:t>
      </w:r>
    </w:p>
    <w:p w:rsidR="00E10CE5" w:rsidRPr="0002431E" w:rsidP="000074F4">
      <w:pPr>
        <w:ind w:left="360"/>
        <w:rPr>
          <w:rFonts w:ascii="Calibri" w:hAnsi="Calibri" w:cs="Calibri"/>
        </w:rPr>
      </w:pPr>
      <w:r w:rsidRPr="0002431E">
        <w:rPr>
          <w:rFonts w:ascii="Calibri" w:hAnsi="Calibri" w:cs="Calibri"/>
        </w:rPr>
        <w:t>Problems in continuity of care once young people meet the upper age limit of CAMHS have been well-documented (Singh et al., 2010; Appleton et al., 2019). One of us has recently co-authored European guidelines to improve continuity of care for young people as they cross the transition boundary (Tuomainen et al., 2026). For ensuring continuity of care at the transition boundary, the following actions are recommended:</w:t>
      </w:r>
    </w:p>
    <w:p w:rsidR="00E10CE5" w:rsidRPr="0002431E" w:rsidP="000074F4">
      <w:pPr>
        <w:pStyle w:val="ListParagraph"/>
        <w:numPr>
          <w:ilvl w:val="0"/>
          <w:numId w:val="10"/>
        </w:numPr>
        <w:rPr>
          <w:rFonts w:ascii="Calibri" w:hAnsi="Calibri" w:cs="Calibri"/>
        </w:rPr>
      </w:pPr>
      <w:r w:rsidRPr="0002431E">
        <w:rPr>
          <w:rFonts w:ascii="Calibri" w:hAnsi="Calibri" w:cs="Calibri"/>
        </w:rPr>
        <w:t>Recognise the value of existing therapeutic relationships and support continuity by involving CAMHS clinicians in introductory meetings with AMHS clinicians, having joint meetings between CAMHS and AMHS teams.</w:t>
      </w:r>
    </w:p>
    <w:p w:rsidR="00E10CE5" w:rsidRPr="0002431E" w:rsidP="000074F4">
      <w:pPr>
        <w:pStyle w:val="ListParagraph"/>
        <w:numPr>
          <w:ilvl w:val="0"/>
          <w:numId w:val="10"/>
        </w:numPr>
        <w:rPr>
          <w:rFonts w:ascii="Calibri" w:hAnsi="Calibri" w:cs="Calibri"/>
        </w:rPr>
      </w:pPr>
      <w:r w:rsidRPr="0002431E">
        <w:rPr>
          <w:rFonts w:ascii="Calibri" w:hAnsi="Calibri" w:cs="Calibri"/>
        </w:rPr>
        <w:t xml:space="preserve">Tailor the transition pace to according to a young person’s individual needs, as opposed to a rigid cut off at 18. </w:t>
      </w:r>
    </w:p>
    <w:p w:rsidR="00E10CE5" w:rsidRPr="0002431E" w:rsidP="000074F4">
      <w:pPr>
        <w:pStyle w:val="ListParagraph"/>
        <w:numPr>
          <w:ilvl w:val="0"/>
          <w:numId w:val="10"/>
        </w:numPr>
        <w:rPr>
          <w:rFonts w:ascii="Calibri" w:hAnsi="Calibri" w:cs="Calibri"/>
        </w:rPr>
      </w:pPr>
      <w:r w:rsidRPr="0002431E">
        <w:rPr>
          <w:rFonts w:ascii="Calibri" w:hAnsi="Calibri" w:cs="Calibri"/>
        </w:rPr>
        <w:t xml:space="preserve">Foster collaboration among CAMHS, AMHS, primary care and/or other relevant services (e.g., education, social care, vocational and community-based supports) to ensure seamless transition and consistent care. </w:t>
      </w:r>
    </w:p>
    <w:p w:rsidR="00E10CE5" w:rsidRPr="0002431E" w:rsidP="000074F4">
      <w:pPr>
        <w:pStyle w:val="ListParagraph"/>
        <w:numPr>
          <w:ilvl w:val="0"/>
          <w:numId w:val="10"/>
        </w:numPr>
        <w:rPr>
          <w:rFonts w:ascii="Calibri" w:hAnsi="Calibri" w:cs="Calibri"/>
        </w:rPr>
      </w:pPr>
      <w:r w:rsidRPr="0002431E">
        <w:rPr>
          <w:rFonts w:ascii="Calibri" w:hAnsi="Calibri" w:cs="Calibri"/>
        </w:rPr>
        <w:t>Prompt referral to another appropriate service when necessary to avoid disengagement or deterioration during waiting periods.</w:t>
      </w:r>
    </w:p>
    <w:p w:rsidR="00E10CE5" w:rsidRPr="0002431E" w:rsidP="000074F4">
      <w:pPr>
        <w:pStyle w:val="ListParagraph"/>
        <w:numPr>
          <w:ilvl w:val="0"/>
          <w:numId w:val="10"/>
        </w:numPr>
        <w:rPr>
          <w:rFonts w:ascii="Calibri" w:hAnsi="Calibri" w:cs="Calibri"/>
        </w:rPr>
      </w:pPr>
      <w:r w:rsidRPr="0002431E">
        <w:rPr>
          <w:rFonts w:ascii="Calibri" w:hAnsi="Calibri" w:cs="Calibri"/>
        </w:rPr>
        <w:t>Ensure effective and timely information sharing between services.</w:t>
      </w:r>
    </w:p>
    <w:p w:rsidR="00E10CE5" w:rsidRPr="0002431E" w:rsidP="403E3399">
      <w:pPr>
        <w:pStyle w:val="ListParagraph"/>
        <w:numPr>
          <w:ilvl w:val="0"/>
          <w:numId w:val="10"/>
        </w:numPr>
        <w:rPr>
          <w:rFonts w:ascii="Calibri" w:hAnsi="Calibri" w:cs="Calibri"/>
        </w:rPr>
      </w:pPr>
      <w:r w:rsidRPr="0002431E">
        <w:rPr>
          <w:rFonts w:ascii="Calibri" w:hAnsi="Calibri" w:cs="Calibri"/>
        </w:rPr>
        <w:t>Provide step-down services: Not all young people will require ongoing mental health care after leaving CAMHS and a significant proportion will not transition to AMHS. For those who show improvement in their mental health but may still need some level of care, consider organising less intensive support during the initial transition period. This could include less frequent check-ins, referrals to community-based resources or time-limited follow-up appointments to monitor stability.</w:t>
      </w:r>
    </w:p>
    <w:p w:rsidR="00E10CE5" w:rsidRPr="0002431E" w:rsidP="00DA1B93">
      <w:pPr>
        <w:numPr>
          <w:ilvl w:val="0"/>
          <w:numId w:val="14"/>
        </w:numPr>
        <w:rPr>
          <w:rFonts w:ascii="Calibri" w:hAnsi="Calibri" w:cs="Calibri"/>
          <w:b/>
          <w:bCs/>
        </w:rPr>
      </w:pPr>
      <w:r w:rsidRPr="0002431E">
        <w:rPr>
          <w:rFonts w:ascii="Calibri" w:hAnsi="Calibri" w:cs="Calibri"/>
          <w:b/>
          <w:bCs/>
        </w:rPr>
        <w:t>Are resources targeted to where they are most needed? Are there changes to commissioning and funding arrangements that would most improve the join up of local delivery of mental health support for children and young people?</w:t>
      </w:r>
    </w:p>
    <w:p w:rsidR="00E10CE5" w:rsidRPr="0002431E" w:rsidP="007D681C">
      <w:pPr>
        <w:pStyle w:val="ListParagraph"/>
        <w:ind w:left="360"/>
        <w:rPr>
          <w:rFonts w:ascii="Calibri" w:hAnsi="Calibri" w:cs="Calibri"/>
        </w:rPr>
      </w:pPr>
      <w:r w:rsidRPr="0002431E">
        <w:rPr>
          <w:rFonts w:ascii="Calibri" w:hAnsi="Calibri" w:cs="Calibri"/>
        </w:rPr>
        <w:t xml:space="preserve">Our evaluation of Early Support Hubs has identified insecure funding as a particular barrier to their sustained impact. Managers spoke of challenges in securing the future of their services and in not being able to provide consistent support to young people, due to their reliance on short term funding (Trevillion et al., in prep). As their funding is insecure, managers reported only being able to fund particular initiatives for short time periods, which leads to challenges in 1) local young people knowing about them, as </w:t>
      </w:r>
      <w:r w:rsidRPr="0002431E">
        <w:rPr>
          <w:rFonts w:ascii="Calibri" w:hAnsi="Calibri" w:cs="Calibri"/>
        </w:rPr>
        <w:t>building awareness of new initiatives can take time; and 2) linking in with other local services in a constantly changing service landscape, where available services and service thresholds are inconsistent.</w:t>
      </w:r>
    </w:p>
    <w:p w:rsidR="00E10CE5" w:rsidRPr="0002431E" w:rsidP="004B58D0">
      <w:pPr>
        <w:rPr>
          <w:rFonts w:ascii="Calibri" w:hAnsi="Calibri" w:cs="Calibri"/>
          <w:b/>
          <w:bCs/>
        </w:rPr>
      </w:pPr>
      <w:r w:rsidRPr="0002431E">
        <w:rPr>
          <w:rFonts w:ascii="Calibri" w:hAnsi="Calibri" w:cs="Calibri"/>
          <w:b/>
          <w:bCs/>
        </w:rPr>
        <w:t xml:space="preserve">Upcoming research findings </w:t>
      </w:r>
    </w:p>
    <w:p w:rsidR="00E10CE5" w:rsidRPr="0002431E" w:rsidP="004B58D0">
      <w:pPr>
        <w:rPr>
          <w:rFonts w:ascii="Calibri" w:hAnsi="Calibri" w:cs="Calibri"/>
        </w:rPr>
      </w:pPr>
      <w:r w:rsidRPr="0002431E">
        <w:rPr>
          <w:rFonts w:ascii="Calibri" w:hAnsi="Calibri" w:cs="Calibri"/>
        </w:rPr>
        <w:t xml:space="preserve">Initial findings from our quantitative evaluation of Early Support Hubs will be ready in summer 2026. We will identify whether certain young people (e.g. based on sociodemographic characteristics such as ethnicity, or level of deprivation) are more likely to use these services. We will also analyse whether their mental health and wellbeing improved over the period of receiving support – although there is no comparison or control group for the individual data at this stage.  </w:t>
      </w:r>
    </w:p>
    <w:p w:rsidR="00E10CE5" w:rsidRPr="0002431E" w:rsidP="004B58D0">
      <w:pPr>
        <w:rPr>
          <w:rFonts w:ascii="Calibri" w:hAnsi="Calibri" w:cs="Calibri"/>
        </w:rPr>
      </w:pPr>
      <w:r w:rsidRPr="0002431E">
        <w:rPr>
          <w:rFonts w:ascii="Calibri" w:hAnsi="Calibri" w:cs="Calibri"/>
        </w:rPr>
        <w:t>Findings from our second round of interviews with young people and Hub staff will be available to present shortly. This aims to answer the following questions:</w:t>
      </w:r>
    </w:p>
    <w:p w:rsidR="00E10CE5" w:rsidRPr="0002431E" w:rsidP="00DB0F0F">
      <w:pPr>
        <w:pStyle w:val="ListParagraph"/>
        <w:numPr>
          <w:ilvl w:val="0"/>
          <w:numId w:val="17"/>
        </w:numPr>
        <w:rPr>
          <w:rFonts w:ascii="Calibri" w:hAnsi="Calibri" w:cs="Calibri"/>
        </w:rPr>
      </w:pPr>
      <w:r w:rsidRPr="0002431E">
        <w:rPr>
          <w:rFonts w:ascii="Calibri" w:hAnsi="Calibri" w:cs="Calibri"/>
        </w:rPr>
        <w:t>What is the perceived role of Early Support Hubs in providing support to CYP, and how do they fit into the wider system of services in their local area?</w:t>
      </w:r>
    </w:p>
    <w:p w:rsidR="00E10CE5" w:rsidRPr="0002431E" w:rsidP="00DB0F0F">
      <w:pPr>
        <w:pStyle w:val="ListParagraph"/>
        <w:numPr>
          <w:ilvl w:val="0"/>
          <w:numId w:val="17"/>
        </w:numPr>
        <w:rPr>
          <w:rFonts w:ascii="Calibri" w:hAnsi="Calibri" w:cs="Calibri"/>
        </w:rPr>
      </w:pPr>
      <w:r w:rsidRPr="0002431E">
        <w:rPr>
          <w:rFonts w:ascii="Calibri" w:hAnsi="Calibri" w:cs="Calibri"/>
        </w:rPr>
        <w:t>Who can Hubs engage and support well, and are there any groups or situations where they are unable to support?</w:t>
      </w:r>
    </w:p>
    <w:p w:rsidR="00E10CE5" w:rsidRPr="0002431E" w:rsidP="00DB0F0F">
      <w:pPr>
        <w:rPr>
          <w:rFonts w:ascii="Calibri" w:hAnsi="Calibri" w:cs="Calibri"/>
        </w:rPr>
      </w:pPr>
      <w:r w:rsidRPr="0002431E">
        <w:rPr>
          <w:rFonts w:ascii="Calibri" w:hAnsi="Calibri" w:cs="Calibri"/>
        </w:rPr>
        <w:t>We would be happy to submit or present the findings from this part of our research once the analysis has been completed.</w:t>
      </w:r>
    </w:p>
    <w:p w:rsidR="00E10CE5" w:rsidRPr="0002431E" w:rsidP="00DB0F0F">
      <w:pPr>
        <w:rPr>
          <w:rFonts w:ascii="Calibri" w:hAnsi="Calibri" w:cs="Calibri"/>
        </w:rPr>
      </w:pPr>
      <w:r w:rsidRPr="0002431E">
        <w:rPr>
          <w:rFonts w:ascii="Calibri" w:hAnsi="Calibri" w:cs="Calibri"/>
        </w:rPr>
        <w:t>Dr Appleton is currently in the early stages of a related project which aims to understand which services (CAMHS, Mental Health Support Teams, NHS Talking Therapies and Early Support Hubs) work best for which young people with symptoms of anxiety and depression. This aims to answer the following questions:</w:t>
      </w:r>
    </w:p>
    <w:p w:rsidR="00E10CE5" w:rsidRPr="0002431E" w:rsidP="00E25DAA">
      <w:pPr>
        <w:numPr>
          <w:ilvl w:val="0"/>
          <w:numId w:val="20"/>
        </w:numPr>
        <w:rPr>
          <w:rFonts w:ascii="Calibri" w:hAnsi="Calibri" w:cs="Calibri"/>
        </w:rPr>
      </w:pPr>
      <w:r w:rsidRPr="0002431E">
        <w:rPr>
          <w:rFonts w:ascii="Calibri" w:hAnsi="Calibri" w:cs="Calibri"/>
        </w:rPr>
        <w:t>What are the sociodemographic characteristics of young people accessing each type of mental health service, and are certain groups underrepresented within these services relative to the local population?  </w:t>
      </w:r>
    </w:p>
    <w:p w:rsidR="00E10CE5" w:rsidRPr="0002431E" w:rsidP="00E25DAA">
      <w:pPr>
        <w:numPr>
          <w:ilvl w:val="0"/>
          <w:numId w:val="20"/>
        </w:numPr>
        <w:rPr>
          <w:rFonts w:ascii="Calibri" w:hAnsi="Calibri" w:cs="Calibri"/>
        </w:rPr>
      </w:pPr>
      <w:r w:rsidRPr="0002431E">
        <w:rPr>
          <w:rFonts w:ascii="Calibri" w:hAnsi="Calibri" w:cs="Calibri"/>
        </w:rPr>
        <w:t>How do mental health and functioning outcomes differ within each type of service by key sociodemographic or clinical characteristics and are there important inequalities in outcomes? </w:t>
      </w:r>
    </w:p>
    <w:p w:rsidR="00E10CE5" w:rsidRPr="0002431E" w:rsidP="212A1107">
      <w:pPr>
        <w:rPr>
          <w:rFonts w:ascii="Calibri" w:hAnsi="Calibri" w:cs="Calibri"/>
        </w:rPr>
      </w:pPr>
      <w:r w:rsidRPr="0002431E">
        <w:rPr>
          <w:rFonts w:ascii="Calibri" w:hAnsi="Calibri" w:cs="Calibri"/>
        </w:rPr>
        <w:t>Initial findings will be available towards the end of this year.</w:t>
      </w:r>
    </w:p>
    <w:p w:rsidR="00E10CE5" w:rsidRPr="0002431E">
      <w:pPr>
        <w:rPr>
          <w:rFonts w:ascii="Calibri" w:hAnsi="Calibri" w:cs="Calibri"/>
        </w:rPr>
      </w:pPr>
      <w:r w:rsidRPr="0002431E">
        <w:rPr>
          <w:rFonts w:ascii="Calibri" w:hAnsi="Calibri" w:cs="Calibri"/>
        </w:rPr>
        <w:br w:type="page"/>
      </w:r>
    </w:p>
    <w:p w:rsidR="00E10CE5" w:rsidRPr="0002431E" w:rsidP="54F30D2B">
      <w:pPr>
        <w:rPr>
          <w:rFonts w:ascii="Calibri" w:hAnsi="Calibri" w:cs="Calibri"/>
        </w:rPr>
      </w:pPr>
      <w:r w:rsidRPr="0002431E">
        <w:rPr>
          <w:rFonts w:ascii="Calibri" w:hAnsi="Calibri" w:cs="Calibri"/>
        </w:rPr>
        <w:t>References:</w:t>
      </w:r>
    </w:p>
    <w:p w:rsidR="00E10CE5" w:rsidRPr="0002431E" w:rsidP="54F30D2B">
      <w:pPr>
        <w:rPr>
          <w:rFonts w:ascii="Calibri" w:hAnsi="Calibri" w:cs="Calibri"/>
        </w:rPr>
      </w:pPr>
      <w:r w:rsidRPr="0002431E">
        <w:rPr>
          <w:rFonts w:ascii="Calibri" w:hAnsi="Calibri" w:cs="Calibri"/>
        </w:rPr>
        <w:t>Appleton, R., Barnett, P., Clarke, C., et al., 2025. Approaches to early intervention for common mental health problems in young people: a systematic review. BMC medicine, 23(1), p.651.</w:t>
      </w:r>
    </w:p>
    <w:p w:rsidR="00E10CE5" w:rsidRPr="0002431E" w:rsidP="54F30D2B">
      <w:pPr>
        <w:rPr>
          <w:rFonts w:ascii="Calibri" w:hAnsi="Calibri" w:cs="Calibri"/>
        </w:rPr>
      </w:pPr>
      <w:r w:rsidRPr="0002431E">
        <w:rPr>
          <w:rFonts w:ascii="Calibri" w:hAnsi="Calibri" w:cs="Calibri"/>
        </w:rPr>
        <w:t>Appleton, R., Elahi, F., Tuomainen, H., et al., 2021. “I’m just a long history of people rejecting referrals” experiences of young people who fell through the gap between child and adult mental health services. European Child &amp; Adolescent Psychiatry, 30(3), pp.401-413.</w:t>
      </w:r>
    </w:p>
    <w:p w:rsidR="00E10CE5" w:rsidRPr="0002431E" w:rsidP="54F30D2B">
      <w:pPr>
        <w:rPr>
          <w:rFonts w:ascii="Calibri" w:hAnsi="Calibri" w:cs="Calibri"/>
        </w:rPr>
      </w:pPr>
      <w:r w:rsidRPr="0002431E">
        <w:rPr>
          <w:rFonts w:ascii="Calibri" w:hAnsi="Calibri" w:cs="Calibri"/>
        </w:rPr>
        <w:t>Couchman, A., Appleton, R., Trevillion, K., et al., 2025. A qualitative investigation of views on practice in early support hubs from staff working in care and support roles. medRxiv.10.22.25338534</w:t>
      </w:r>
    </w:p>
    <w:p w:rsidR="00E10CE5" w:rsidRPr="0002431E" w:rsidP="54F30D2B">
      <w:pPr>
        <w:rPr>
          <w:rFonts w:ascii="Calibri" w:hAnsi="Calibri" w:cs="Calibri"/>
        </w:rPr>
      </w:pPr>
      <w:r w:rsidRPr="0002431E">
        <w:rPr>
          <w:rFonts w:ascii="Calibri" w:hAnsi="Calibri" w:cs="Calibri"/>
        </w:rPr>
        <w:t>O'Keeffe, L., O’Reilly, A., O’Brien, G., et al., 2015. Description and outcome evaluation of Jigsaw: an emergent Irish mental health early intervention programme for young people. Irish Journal of Psychological Medicine, 32(1), pp.71-77.</w:t>
      </w:r>
    </w:p>
    <w:p w:rsidR="00E10CE5" w:rsidRPr="0002431E" w:rsidP="54F30D2B">
      <w:pPr>
        <w:rPr>
          <w:rFonts w:ascii="Calibri" w:hAnsi="Calibri" w:cs="Calibri"/>
        </w:rPr>
      </w:pPr>
      <w:r w:rsidRPr="0002431E">
        <w:rPr>
          <w:rFonts w:ascii="Calibri" w:hAnsi="Calibri" w:cs="Calibri"/>
        </w:rPr>
        <w:t>Rickwood, D., McEachran, J., Saw, A., et al., 2023. Sixteen years of innovation in youth mental healthcare: Outcomes for young people attending Australia’s headspace centre services. PLoS One, 18(6), p.e0282040.</w:t>
      </w:r>
    </w:p>
    <w:p w:rsidR="00E10CE5" w:rsidRPr="0002431E" w:rsidP="54F30D2B">
      <w:pPr>
        <w:rPr>
          <w:rFonts w:ascii="Calibri" w:hAnsi="Calibri" w:cs="Calibri"/>
        </w:rPr>
      </w:pPr>
      <w:r w:rsidRPr="0002431E">
        <w:rPr>
          <w:rFonts w:ascii="Calibri" w:hAnsi="Calibri" w:cs="Calibri"/>
        </w:rPr>
        <w:t>Singh, S.P., Paul, M., Ford, T., et al., 2010. Process, outcome and experience of transition from child to adult mental healthcare: multiperspective study. The British Journal of Psychiatry, 197(4), pp.305-312.</w:t>
      </w:r>
    </w:p>
    <w:p w:rsidR="00E10CE5" w:rsidRPr="0002431E" w:rsidP="54F30D2B">
      <w:pPr>
        <w:rPr>
          <w:rFonts w:ascii="Calibri" w:hAnsi="Calibri" w:cs="Calibri"/>
        </w:rPr>
      </w:pPr>
      <w:r w:rsidRPr="0002431E">
        <w:rPr>
          <w:rFonts w:ascii="Calibri" w:hAnsi="Calibri" w:cs="Calibri"/>
        </w:rPr>
        <w:t xml:space="preserve">Tuomainen, H., Appleton, R., Asher, G. et al. 2026. European Society of Child and Adolescent Psychiatry (ESCAP) practical guidance for clinicians and mental health services regarding child to adult mental health service transitions and managed discharge at the service boundary. Eur Child Adolesc Psychiatry. </w:t>
      </w:r>
    </w:p>
    <w:p w:rsidR="00E10CE5" w:rsidRPr="0002431E" w:rsidP="212A1107">
      <w:pPr>
        <w:rPr>
          <w:rFonts w:ascii="Calibri" w:hAnsi="Calibri" w:cs="Calibri"/>
        </w:rPr>
      </w:pPr>
      <w:r w:rsidRPr="0002431E">
        <w:rPr>
          <w:rFonts w:ascii="Calibri" w:hAnsi="Calibri" w:cs="Calibri"/>
        </w:rPr>
        <w:t>Wright, L., Griffiths, J.L., Appleton, R., et al. 2025. A qualitative investigation of young people’s experiences and views of Early Support Hubs. medRxiv.09.05.25335175</w:t>
      </w:r>
    </w:p>
    <w:p w:rsidR="00C97E86" w:rsidRPr="0002431E" w:rsidP="212A1107">
      <w:pPr>
        <w:rPr>
          <w:rFonts w:ascii="Calibri" w:hAnsi="Calibri" w:cs="Calibri"/>
        </w:rPr>
      </w:pPr>
    </w:p>
    <w:p w:rsidR="00C97E86" w:rsidRPr="0002431E" w:rsidP="212A1107">
      <w:pPr>
        <w:rPr>
          <w:rFonts w:ascii="Calibri" w:hAnsi="Calibri" w:cs="Calibri"/>
        </w:rPr>
      </w:pPr>
    </w:p>
    <w:p w:rsidR="00C97E86" w:rsidRPr="0002431E" w:rsidP="212A1107">
      <w:pPr>
        <w:rPr>
          <w:rFonts w:ascii="Calibri" w:hAnsi="Calibri" w:cs="Calibri"/>
        </w:rPr>
      </w:pPr>
    </w:p>
    <w:p w:rsidR="00C97E86" w:rsidRPr="0002431E" w:rsidP="212A1107">
      <w:pPr>
        <w:rPr>
          <w:rFonts w:ascii="Calibri" w:hAnsi="Calibri" w:cs="Calibri"/>
          <w:i/>
          <w:iCs/>
        </w:rPr>
      </w:pPr>
      <w:r w:rsidRPr="0002431E">
        <w:rPr>
          <w:rFonts w:ascii="Calibri" w:hAnsi="Calibri" w:cs="Calibri"/>
          <w:i/>
          <w:iCs/>
        </w:rPr>
        <w:t>March</w:t>
      </w:r>
      <w:r w:rsidRPr="0002431E">
        <w:rPr>
          <w:rFonts w:ascii="Calibri" w:hAnsi="Calibri" w:cs="Calibri"/>
          <w:i/>
          <w:iCs/>
        </w:rPr>
        <w:t xml:space="preserve">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Sans-Serif">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19E97"/>
    <w:multiLevelType w:val="hybridMultilevel"/>
    <w:tmpl w:val="8048F03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Arial,Sans-Serif" w:hAnsi="Arial,Sans-Serif"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367323A"/>
    <w:multiLevelType w:val="hybridMultilevel"/>
    <w:tmpl w:val="174031FA"/>
    <w:lvl w:ilvl="0">
      <w:start w:val="0"/>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41300C1"/>
    <w:multiLevelType w:val="hybridMultilevel"/>
    <w:tmpl w:val="FC0CEF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603381A"/>
    <w:multiLevelType w:val="multilevel"/>
    <w:tmpl w:val="D84A4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94544E"/>
    <w:multiLevelType w:val="hybridMultilevel"/>
    <w:tmpl w:val="033C59D2"/>
    <w:lvl w:ilvl="0">
      <w:start w:val="1"/>
      <w:numFmt w:val="bullet"/>
      <w:lvlText w:val=""/>
      <w:lvlJc w:val="left"/>
      <w:pPr>
        <w:ind w:left="720" w:hanging="360"/>
      </w:pPr>
      <w:rPr>
        <w:rFonts w:ascii="Arial,Sans-Serif" w:hAnsi="Arial,Sans-Serif"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2F9A632E"/>
    <w:multiLevelType w:val="multilevel"/>
    <w:tmpl w:val="38B8617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30CF295F"/>
    <w:multiLevelType w:val="hybridMultilevel"/>
    <w:tmpl w:val="5ECC45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3061093"/>
    <w:multiLevelType w:val="hybridMultilevel"/>
    <w:tmpl w:val="FC109352"/>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368F5C8C"/>
    <w:multiLevelType w:val="hybridMultilevel"/>
    <w:tmpl w:val="D302ADBE"/>
    <w:lvl w:ilvl="0">
      <w:start w:val="0"/>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6C33049"/>
    <w:multiLevelType w:val="hybridMultilevel"/>
    <w:tmpl w:val="B686BCBC"/>
    <w:lvl w:ilvl="0">
      <w:start w:val="1"/>
      <w:numFmt w:val="bullet"/>
      <w:lvlText w:val=""/>
      <w:lvlJc w:val="left"/>
      <w:pPr>
        <w:ind w:left="720" w:hanging="360"/>
      </w:pPr>
      <w:rPr>
        <w:rFonts w:ascii="Arial,Sans-Serif" w:hAnsi="Arial,Sans-Serif"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4B704E3D"/>
    <w:multiLevelType w:val="multilevel"/>
    <w:tmpl w:val="5AEEB61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nsid w:val="4CF47F87"/>
    <w:multiLevelType w:val="multilevel"/>
    <w:tmpl w:val="4A32E3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FE33389"/>
    <w:multiLevelType w:val="hybridMultilevel"/>
    <w:tmpl w:val="8E9C6A5A"/>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512EC5C8"/>
    <w:multiLevelType w:val="hybridMultilevel"/>
    <w:tmpl w:val="4EB86262"/>
    <w:lvl w:ilvl="0">
      <w:start w:val="1"/>
      <w:numFmt w:val="bullet"/>
      <w:lvlText w:val=""/>
      <w:lvlJc w:val="left"/>
      <w:pPr>
        <w:ind w:left="720" w:hanging="360"/>
      </w:pPr>
      <w:rPr>
        <w:rFonts w:ascii="Arial,Sans-Serif" w:hAnsi="Arial,Sans-Serif"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52F1CD6B"/>
    <w:multiLevelType w:val="hybridMultilevel"/>
    <w:tmpl w:val="E766B02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Arial,Sans-Serif" w:hAnsi="Arial,Sans-Serif"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61943DA3"/>
    <w:multiLevelType w:val="hybridMultilevel"/>
    <w:tmpl w:val="C9C638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F0132A4"/>
    <w:multiLevelType w:val="hybridMultilevel"/>
    <w:tmpl w:val="4EA0B9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71BF736C"/>
    <w:multiLevelType w:val="multilevel"/>
    <w:tmpl w:val="B3623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411700E"/>
    <w:multiLevelType w:val="hybridMultilevel"/>
    <w:tmpl w:val="1E48050E"/>
    <w:lvl w:ilvl="0">
      <w:start w:val="1"/>
      <w:numFmt w:val="bullet"/>
      <w:lvlText w:val=""/>
      <w:lvlJc w:val="left"/>
      <w:pPr>
        <w:ind w:left="720" w:hanging="360"/>
      </w:pPr>
      <w:rPr>
        <w:rFonts w:ascii="Arial,Sans-Serif" w:hAnsi="Arial,Sans-Serif"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74C0B592"/>
    <w:multiLevelType w:val="hybridMultilevel"/>
    <w:tmpl w:val="D848FC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19"/>
  </w:num>
  <w:num w:numId="4">
    <w:abstractNumId w:val="14"/>
  </w:num>
  <w:num w:numId="5">
    <w:abstractNumId w:val="13"/>
  </w:num>
  <w:num w:numId="6">
    <w:abstractNumId w:val="0"/>
  </w:num>
  <w:num w:numId="7">
    <w:abstractNumId w:val="4"/>
  </w:num>
  <w:num w:numId="8">
    <w:abstractNumId w:val="18"/>
  </w:num>
  <w:num w:numId="9">
    <w:abstractNumId w:val="9"/>
  </w:num>
  <w:num w:numId="10">
    <w:abstractNumId w:val="2"/>
  </w:num>
  <w:num w:numId="11">
    <w:abstractNumId w:val="12"/>
  </w:num>
  <w:num w:numId="12">
    <w:abstractNumId w:val="3"/>
  </w:num>
  <w:num w:numId="13">
    <w:abstractNumId w:val="5"/>
  </w:num>
  <w:num w:numId="14">
    <w:abstractNumId w:val="10"/>
  </w:num>
  <w:num w:numId="15">
    <w:abstractNumId w:val="8"/>
  </w:num>
  <w:num w:numId="16">
    <w:abstractNumId w:val="1"/>
  </w:num>
  <w:num w:numId="17">
    <w:abstractNumId w:val="6"/>
  </w:num>
  <w:num w:numId="18">
    <w:abstractNumId w:val="17"/>
  </w:num>
  <w:num w:numId="19">
    <w:abstractNumId w:val="1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DA1B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1B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1B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1B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1B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1B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1B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1B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1B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1B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1B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1B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1B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1B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1B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1B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1B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1B93"/>
    <w:rPr>
      <w:rFonts w:eastAsiaTheme="majorEastAsia" w:cstheme="majorBidi"/>
      <w:color w:val="272727" w:themeColor="text1" w:themeTint="D8"/>
    </w:rPr>
  </w:style>
  <w:style w:type="paragraph" w:styleId="Title">
    <w:name w:val="Title"/>
    <w:basedOn w:val="Normal"/>
    <w:next w:val="Normal"/>
    <w:link w:val="TitleChar"/>
    <w:uiPriority w:val="10"/>
    <w:qFormat/>
    <w:rsid w:val="00DA1B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1B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1B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1B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1B93"/>
    <w:pPr>
      <w:spacing w:before="160"/>
      <w:jc w:val="center"/>
    </w:pPr>
    <w:rPr>
      <w:i/>
      <w:iCs/>
      <w:color w:val="404040" w:themeColor="text1" w:themeTint="BF"/>
    </w:rPr>
  </w:style>
  <w:style w:type="character" w:customStyle="1" w:styleId="QuoteChar">
    <w:name w:val="Quote Char"/>
    <w:basedOn w:val="DefaultParagraphFont"/>
    <w:link w:val="Quote"/>
    <w:uiPriority w:val="29"/>
    <w:rsid w:val="00DA1B93"/>
    <w:rPr>
      <w:i/>
      <w:iCs/>
      <w:color w:val="404040" w:themeColor="text1" w:themeTint="BF"/>
    </w:rPr>
  </w:style>
  <w:style w:type="paragraph" w:styleId="ListParagraph">
    <w:name w:val="List Paragraph"/>
    <w:basedOn w:val="Normal"/>
    <w:uiPriority w:val="34"/>
    <w:qFormat/>
    <w:rsid w:val="00DA1B93"/>
    <w:pPr>
      <w:ind w:left="720"/>
      <w:contextualSpacing/>
    </w:pPr>
  </w:style>
  <w:style w:type="character" w:styleId="IntenseEmphasis">
    <w:name w:val="Intense Emphasis"/>
    <w:basedOn w:val="DefaultParagraphFont"/>
    <w:uiPriority w:val="21"/>
    <w:qFormat/>
    <w:rsid w:val="00DA1B93"/>
    <w:rPr>
      <w:i/>
      <w:iCs/>
      <w:color w:val="0F4761" w:themeColor="accent1" w:themeShade="BF"/>
    </w:rPr>
  </w:style>
  <w:style w:type="paragraph" w:styleId="IntenseQuote">
    <w:name w:val="Intense Quote"/>
    <w:basedOn w:val="Normal"/>
    <w:next w:val="Normal"/>
    <w:link w:val="IntenseQuoteChar"/>
    <w:uiPriority w:val="30"/>
    <w:qFormat/>
    <w:rsid w:val="00DA1B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1B93"/>
    <w:rPr>
      <w:i/>
      <w:iCs/>
      <w:color w:val="0F4761" w:themeColor="accent1" w:themeShade="BF"/>
    </w:rPr>
  </w:style>
  <w:style w:type="character" w:styleId="IntenseReference">
    <w:name w:val="Intense Reference"/>
    <w:basedOn w:val="DefaultParagraphFont"/>
    <w:uiPriority w:val="32"/>
    <w:qFormat/>
    <w:rsid w:val="00DA1B93"/>
    <w:rPr>
      <w:b/>
      <w:bCs/>
      <w:smallCaps/>
      <w:color w:val="0F4761" w:themeColor="accent1" w:themeShade="BF"/>
      <w:spacing w:val="5"/>
    </w:rPr>
  </w:style>
  <w:style w:type="character" w:styleId="CommentReference">
    <w:name w:val="annotation reference"/>
    <w:basedOn w:val="DefaultParagraphFont"/>
    <w:uiPriority w:val="99"/>
    <w:semiHidden/>
    <w:unhideWhenUsed/>
    <w:rsid w:val="00F25ABC"/>
    <w:rPr>
      <w:sz w:val="16"/>
      <w:szCs w:val="16"/>
    </w:rPr>
  </w:style>
  <w:style w:type="paragraph" w:styleId="CommentText">
    <w:name w:val="annotation text"/>
    <w:basedOn w:val="Normal"/>
    <w:link w:val="CommentTextChar"/>
    <w:uiPriority w:val="99"/>
    <w:unhideWhenUsed/>
    <w:rsid w:val="00F25ABC"/>
    <w:pPr>
      <w:spacing w:line="240" w:lineRule="auto"/>
    </w:pPr>
    <w:rPr>
      <w:sz w:val="20"/>
      <w:szCs w:val="20"/>
    </w:rPr>
  </w:style>
  <w:style w:type="character" w:customStyle="1" w:styleId="CommentTextChar">
    <w:name w:val="Comment Text Char"/>
    <w:basedOn w:val="DefaultParagraphFont"/>
    <w:link w:val="CommentText"/>
    <w:uiPriority w:val="99"/>
    <w:rsid w:val="00F25ABC"/>
    <w:rPr>
      <w:sz w:val="20"/>
      <w:szCs w:val="20"/>
    </w:rPr>
  </w:style>
  <w:style w:type="paragraph" w:styleId="CommentSubject">
    <w:name w:val="annotation subject"/>
    <w:basedOn w:val="CommentText"/>
    <w:next w:val="CommentText"/>
    <w:link w:val="CommentSubjectChar"/>
    <w:uiPriority w:val="99"/>
    <w:semiHidden/>
    <w:unhideWhenUsed/>
    <w:rsid w:val="00F25ABC"/>
    <w:rPr>
      <w:b/>
      <w:bCs/>
    </w:rPr>
  </w:style>
  <w:style w:type="character" w:customStyle="1" w:styleId="CommentSubjectChar">
    <w:name w:val="Comment Subject Char"/>
    <w:basedOn w:val="CommentTextChar"/>
    <w:link w:val="CommentSubject"/>
    <w:uiPriority w:val="99"/>
    <w:semiHidden/>
    <w:rsid w:val="00F25ABC"/>
    <w:rPr>
      <w:b/>
      <w:bCs/>
      <w:sz w:val="20"/>
      <w:szCs w:val="20"/>
    </w:rPr>
  </w:style>
  <w:style w:type="character" w:styleId="Hyperlink">
    <w:name w:val="Hyperlink"/>
    <w:basedOn w:val="DefaultParagraphFont"/>
    <w:uiPriority w:val="99"/>
    <w:unhideWhenUsed/>
    <w:rsid w:val="00F25ABC"/>
    <w:rPr>
      <w:color w:val="467886" w:themeColor="hyperlink"/>
      <w:u w:val="single"/>
    </w:rPr>
  </w:style>
  <w:style w:type="character" w:customStyle="1" w:styleId="UnresolvedMention1">
    <w:name w:val="Unresolved Mention1"/>
    <w:basedOn w:val="DefaultParagraphFont"/>
    <w:uiPriority w:val="99"/>
    <w:semiHidden/>
    <w:unhideWhenUsed/>
    <w:rsid w:val="00F25ABC"/>
    <w:rPr>
      <w:color w:val="605E5C"/>
      <w:shd w:val="clear" w:color="auto" w:fill="E1DFDD"/>
    </w:rPr>
  </w:style>
  <w:style w:type="paragraph" w:styleId="FootnoteText">
    <w:name w:val="footnote text"/>
    <w:basedOn w:val="Normal"/>
    <w:uiPriority w:val="99"/>
    <w:semiHidden/>
    <w:unhideWhenUsed/>
    <w:rsid w:val="0A298492"/>
    <w:pPr>
      <w:spacing w:after="0" w:line="240" w:lineRule="auto"/>
    </w:pPr>
    <w:rPr>
      <w:sz w:val="20"/>
      <w:szCs w:val="20"/>
    </w:rPr>
  </w:style>
  <w:style w:type="character" w:styleId="FootnoteReference">
    <w:name w:val="footnote reference"/>
    <w:basedOn w:val="DefaultParagraphFont"/>
    <w:uiPriority w:val="99"/>
    <w:semiHidden/>
    <w:unhideWhenUsed/>
    <w:rsid w:val="0A298492"/>
    <w:rPr>
      <w:vertAlign w:val="superscript"/>
    </w:rPr>
  </w:style>
  <w:style w:type="paragraph" w:styleId="Header">
    <w:name w:val="header"/>
    <w:basedOn w:val="Normal"/>
    <w:link w:val="HeaderChar"/>
    <w:uiPriority w:val="99"/>
    <w:unhideWhenUsed/>
    <w:rsid w:val="00C97E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7E86"/>
  </w:style>
  <w:style w:type="paragraph" w:styleId="Footer">
    <w:name w:val="footer"/>
    <w:basedOn w:val="Normal"/>
    <w:link w:val="FooterChar"/>
    <w:uiPriority w:val="99"/>
    <w:unhideWhenUsed/>
    <w:rsid w:val="00C97E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7E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faf88fe-a998-4c5b-93c9-210a11d9a5c2}" enabled="0" method="" siteId="{1faf88fe-a998-4c5b-93c9-210a11d9a5c2}" removed="1"/>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CYM0159</dc:title>
  <cp:revision>0</cp:revision>
</cp:coreProperties>
</file>