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6099" w:rsidRPr="009278E2" w:rsidP="005C53B8">
      <w:pPr>
        <w:spacing w:after="0"/>
        <w:rPr>
          <w:rFonts w:ascii="Calibri" w:eastAsia="Century Gothic" w:hAnsi="Calibri" w:cs="Calibri"/>
          <w:b/>
          <w:bCs/>
          <w:sz w:val="28"/>
          <w:szCs w:val="28"/>
        </w:rPr>
      </w:pPr>
      <w:bookmarkStart w:id="0" w:name="_Toc221894342"/>
    </w:p>
    <w:p w:rsidR="00C06099" w:rsidRPr="009278E2" w:rsidP="00C06099">
      <w:pPr>
        <w:spacing w:after="0"/>
        <w:jc w:val="center"/>
        <w:rPr>
          <w:rFonts w:ascii="Calibri" w:eastAsia="Century Gothic" w:hAnsi="Calibri" w:cs="Calibri"/>
          <w:sz w:val="28"/>
          <w:szCs w:val="28"/>
          <w:lang w:val="en-US"/>
        </w:rPr>
      </w:pPr>
      <w:r w:rsidRPr="009278E2">
        <w:rPr>
          <w:rFonts w:ascii="Calibri" w:eastAsia="Century Gothic" w:hAnsi="Calibri" w:cs="Calibri"/>
          <w:sz w:val="28"/>
          <w:szCs w:val="28"/>
          <w:lang w:val="en-US"/>
        </w:rPr>
        <w:t xml:space="preserve">Written Evidence Submitted by </w:t>
      </w:r>
      <w:r w:rsidRPr="009278E2">
        <w:rPr>
          <w:rFonts w:ascii="Calibri" w:eastAsia="Century Gothic" w:hAnsi="Calibri" w:cs="Calibri"/>
          <w:sz w:val="28"/>
          <w:szCs w:val="28"/>
        </w:rPr>
        <w:t>Magic Breakfast</w:t>
      </w:r>
      <w:r w:rsidRPr="009278E2">
        <w:rPr>
          <w:rFonts w:ascii="Calibri" w:eastAsia="Century Gothic" w:hAnsi="Calibri" w:cs="Calibri"/>
          <w:sz w:val="28"/>
          <w:szCs w:val="28"/>
          <w:lang w:val="en-US"/>
        </w:rPr>
        <w:t xml:space="preserve"> (CYM0151)</w:t>
      </w:r>
    </w:p>
    <w:p w:rsidR="00C06099" w:rsidRPr="009278E2" w:rsidP="005C53B8">
      <w:pPr>
        <w:spacing w:after="0"/>
        <w:rPr>
          <w:rFonts w:ascii="Calibri" w:eastAsia="Century Gothic" w:hAnsi="Calibri" w:cs="Calibri"/>
          <w:b/>
          <w:bCs/>
          <w:sz w:val="28"/>
          <w:szCs w:val="28"/>
        </w:rPr>
      </w:pPr>
    </w:p>
    <w:p w:rsidR="00C06099" w:rsidRPr="009278E2" w:rsidP="005C53B8">
      <w:pPr>
        <w:spacing w:after="0"/>
        <w:rPr>
          <w:rFonts w:ascii="Calibri" w:eastAsia="Century Gothic" w:hAnsi="Calibri" w:cs="Calibri"/>
          <w:b/>
          <w:bCs/>
          <w:sz w:val="28"/>
          <w:szCs w:val="28"/>
        </w:rPr>
      </w:pPr>
    </w:p>
    <w:p w:rsidR="00C06099" w:rsidRPr="009278E2" w:rsidP="005C53B8">
      <w:pPr>
        <w:spacing w:after="0"/>
        <w:rPr>
          <w:rFonts w:ascii="Calibri" w:eastAsia="Century Gothic" w:hAnsi="Calibri" w:cs="Calibri"/>
          <w:b/>
          <w:bCs/>
          <w:sz w:val="28"/>
          <w:szCs w:val="28"/>
        </w:rPr>
      </w:pPr>
    </w:p>
    <w:p w:rsidR="00C06099" w:rsidRPr="009278E2" w:rsidP="005C53B8">
      <w:pPr>
        <w:spacing w:after="0"/>
        <w:rPr>
          <w:rFonts w:ascii="Calibri" w:eastAsia="Century Gothic" w:hAnsi="Calibri" w:cs="Calibri"/>
          <w:b/>
          <w:bCs/>
          <w:sz w:val="28"/>
          <w:szCs w:val="28"/>
        </w:rPr>
      </w:pPr>
    </w:p>
    <w:p w:rsidR="00C06099" w:rsidRPr="009278E2" w:rsidP="005C53B8">
      <w:pPr>
        <w:spacing w:after="0"/>
        <w:rPr>
          <w:rFonts w:ascii="Calibri" w:eastAsia="Century Gothic" w:hAnsi="Calibri" w:cs="Calibri"/>
          <w:b/>
          <w:bCs/>
          <w:sz w:val="28"/>
          <w:szCs w:val="28"/>
        </w:rPr>
      </w:pPr>
    </w:p>
    <w:p w:rsidR="00FF759E" w:rsidRPr="009278E2" w:rsidP="00EB1570">
      <w:pPr>
        <w:rPr>
          <w:rFonts w:ascii="Calibri" w:eastAsia="Century Gothic" w:hAnsi="Calibri" w:cs="Calibri"/>
          <w:b/>
          <w:bCs/>
        </w:rPr>
      </w:pPr>
      <w:r w:rsidRPr="009278E2">
        <w:rPr>
          <w:rFonts w:ascii="Calibri" w:eastAsia="Century Gothic" w:hAnsi="Calibri" w:cs="Calibri"/>
          <w:b/>
          <w:bCs/>
        </w:rPr>
        <w:t>About Magic Breakfast</w:t>
      </w:r>
    </w:p>
    <w:p w:rsidR="00FF759E" w:rsidRPr="009278E2" w:rsidP="00EB1570">
      <w:pPr>
        <w:rPr>
          <w:rFonts w:ascii="Calibri" w:eastAsia="Century Gothic" w:hAnsi="Calibri" w:cs="Calibri"/>
        </w:rPr>
      </w:pPr>
      <w:r w:rsidRPr="009278E2">
        <w:rPr>
          <w:rFonts w:ascii="Calibri" w:eastAsia="Century Gothic" w:hAnsi="Calibri" w:cs="Calibri"/>
        </w:rPr>
        <w:t>This submission is made on behalf of Magic Breakfast, the UK’s leading school breakfast charity. With over twenty years of experience delivering breakfasts and providing expert advice to schools, we make a difference to over 350,000 children and young people every day across England and Scotland.</w:t>
      </w:r>
    </w:p>
    <w:p w:rsidR="00FF759E" w:rsidRPr="009278E2" w:rsidP="00EB1570">
      <w:pPr>
        <w:rPr>
          <w:rFonts w:ascii="Calibri" w:eastAsia="Century Gothic" w:hAnsi="Calibri" w:cs="Calibri"/>
        </w:rPr>
      </w:pPr>
      <w:r w:rsidRPr="009278E2">
        <w:rPr>
          <w:rFonts w:ascii="Calibri" w:eastAsia="Century Gothic" w:hAnsi="Calibri" w:cs="Calibri"/>
        </w:rPr>
        <w:t xml:space="preserve">Magic Breakfast takes a hunger-focused, stigma- and barrier-free approach to delivering free school breakfasts, alongside offering expert advice and support to our partner schools. Our tailored approach helps maximise pupil uptake among children most at risk of hunger and ensures that school breakfast provision is embedded meaningfully into the school day in a way which enables every child and young person to be nourished, empowered and able to thrive. </w:t>
      </w:r>
    </w:p>
    <w:p w:rsidR="00FF759E" w:rsidRPr="009278E2" w:rsidP="00EB1570">
      <w:pPr>
        <w:rPr>
          <w:rFonts w:ascii="Calibri" w:eastAsia="Century Gothic" w:hAnsi="Calibri" w:cs="Calibri"/>
        </w:rPr>
      </w:pPr>
      <w:r w:rsidRPr="009278E2">
        <w:rPr>
          <w:rFonts w:ascii="Calibri" w:eastAsia="Century Gothic" w:hAnsi="Calibri" w:cs="Calibri"/>
        </w:rPr>
        <w:t xml:space="preserve">This evidence submission is informed by our experience working directly with over 1,000 schools across primary, secondary, alternative provision, and special schools.  </w:t>
      </w:r>
    </w:p>
    <w:p w:rsidR="00FF759E" w:rsidRPr="009278E2" w:rsidP="005C53B8">
      <w:pPr>
        <w:rPr>
          <w:rFonts w:ascii="Calibri" w:hAnsi="Calibri" w:cs="Calibri"/>
          <w:b/>
          <w:bCs/>
        </w:rPr>
      </w:pPr>
      <w:r w:rsidRPr="009278E2">
        <w:rPr>
          <w:rFonts w:ascii="Calibri" w:hAnsi="Calibri" w:cs="Calibri"/>
          <w:b/>
          <w:bCs/>
        </w:rPr>
        <w:t>Breakfast clubs to support children and young people’s mental health and wellbeing</w:t>
      </w:r>
    </w:p>
    <w:p w:rsidR="00FF759E" w:rsidRPr="009278E2" w:rsidP="005C53B8">
      <w:pPr>
        <w:rPr>
          <w:rFonts w:ascii="Calibri" w:eastAsia="Century Gothic" w:hAnsi="Calibri" w:cs="Calibri"/>
          <w:b/>
          <w:bCs/>
        </w:rPr>
      </w:pPr>
      <w:r w:rsidRPr="009278E2">
        <w:rPr>
          <w:rFonts w:ascii="Calibri" w:hAnsi="Calibri" w:cs="Calibri"/>
        </w:rPr>
        <w:t xml:space="preserve">Hunger and food insecurity are significant factors affecting children and young people’s mental health and wellbeing. Evidence shows that hungry children, and those at risk of hunger, </w:t>
      </w:r>
      <w:r w:rsidRPr="009278E2">
        <w:rPr>
          <w:rFonts w:ascii="Calibri" w:hAnsi="Calibri" w:cs="Calibri"/>
          <w:b/>
          <w:bCs/>
        </w:rPr>
        <w:t>experience higher levels of anxiety and aggression, alongside impaired mental functioning and increased hyperactivity</w:t>
      </w:r>
      <w:r>
        <w:rPr>
          <w:rStyle w:val="FootnoteReference"/>
          <w:rFonts w:ascii="Calibri" w:hAnsi="Calibri" w:cs="Calibri"/>
        </w:rPr>
        <w:footnoteReference w:id="2"/>
      </w:r>
      <w:r w:rsidRPr="009278E2">
        <w:rPr>
          <w:rFonts w:ascii="Calibri" w:hAnsi="Calibri" w:cs="Calibri"/>
        </w:rPr>
        <w:t xml:space="preserve">, which can affect learning, behaviour and emotional regulation. School breakfast provision can therefore play an important preventative role by addressing both nutritional needs and wider wellbeing. </w:t>
      </w:r>
    </w:p>
    <w:p w:rsidR="00FF759E" w:rsidRPr="009278E2" w:rsidP="005C53B8">
      <w:pPr>
        <w:spacing w:line="278" w:lineRule="auto"/>
        <w:rPr>
          <w:rFonts w:ascii="Calibri" w:hAnsi="Calibri" w:cs="Calibri"/>
        </w:rPr>
      </w:pPr>
      <w:r w:rsidRPr="009278E2">
        <w:rPr>
          <w:rFonts w:ascii="Calibri" w:hAnsi="Calibri" w:cs="Calibri"/>
        </w:rPr>
        <w:t xml:space="preserve">The UK Government has recognised this role through its commitment to rolling out the Free Breakfast Club Programme, which will start national rollout in April 2026. </w:t>
      </w:r>
    </w:p>
    <w:p w:rsidR="00FF759E" w:rsidRPr="009278E2" w:rsidP="005C53B8">
      <w:pPr>
        <w:rPr>
          <w:rFonts w:ascii="Calibri" w:hAnsi="Calibri" w:cs="Calibri"/>
          <w:b/>
          <w:bCs/>
        </w:rPr>
      </w:pPr>
      <w:r w:rsidRPr="009278E2">
        <w:rPr>
          <w:rFonts w:ascii="Calibri" w:hAnsi="Calibri" w:cs="Calibri"/>
          <w:b/>
          <w:bCs/>
        </w:rPr>
        <w:t>Mental health and wellbeing benefits</w:t>
      </w:r>
    </w:p>
    <w:p w:rsidR="00FF759E" w:rsidRPr="009278E2" w:rsidP="005C53B8">
      <w:pPr>
        <w:spacing w:line="278" w:lineRule="auto"/>
        <w:rPr>
          <w:rFonts w:ascii="Calibri" w:hAnsi="Calibri" w:cs="Calibri"/>
        </w:rPr>
      </w:pPr>
      <w:r w:rsidRPr="009278E2">
        <w:rPr>
          <w:rFonts w:ascii="Calibri" w:hAnsi="Calibri" w:cs="Calibri"/>
        </w:rPr>
        <w:t>There is significant evidence that school breakfast programmes can support the mental health and wellbeing of children and young people. Research shows a high-quality school breakfast provision can:</w:t>
      </w:r>
    </w:p>
    <w:p w:rsidR="00FF759E" w:rsidRPr="009278E2" w:rsidP="001A78AE">
      <w:pPr>
        <w:numPr>
          <w:ilvl w:val="0"/>
          <w:numId w:val="6"/>
        </w:numPr>
        <w:spacing w:line="278" w:lineRule="auto"/>
        <w:rPr>
          <w:rFonts w:ascii="Calibri" w:hAnsi="Calibri" w:cs="Calibri"/>
        </w:rPr>
      </w:pPr>
      <w:r w:rsidRPr="009278E2">
        <w:rPr>
          <w:rFonts w:ascii="Calibri" w:hAnsi="Calibri" w:cs="Calibri"/>
        </w:rPr>
        <w:t>Reduce hunger,</w:t>
      </w:r>
      <w:r w:rsidRPr="009278E2">
        <w:rPr>
          <w:rFonts w:ascii="Calibri" w:hAnsi="Calibri" w:cs="Calibri"/>
          <w:b/>
          <w:bCs/>
        </w:rPr>
        <w:t xml:space="preserve"> </w:t>
      </w:r>
      <w:r w:rsidRPr="009278E2">
        <w:rPr>
          <w:rFonts w:ascii="Calibri" w:hAnsi="Calibri" w:cs="Calibri"/>
        </w:rPr>
        <w:t xml:space="preserve">leading to </w:t>
      </w:r>
      <w:r w:rsidRPr="009278E2">
        <w:rPr>
          <w:rFonts w:ascii="Calibri" w:hAnsi="Calibri" w:cs="Calibri"/>
          <w:b/>
          <w:bCs/>
        </w:rPr>
        <w:t>higher wellbeing scores</w:t>
      </w:r>
      <w:r>
        <w:rPr>
          <w:rStyle w:val="FootnoteReference"/>
          <w:rFonts w:ascii="Calibri" w:hAnsi="Calibri" w:cs="Calibri"/>
          <w:b/>
          <w:bCs/>
        </w:rPr>
        <w:footnoteReference w:id="3"/>
      </w:r>
      <w:r w:rsidRPr="009278E2">
        <w:rPr>
          <w:rFonts w:ascii="Calibri" w:hAnsi="Calibri" w:cs="Calibri"/>
          <w:b/>
          <w:bCs/>
        </w:rPr>
        <w:t>, lower anxiety, stress and depression</w:t>
      </w:r>
      <w:r>
        <w:rPr>
          <w:rStyle w:val="FootnoteReference"/>
          <w:rFonts w:ascii="Calibri" w:hAnsi="Calibri" w:cs="Calibri"/>
        </w:rPr>
        <w:footnoteReference w:id="4"/>
      </w:r>
      <w:r>
        <w:rPr>
          <w:rStyle w:val="FootnoteReference"/>
          <w:rFonts w:ascii="Calibri" w:hAnsi="Calibri" w:cs="Calibri"/>
        </w:rPr>
        <w:footnoteReference w:id="5"/>
      </w:r>
      <w:r>
        <w:rPr>
          <w:rStyle w:val="FootnoteReference"/>
          <w:rFonts w:ascii="Calibri" w:hAnsi="Calibri" w:cs="Calibri"/>
        </w:rPr>
        <w:footnoteReference w:id="6"/>
      </w:r>
      <w:r w:rsidRPr="009278E2">
        <w:rPr>
          <w:rFonts w:ascii="Calibri" w:hAnsi="Calibri" w:cs="Calibri"/>
        </w:rPr>
        <w:t xml:space="preserve"> and supports improved cognitive functioning and behaviour in school</w:t>
      </w:r>
      <w:r>
        <w:rPr>
          <w:rStyle w:val="FootnoteReference"/>
          <w:rFonts w:ascii="Calibri" w:hAnsi="Calibri" w:cs="Calibri"/>
        </w:rPr>
        <w:footnoteReference w:id="7"/>
      </w:r>
      <w:r w:rsidRPr="009278E2">
        <w:rPr>
          <w:rFonts w:ascii="Calibri" w:hAnsi="Calibri" w:cs="Calibri"/>
        </w:rPr>
        <w:t xml:space="preserve">. </w:t>
      </w:r>
    </w:p>
    <w:p w:rsidR="00FF759E" w:rsidRPr="009278E2" w:rsidP="00B214DA">
      <w:pPr>
        <w:numPr>
          <w:ilvl w:val="0"/>
          <w:numId w:val="6"/>
        </w:numPr>
        <w:spacing w:line="278" w:lineRule="auto"/>
        <w:rPr>
          <w:rFonts w:ascii="Calibri" w:hAnsi="Calibri" w:cs="Calibri"/>
        </w:rPr>
      </w:pPr>
      <w:r>
        <w:rPr>
          <w:rFonts w:ascii="Calibri" w:hAnsi="Calibri" w:cs="Calibri"/>
          <w:noProof/>
        </w:rPr>
        <w:pict>
          <v:shapetype id="_x0000_t202" coordsize="21600,21600" o:spt="202" path="m,l,21600r21600,l21600,xe">
            <v:stroke joinstyle="miter"/>
            <v:path gradientshapeok="t" o:connecttype="rect"/>
          </v:shapetype>
          <v:shape id="Text Box 2" o:spid="_x0000_s1025" type="#_x0000_t202" style="height:99.75pt;margin-left:36pt;margin-top:92.65pt;mso-height-percent:0;mso-height-relative:margin;mso-position-horizontal-relative:margin;mso-width-percent:0;mso-width-relative:margin;mso-wrap-distance-bottom:3.6pt;mso-wrap-distance-left:9pt;mso-wrap-distance-right:9pt;mso-wrap-distance-top:3.6pt;mso-wrap-style:square;position:absolute;v-text-anchor:top;visibility:visible;width:405.75pt;z-index:251658240">
            <v:textbox>
              <w:txbxContent>
                <w:p w:rsidR="00FF759E" w:rsidRPr="00B46BF3">
                  <w:pPr>
                    <w:rPr>
                      <w:rFonts w:ascii="Century Gothic" w:hAnsi="Century Gothic"/>
                    </w:rPr>
                  </w:pPr>
                  <w:r w:rsidRPr="00B46BF3">
                    <w:rPr>
                      <w:rFonts w:ascii="Century Gothic" w:hAnsi="Century Gothic"/>
                    </w:rPr>
                    <w:t xml:space="preserve">“Parents are feeling more relaxed about coming into school. They're not feeling rushed. One parent said to me </w:t>
                  </w:r>
                  <w:r>
                    <w:rPr>
                      <w:rFonts w:ascii="Century Gothic" w:hAnsi="Century Gothic"/>
                    </w:rPr>
                    <w:t>‘T</w:t>
                  </w:r>
                  <w:r w:rsidRPr="00B46BF3">
                    <w:rPr>
                      <w:rFonts w:ascii="Century Gothic" w:hAnsi="Century Gothic"/>
                    </w:rPr>
                    <w:t>his is so invaluable because I don't have to fight with my daughter every morning to eat breakfast because she knows she's going to have breakfast with her friends' and that makes a huge amount of difference to the children, to the parents.” </w:t>
                  </w:r>
                  <w:r w:rsidRPr="00B46BF3">
                    <w:rPr>
                      <w:rFonts w:ascii="Century Gothic" w:hAnsi="Century Gothic"/>
                      <w:b/>
                      <w:bCs/>
                    </w:rPr>
                    <w:t xml:space="preserve"> Headteacher, Nursery School and Children’s Centre (Wandsworth)</w:t>
                  </w:r>
                  <w:r w:rsidRPr="00B46BF3">
                    <w:rPr>
                      <w:rFonts w:ascii="Century Gothic" w:hAnsi="Century Gothic"/>
                    </w:rPr>
                    <w:t> </w:t>
                  </w:r>
                </w:p>
              </w:txbxContent>
            </v:textbox>
            <w10:wrap type="square"/>
          </v:shape>
        </w:pict>
      </w:r>
      <w:r w:rsidRPr="009278E2">
        <w:rPr>
          <w:rFonts w:ascii="Calibri" w:hAnsi="Calibri" w:cs="Calibri"/>
          <w:b/>
          <w:bCs/>
        </w:rPr>
        <w:t>Improve social connection and emotional development</w:t>
      </w:r>
      <w:r w:rsidRPr="009278E2">
        <w:rPr>
          <w:rFonts w:ascii="Calibri" w:hAnsi="Calibri" w:cs="Calibri"/>
        </w:rPr>
        <w:t xml:space="preserve"> including through increased self-awareness and peer acceptance, opportunities to express emotions through play, conversation and shared activities and improved confidence forming relationships with peers outside their usual class groups as well as stronger peer relationships and reduced peer victimisation</w:t>
      </w:r>
      <w:r>
        <w:rPr>
          <w:rStyle w:val="FootnoteReference"/>
          <w:rFonts w:ascii="Calibri" w:hAnsi="Calibri" w:cs="Calibri"/>
        </w:rPr>
        <w:footnoteReference w:id="8"/>
      </w:r>
      <w:r w:rsidRPr="009278E2">
        <w:rPr>
          <w:rFonts w:ascii="Calibri" w:hAnsi="Calibri" w:cs="Calibri"/>
        </w:rPr>
        <w:t>.</w:t>
      </w:r>
    </w:p>
    <w:p w:rsidR="00FF759E" w:rsidRPr="009278E2" w:rsidP="00B46BF3">
      <w:pPr>
        <w:spacing w:line="278" w:lineRule="auto"/>
        <w:ind w:left="360"/>
        <w:rPr>
          <w:rFonts w:ascii="Calibri" w:hAnsi="Calibri" w:cs="Calibri"/>
        </w:rPr>
      </w:pPr>
    </w:p>
    <w:p w:rsidR="00FF759E" w:rsidRPr="009278E2" w:rsidP="00FE0248">
      <w:pPr>
        <w:numPr>
          <w:ilvl w:val="0"/>
          <w:numId w:val="6"/>
        </w:numPr>
        <w:spacing w:line="278" w:lineRule="auto"/>
        <w:rPr>
          <w:rFonts w:ascii="Calibri" w:hAnsi="Calibri" w:cs="Calibri"/>
        </w:rPr>
      </w:pPr>
      <w:r w:rsidRPr="009278E2">
        <w:rPr>
          <w:rFonts w:ascii="Calibri" w:hAnsi="Calibri" w:cs="Calibri"/>
          <w:b/>
          <w:bCs/>
        </w:rPr>
        <w:t>Lead to better support for vulnerable children and families</w:t>
      </w:r>
      <w:r w:rsidRPr="009278E2">
        <w:rPr>
          <w:rFonts w:ascii="Calibri" w:hAnsi="Calibri" w:cs="Calibri"/>
        </w:rPr>
        <w:t xml:space="preserve"> through reduced stress and conflict within families during the morning routine, helping parents get to work or appointments more easily</w:t>
      </w:r>
      <w:r>
        <w:rPr>
          <w:rStyle w:val="FootnoteReference"/>
          <w:rFonts w:ascii="Calibri" w:hAnsi="Calibri" w:cs="Calibri"/>
        </w:rPr>
        <w:footnoteReference w:id="9"/>
      </w:r>
      <w:r w:rsidRPr="009278E2">
        <w:rPr>
          <w:rFonts w:ascii="Calibri" w:hAnsi="Calibri" w:cs="Calibri"/>
        </w:rPr>
        <w:t xml:space="preserve"> and ensuring vulnerable children arrive at school happier and ready to learn because they know they will receive food</w:t>
      </w:r>
      <w:r>
        <w:rPr>
          <w:rStyle w:val="FootnoteReference"/>
          <w:rFonts w:ascii="Calibri" w:hAnsi="Calibri" w:cs="Calibri"/>
        </w:rPr>
        <w:footnoteReference w:id="10"/>
      </w:r>
      <w:r w:rsidRPr="009278E2">
        <w:rPr>
          <w:rFonts w:ascii="Calibri" w:hAnsi="Calibri" w:cs="Calibri"/>
        </w:rPr>
        <w:t>.</w:t>
      </w:r>
    </w:p>
    <w:p w:rsidR="00FF759E" w:rsidRPr="009278E2" w:rsidP="00C44C5E">
      <w:pPr>
        <w:numPr>
          <w:ilvl w:val="0"/>
          <w:numId w:val="6"/>
        </w:numPr>
        <w:spacing w:line="278" w:lineRule="auto"/>
        <w:rPr>
          <w:rFonts w:ascii="Calibri" w:hAnsi="Calibri" w:cs="Calibri"/>
        </w:rPr>
      </w:pPr>
      <w:r w:rsidRPr="009278E2">
        <w:rPr>
          <w:rFonts w:ascii="Calibri" w:hAnsi="Calibri" w:cs="Calibri"/>
          <w:b/>
          <w:bCs/>
        </w:rPr>
        <w:t>Create inclusive community spaces</w:t>
      </w:r>
      <w:r w:rsidRPr="009278E2">
        <w:rPr>
          <w:rFonts w:ascii="Calibri" w:hAnsi="Calibri" w:cs="Calibri"/>
        </w:rPr>
        <w:t xml:space="preserve"> by reducing stigma associated with targeted food provision¹⁴, providing a space within schools that support both wellbeing and early identification of children’s support needs.</w:t>
      </w:r>
    </w:p>
    <w:p w:rsidR="00FF759E" w:rsidRPr="009278E2" w:rsidP="005C53B8">
      <w:pPr>
        <w:rPr>
          <w:rFonts w:ascii="Calibri" w:eastAsia="Century Gothic" w:hAnsi="Calibri" w:cs="Calibri"/>
          <w:b/>
          <w:bCs/>
        </w:rPr>
      </w:pPr>
      <w:r w:rsidRPr="009278E2">
        <w:rPr>
          <w:rFonts w:ascii="Calibri" w:eastAsia="Century Gothic" w:hAnsi="Calibri" w:cs="Calibri"/>
          <w:b/>
          <w:bCs/>
        </w:rPr>
        <w:t>Magic Breakfast’s partner secondary schools say</w:t>
      </w:r>
      <w:r>
        <w:rPr>
          <w:rStyle w:val="FootnoteReference"/>
          <w:rFonts w:ascii="Calibri" w:hAnsi="Calibri" w:cs="Calibri"/>
          <w:b/>
          <w:bCs/>
        </w:rPr>
        <w:footnoteReference w:id="11"/>
      </w:r>
      <w:r w:rsidRPr="009278E2">
        <w:rPr>
          <w:rFonts w:ascii="Calibri" w:eastAsia="Century Gothic" w:hAnsi="Calibri" w:cs="Calibri"/>
          <w:b/>
          <w:bCs/>
        </w:rPr>
        <w:t>:  </w:t>
      </w:r>
    </w:p>
    <w:p w:rsidR="00FF759E" w:rsidRPr="009278E2" w:rsidP="005A4ED7">
      <w:pPr>
        <w:pStyle w:val="ListParagraph"/>
        <w:numPr>
          <w:ilvl w:val="0"/>
          <w:numId w:val="18"/>
        </w:numPr>
        <w:rPr>
          <w:rFonts w:ascii="Calibri" w:hAnsi="Calibri" w:cs="Calibri"/>
          <w:b/>
          <w:bCs/>
        </w:rPr>
      </w:pPr>
      <w:r w:rsidRPr="009278E2">
        <w:rPr>
          <w:rFonts w:ascii="Calibri" w:hAnsi="Calibri" w:cs="Calibri"/>
          <w:b/>
          <w:bCs/>
        </w:rPr>
        <w:t>Breakfast supports pupils’ mental health and emotional wellbeing (79%)</w:t>
      </w:r>
    </w:p>
    <w:p w:rsidR="00FF759E" w:rsidRPr="009278E2" w:rsidP="005A4ED7">
      <w:pPr>
        <w:pStyle w:val="ListParagraph"/>
        <w:numPr>
          <w:ilvl w:val="0"/>
          <w:numId w:val="18"/>
        </w:numPr>
        <w:rPr>
          <w:rFonts w:ascii="Calibri" w:hAnsi="Calibri" w:cs="Calibri"/>
          <w:b/>
          <w:bCs/>
        </w:rPr>
      </w:pPr>
      <w:r w:rsidRPr="009278E2">
        <w:rPr>
          <w:rFonts w:ascii="Calibri" w:hAnsi="Calibri" w:cs="Calibri"/>
          <w:b/>
          <w:bCs/>
        </w:rPr>
        <w:t>School breakfast provision contributes to a better sense of belonging (84%)</w:t>
      </w:r>
    </w:p>
    <w:p w:rsidR="00FF759E" w:rsidRPr="009278E2" w:rsidP="005C53B8">
      <w:pPr>
        <w:pStyle w:val="ListParagraph"/>
        <w:numPr>
          <w:ilvl w:val="0"/>
          <w:numId w:val="18"/>
        </w:numPr>
        <w:rPr>
          <w:rFonts w:ascii="Calibri" w:hAnsi="Calibri" w:cs="Calibri"/>
          <w:b/>
          <w:bCs/>
        </w:rPr>
      </w:pPr>
      <w:r w:rsidRPr="009278E2">
        <w:rPr>
          <w:rFonts w:ascii="Calibri" w:hAnsi="Calibri" w:cs="Calibri"/>
          <w:b/>
          <w:bCs/>
        </w:rPr>
        <w:t>Free school breakfast provision should be extended to secondary school pupils (90%) </w:t>
      </w:r>
    </w:p>
    <w:p w:rsidR="00FF759E" w:rsidRPr="009278E2" w:rsidP="005C53B8">
      <w:pPr>
        <w:spacing w:line="278" w:lineRule="auto"/>
        <w:rPr>
          <w:rFonts w:ascii="Calibri" w:hAnsi="Calibri" w:cs="Calibri"/>
          <w:b/>
          <w:bCs/>
        </w:rPr>
      </w:pPr>
      <w:r w:rsidRPr="009278E2">
        <w:rPr>
          <w:rFonts w:ascii="Calibri" w:hAnsi="Calibri" w:cs="Calibri"/>
          <w:b/>
          <w:bCs/>
        </w:rPr>
        <w:t xml:space="preserve">Policy context </w:t>
      </w:r>
    </w:p>
    <w:p w:rsidR="00FF759E" w:rsidRPr="009278E2" w:rsidP="005C53B8">
      <w:pPr>
        <w:spacing w:line="278" w:lineRule="auto"/>
        <w:rPr>
          <w:rFonts w:ascii="Calibri" w:hAnsi="Calibri" w:cs="Calibri"/>
          <w:b/>
          <w:bCs/>
          <w:u w:val="single"/>
        </w:rPr>
      </w:pPr>
      <w:r w:rsidRPr="009278E2">
        <w:rPr>
          <w:rFonts w:ascii="Calibri" w:hAnsi="Calibri" w:cs="Calibri"/>
          <w:b/>
          <w:bCs/>
          <w:u w:val="single"/>
        </w:rPr>
        <w:t>Primary</w:t>
      </w:r>
    </w:p>
    <w:p w:rsidR="00FF759E" w:rsidRPr="009278E2" w:rsidP="005C53B8">
      <w:pPr>
        <w:rPr>
          <w:rFonts w:ascii="Calibri" w:eastAsia="Century Gothic" w:hAnsi="Calibri" w:cs="Calibri"/>
        </w:rPr>
      </w:pPr>
      <w:r w:rsidRPr="009278E2">
        <w:rPr>
          <w:rFonts w:ascii="Calibri" w:eastAsia="Century Gothic" w:hAnsi="Calibri" w:cs="Calibri"/>
        </w:rPr>
        <w:t>Magic Breakfast welcomes the Government’s ongoing commitment to deliver a free breakfast club in every primary school. We are proud to have partnered with the Department for Education to support the delivery of the Free Breakfast Club Early Adopters Scheme and are delighted that national rollout of the programme will begin in April 2026. More than 750 schools have taken part; delivering over 7 million breakfasts to more than 180,000 pupils in the most disadvantaged communities.</w:t>
      </w:r>
      <w:r w:rsidRPr="009278E2">
        <w:rPr>
          <w:rStyle w:val="FootnoteReference"/>
          <w:rFonts w:ascii="Calibri" w:eastAsia="Century Gothic" w:hAnsi="Calibri" w:cs="Calibri"/>
        </w:rPr>
        <w:t xml:space="preserve"> </w:t>
      </w:r>
      <w:r>
        <w:rPr>
          <w:rStyle w:val="FootnoteReference"/>
          <w:rFonts w:ascii="Calibri" w:eastAsia="Century Gothic" w:hAnsi="Calibri" w:cs="Calibri"/>
        </w:rPr>
        <w:footnoteReference w:id="12"/>
      </w:r>
    </w:p>
    <w:p w:rsidR="00FF759E" w:rsidRPr="009278E2" w:rsidP="005C53B8">
      <w:pPr>
        <w:rPr>
          <w:rFonts w:ascii="Calibri" w:eastAsia="Century Gothic" w:hAnsi="Calibri" w:cs="Calibri"/>
        </w:rPr>
      </w:pPr>
      <w:r w:rsidRPr="009278E2">
        <w:rPr>
          <w:rFonts w:ascii="Calibri" w:eastAsia="Century Gothic" w:hAnsi="Calibri" w:cs="Calibri"/>
        </w:rPr>
        <w:t>The first phase of national implementation is backed by £80 million in funding for 2026 / 27. 1,250 schools will join the scheme from its start date in April, making this vital service available to more than 300,000 children, and an additional 1,500 schools from areas of the highest deprivation will join in September 2026</w:t>
      </w:r>
      <w:r>
        <w:rPr>
          <w:rStyle w:val="FootnoteReference"/>
          <w:rFonts w:ascii="Calibri" w:eastAsia="Century Gothic" w:hAnsi="Calibri" w:cs="Calibri"/>
        </w:rPr>
        <w:footnoteReference w:id="13"/>
      </w:r>
      <w:r w:rsidRPr="009278E2">
        <w:rPr>
          <w:rFonts w:ascii="Calibri" w:hAnsi="Calibri" w:cs="Calibri"/>
        </w:rPr>
        <w:t>￼</w:t>
      </w:r>
      <w:r w:rsidRPr="009278E2">
        <w:rPr>
          <w:rFonts w:ascii="Calibri" w:eastAsia="Century Gothic" w:hAnsi="Calibri" w:cs="Calibri"/>
        </w:rPr>
        <w:t xml:space="preserve"> </w:t>
      </w:r>
    </w:p>
    <w:p w:rsidR="00FF759E" w:rsidRPr="009278E2" w:rsidP="00824410">
      <w:pPr>
        <w:rPr>
          <w:rFonts w:ascii="Calibri" w:eastAsia="Century Gothic" w:hAnsi="Calibri" w:cs="Calibri"/>
        </w:rPr>
      </w:pPr>
      <w:r w:rsidRPr="009278E2">
        <w:rPr>
          <w:rFonts w:ascii="Calibri" w:eastAsia="Century Gothic" w:hAnsi="Calibri" w:cs="Calibri"/>
        </w:rPr>
        <w:t xml:space="preserve">However, there are around </w:t>
      </w:r>
      <w:r>
        <w:fldChar w:fldCharType="begin"/>
      </w:r>
      <w:r>
        <w:instrText xml:space="preserve"> HYPERLINK "https://www.gov.uk/government/publications/department-for-education-consolidated-annual-report-and-accounts-2024-to-2025/dfe-consolidated-annual-report-and-accounts-2024-to-2025-html-version" </w:instrText>
      </w:r>
      <w:r>
        <w:fldChar w:fldCharType="separate"/>
      </w:r>
      <w:r w:rsidRPr="009278E2">
        <w:rPr>
          <w:rStyle w:val="Hyperlink"/>
          <w:rFonts w:ascii="Calibri" w:eastAsia="Century Gothic" w:hAnsi="Calibri" w:cs="Calibri"/>
        </w:rPr>
        <w:t>16,500 primary schools</w:t>
      </w:r>
      <w:r>
        <w:fldChar w:fldCharType="end"/>
      </w:r>
      <w:r w:rsidRPr="009278E2">
        <w:rPr>
          <w:rFonts w:ascii="Calibri" w:eastAsia="Century Gothic" w:hAnsi="Calibri" w:cs="Calibri"/>
        </w:rPr>
        <w:t xml:space="preserve"> with 4.55 million pupils in England, and more attending special schools, pupil referral units and alternative provision, so the 300,000 pupils who will have access from April 2026 are just a small fraction of the total population that this policy is looking to reach. </w:t>
      </w:r>
    </w:p>
    <w:p w:rsidR="00FF759E" w:rsidRPr="009278E2" w:rsidP="005C53B8">
      <w:pPr>
        <w:rPr>
          <w:rFonts w:ascii="Calibri" w:eastAsia="Century Gothic" w:hAnsi="Calibri" w:cs="Calibri"/>
        </w:rPr>
      </w:pPr>
      <w:r w:rsidRPr="009278E2">
        <w:rPr>
          <w:rFonts w:ascii="Calibri" w:eastAsia="Century Gothic" w:hAnsi="Calibri" w:cs="Calibri"/>
        </w:rPr>
        <w:t xml:space="preserve">The Labour Party manifesto identified that the Party believed the scheme would cost around £315 million to implement up to 2028. The Government has so far committed £113 million up to March 2027 (which included some funding for the continued National School Breakfast Programme in 2025 / 26). </w:t>
      </w:r>
    </w:p>
    <w:p w:rsidR="00FF759E" w:rsidRPr="009278E2" w:rsidP="005C53B8">
      <w:pPr>
        <w:rPr>
          <w:rFonts w:ascii="Calibri" w:eastAsia="Century Gothic" w:hAnsi="Calibri" w:cs="Calibri"/>
        </w:rPr>
      </w:pPr>
      <w:r w:rsidRPr="009278E2">
        <w:rPr>
          <w:rFonts w:ascii="Calibri" w:eastAsia="Century Gothic" w:hAnsi="Calibri" w:cs="Calibri"/>
        </w:rPr>
        <w:t xml:space="preserve">The Government must meet its funding commitments and set out a roadmap to support implementation in these schools. </w:t>
      </w:r>
    </w:p>
    <w:p w:rsidR="00FF759E" w:rsidRPr="009278E2" w:rsidP="005C53B8">
      <w:pPr>
        <w:spacing w:line="279" w:lineRule="auto"/>
        <w:rPr>
          <w:rFonts w:ascii="Calibri" w:eastAsia="Century Gothic" w:hAnsi="Calibri" w:cs="Calibri"/>
          <w:b/>
          <w:u w:val="single"/>
        </w:rPr>
      </w:pPr>
      <w:r w:rsidRPr="009278E2">
        <w:rPr>
          <w:rFonts w:ascii="Calibri" w:eastAsia="Century Gothic" w:hAnsi="Calibri" w:cs="Calibri"/>
          <w:b/>
          <w:u w:val="single"/>
        </w:rPr>
        <w:t>Early Years</w:t>
      </w:r>
    </w:p>
    <w:p w:rsidR="00FF759E" w:rsidRPr="009278E2" w:rsidP="005C53B8">
      <w:pPr>
        <w:rPr>
          <w:rFonts w:ascii="Calibri" w:eastAsia="Century Gothic" w:hAnsi="Calibri" w:cs="Calibri"/>
        </w:rPr>
      </w:pPr>
      <w:r w:rsidRPr="009278E2">
        <w:rPr>
          <w:rFonts w:ascii="Calibri" w:eastAsia="Century Gothic" w:hAnsi="Calibri" w:cs="Calibri"/>
        </w:rPr>
        <w:t>During this Parliament, primary-aged children across England will start to benefit from a free breakfast club under the Government’s scheme, but their younger sibling or peers in nursery will be excluded or required to pay, introducing inequity into the system between nursery and primary children. This will be felt particularly acutely in school-based nurseries.</w:t>
      </w:r>
    </w:p>
    <w:p w:rsidR="00FF759E" w:rsidRPr="009278E2" w:rsidP="005C53B8">
      <w:pPr>
        <w:rPr>
          <w:rFonts w:ascii="Calibri" w:eastAsia="Century Gothic" w:hAnsi="Calibri" w:cs="Calibri"/>
        </w:rPr>
      </w:pPr>
      <w:r w:rsidRPr="009278E2">
        <w:rPr>
          <w:rFonts w:ascii="Calibri" w:eastAsia="Century Gothic" w:hAnsi="Calibri" w:cs="Calibri"/>
        </w:rPr>
        <w:t>There is a real need for food interventions before children reach age 5 - food insecurity is higher in families with young children, with 31% of children aged 0-5 living in food insecure households.</w:t>
      </w:r>
      <w:r>
        <w:rPr>
          <w:rStyle w:val="FootnoteReference"/>
          <w:rFonts w:ascii="Calibri" w:eastAsia="Century Gothic" w:hAnsi="Calibri" w:cs="Calibri"/>
        </w:rPr>
        <w:footnoteReference w:id="14"/>
      </w:r>
      <w:r w:rsidRPr="009278E2">
        <w:rPr>
          <w:rFonts w:ascii="Calibri" w:eastAsia="Century Gothic" w:hAnsi="Calibri" w:cs="Calibri"/>
        </w:rPr>
        <w:t> </w:t>
      </w:r>
    </w:p>
    <w:p w:rsidR="00FF759E" w:rsidRPr="009278E2" w:rsidP="005C53B8">
      <w:pPr>
        <w:rPr>
          <w:rFonts w:ascii="Calibri" w:eastAsia="Century Gothic" w:hAnsi="Calibri" w:cs="Calibri"/>
        </w:rPr>
      </w:pPr>
      <w:r w:rsidRPr="009278E2">
        <w:rPr>
          <w:rFonts w:ascii="Calibri" w:eastAsia="Century Gothic" w:hAnsi="Calibri" w:cs="Calibri"/>
        </w:rPr>
        <w:t>Magic Breakfast evidence from early years settings shows that breakfast provision supports children’s psychological readiness for school, including emotional regulation, confidence, independence and social development, helping children to settle, engage and transition into primary education.</w:t>
      </w:r>
      <w:r>
        <w:rPr>
          <w:rStyle w:val="FootnoteReference"/>
          <w:rFonts w:ascii="Calibri" w:eastAsia="Century Gothic" w:hAnsi="Calibri" w:cs="Calibri"/>
        </w:rPr>
        <w:footnoteReference w:id="15"/>
      </w:r>
    </w:p>
    <w:p w:rsidR="00FF759E" w:rsidRPr="009278E2" w:rsidP="005C53B8">
      <w:pPr>
        <w:rPr>
          <w:rFonts w:ascii="Calibri" w:eastAsia="Century Gothic" w:hAnsi="Calibri" w:cs="Calibri"/>
        </w:rPr>
      </w:pPr>
      <w:r w:rsidRPr="009278E2">
        <w:rPr>
          <w:rFonts w:ascii="Calibri" w:eastAsia="Century Gothic" w:hAnsi="Calibri" w:cs="Calibri"/>
        </w:rPr>
        <w:t>Magic Breakfast partners with more than 250 school-based nurseries to provide a joined-up breakfast provision for children. In our experience, in primary schools with nursery provision, those that run a breakfast programme typically have a joined-up approach, offering all children breakfast. Our provision in school-based nurseries has grown organically, driven by partner schools requesting breakfast to cover their nursery provision after observing the inequality between siblings and seeing the positive impact it could have. </w:t>
      </w:r>
    </w:p>
    <w:p w:rsidR="00FF759E" w:rsidRPr="009278E2" w:rsidP="005C53B8">
      <w:pPr>
        <w:spacing w:line="279" w:lineRule="auto"/>
        <w:rPr>
          <w:rFonts w:ascii="Calibri" w:eastAsia="Century Gothic" w:hAnsi="Calibri" w:cs="Calibri"/>
          <w:b/>
          <w:u w:val="single"/>
        </w:rPr>
      </w:pPr>
      <w:r w:rsidRPr="009278E2">
        <w:rPr>
          <w:rFonts w:ascii="Calibri" w:eastAsia="Century Gothic" w:hAnsi="Calibri" w:cs="Calibri"/>
          <w:b/>
          <w:u w:val="single"/>
        </w:rPr>
        <w:t xml:space="preserve">Secondary </w:t>
      </w:r>
    </w:p>
    <w:p w:rsidR="00FF759E" w:rsidRPr="009278E2" w:rsidP="005C53B8">
      <w:pPr>
        <w:rPr>
          <w:rFonts w:ascii="Calibri" w:eastAsia="Century Gothic" w:hAnsi="Calibri" w:cs="Calibri"/>
        </w:rPr>
      </w:pPr>
      <w:r w:rsidRPr="009278E2">
        <w:rPr>
          <w:rFonts w:ascii="Calibri" w:eastAsia="Century Gothic" w:hAnsi="Calibri" w:cs="Calibri"/>
        </w:rPr>
        <w:t>Secondary-aged pupils are also missing out the benefits of a school breakfast offer. While a small number of secondary schools (around 900) currently receive funding to subsidise a breakfast club through the National School Breakfast Programme (NSBP), funding will only be available until the end of the 2027 school year. In the coming years, a generation of pupils who received a free breakfast every morning before school in primary, will face a cliff-edge in this support when they enter secondary school. But breakfast is still important beyond age 11.</w:t>
      </w:r>
    </w:p>
    <w:p w:rsidR="00FF759E" w:rsidRPr="009278E2" w:rsidP="001624AA">
      <w:pPr>
        <w:rPr>
          <w:rFonts w:ascii="Calibri" w:eastAsia="Century Gothic" w:hAnsi="Calibri" w:cs="Calibri"/>
        </w:rPr>
      </w:pPr>
      <w:r w:rsidRPr="009278E2">
        <w:rPr>
          <w:rFonts w:ascii="Calibri" w:eastAsia="Century Gothic" w:hAnsi="Calibri" w:cs="Calibri"/>
        </w:rPr>
        <w:t>Adolescence is a critical stage of development, but secondary-aged pupils have the worst diet quality of any age group and are the most likely to skip breakfast, highlighting the need to consider breakfast provision for this age group</w:t>
      </w:r>
      <w:r>
        <w:rPr>
          <w:rStyle w:val="FootnoteReference"/>
          <w:rFonts w:ascii="Calibri" w:eastAsia="Century Gothic" w:hAnsi="Calibri" w:cs="Calibri"/>
        </w:rPr>
        <w:footnoteReference w:id="16"/>
      </w:r>
      <w:r w:rsidRPr="009278E2">
        <w:rPr>
          <w:rFonts w:ascii="Calibri" w:eastAsia="Century Gothic" w:hAnsi="Calibri" w:cs="Calibri"/>
        </w:rPr>
        <w:t>. </w:t>
      </w:r>
    </w:p>
    <w:p w:rsidR="00FF759E" w:rsidRPr="009278E2" w:rsidP="001624AA">
      <w:pPr>
        <w:rPr>
          <w:rFonts w:ascii="Calibri" w:eastAsia="Century Gothic" w:hAnsi="Calibri" w:cs="Calibri"/>
        </w:rPr>
      </w:pPr>
      <w:r w:rsidRPr="009278E2">
        <w:rPr>
          <w:rFonts w:ascii="Calibri" w:eastAsia="Century Gothic" w:hAnsi="Calibri" w:cs="Calibri"/>
        </w:rPr>
        <w:t>Early adolescence and the transition into secondary school are also associated with a well</w:t>
      </w:r>
      <w:r w:rsidRPr="009278E2">
        <w:rPr>
          <w:rFonts w:ascii="Calibri" w:eastAsia="Century Gothic" w:hAnsi="Calibri" w:cs="Calibri"/>
        </w:rPr>
        <w:noBreakHyphen/>
        <w:t>evidenced decline in pupils’ sense of belonging, particularly for those facing disadvantage. Research</w:t>
      </w:r>
      <w:r>
        <w:rPr>
          <w:rStyle w:val="FootnoteReference"/>
          <w:rFonts w:ascii="Calibri" w:eastAsia="Century Gothic" w:hAnsi="Calibri" w:cs="Calibri"/>
        </w:rPr>
        <w:footnoteReference w:id="17"/>
      </w:r>
      <w:r w:rsidRPr="009278E2">
        <w:rPr>
          <w:rFonts w:ascii="Calibri" w:eastAsia="Century Gothic" w:hAnsi="Calibri" w:cs="Calibri"/>
        </w:rPr>
        <w:t xml:space="preserve"> shows that reduced feelings of safety, connection and inclusion during this period are closely linked to poorer mental health and wellbeing outcomes. In this context, school breakfast provision can play an important protective role by creating inclusive, relational spaces at the start of the day that foster community, peer connection and a sense of safety, supporting confidence and resilience at a critical developmental stage.</w:t>
      </w:r>
    </w:p>
    <w:p w:rsidR="00FF759E" w:rsidRPr="009278E2" w:rsidP="001624AA">
      <w:pPr>
        <w:rPr>
          <w:rFonts w:ascii="Calibri" w:eastAsia="Century Gothic" w:hAnsi="Calibri" w:cs="Calibri"/>
        </w:rPr>
      </w:pPr>
      <w:r w:rsidRPr="009278E2">
        <w:rPr>
          <w:rFonts w:ascii="Calibri" w:eastAsia="Century Gothic" w:hAnsi="Calibri" w:cs="Calibri"/>
        </w:rPr>
        <w:t>School</w:t>
      </w:r>
      <w:r w:rsidRPr="009278E2">
        <w:rPr>
          <w:rFonts w:ascii="Calibri" w:eastAsia="Century Gothic" w:hAnsi="Calibri" w:cs="Calibri"/>
          <w:b/>
          <w:bCs/>
        </w:rPr>
        <w:t> </w:t>
      </w:r>
      <w:r w:rsidRPr="009278E2">
        <w:rPr>
          <w:rFonts w:ascii="Calibri" w:eastAsia="Century Gothic" w:hAnsi="Calibri" w:cs="Calibri"/>
        </w:rPr>
        <w:t>breakfast provision in secondary schools is associated with improved:  </w:t>
      </w:r>
    </w:p>
    <w:p w:rsidR="00FF759E" w:rsidRPr="009278E2" w:rsidP="00371320">
      <w:pPr>
        <w:numPr>
          <w:ilvl w:val="0"/>
          <w:numId w:val="19"/>
        </w:numPr>
        <w:spacing w:after="0"/>
        <w:rPr>
          <w:rFonts w:ascii="Calibri" w:eastAsia="Century Gothic" w:hAnsi="Calibri" w:cs="Calibri"/>
        </w:rPr>
      </w:pPr>
      <w:r w:rsidRPr="009278E2">
        <w:rPr>
          <w:rFonts w:ascii="Calibri" w:eastAsia="Century Gothic" w:hAnsi="Calibri" w:cs="Calibri"/>
          <w:b/>
          <w:bCs/>
        </w:rPr>
        <w:t>Health and wellbeing</w:t>
      </w:r>
      <w:r w:rsidRPr="009278E2">
        <w:rPr>
          <w:rFonts w:ascii="Calibri" w:eastAsia="Century Gothic" w:hAnsi="Calibri" w:cs="Calibri"/>
        </w:rPr>
        <w:t>: including through better nutrition, emotional wellbeing and dietary habits </w:t>
      </w:r>
    </w:p>
    <w:p w:rsidR="00FF759E" w:rsidRPr="009278E2" w:rsidP="00371320">
      <w:pPr>
        <w:numPr>
          <w:ilvl w:val="0"/>
          <w:numId w:val="20"/>
        </w:numPr>
        <w:spacing w:after="0"/>
        <w:rPr>
          <w:rFonts w:ascii="Calibri" w:eastAsia="Century Gothic" w:hAnsi="Calibri" w:cs="Calibri"/>
        </w:rPr>
      </w:pPr>
      <w:r w:rsidRPr="009278E2">
        <w:rPr>
          <w:rFonts w:ascii="Calibri" w:eastAsia="Century Gothic" w:hAnsi="Calibri" w:cs="Calibri"/>
          <w:b/>
          <w:bCs/>
        </w:rPr>
        <w:t>Social belonging</w:t>
      </w:r>
      <w:r w:rsidRPr="009278E2">
        <w:rPr>
          <w:rFonts w:ascii="Calibri" w:eastAsia="Century Gothic" w:hAnsi="Calibri" w:cs="Calibri"/>
        </w:rPr>
        <w:t>: increasing inclusivity, cohesion and participation and reduced anti-social behaviour, offending and aggression </w:t>
      </w:r>
    </w:p>
    <w:p w:rsidR="00FF759E" w:rsidRPr="009278E2" w:rsidP="00371320">
      <w:pPr>
        <w:numPr>
          <w:ilvl w:val="0"/>
          <w:numId w:val="21"/>
        </w:numPr>
        <w:spacing w:after="0"/>
        <w:rPr>
          <w:rFonts w:ascii="Calibri" w:eastAsia="Century Gothic" w:hAnsi="Calibri" w:cs="Calibri"/>
        </w:rPr>
      </w:pPr>
      <w:r w:rsidRPr="009278E2">
        <w:rPr>
          <w:rFonts w:ascii="Calibri" w:eastAsia="Century Gothic" w:hAnsi="Calibri" w:cs="Calibri"/>
          <w:b/>
          <w:bCs/>
        </w:rPr>
        <w:t xml:space="preserve">Life chances: </w:t>
      </w:r>
      <w:r w:rsidRPr="009278E2">
        <w:rPr>
          <w:rFonts w:ascii="Calibri" w:eastAsia="Century Gothic" w:hAnsi="Calibri" w:cs="Calibri"/>
        </w:rPr>
        <w:t>through improved educational attainment, skills development and classroom engagement improved enrichment activities</w:t>
      </w:r>
    </w:p>
    <w:p w:rsidR="00FF759E" w:rsidRPr="009278E2" w:rsidP="001624AA">
      <w:pPr>
        <w:numPr>
          <w:ilvl w:val="0"/>
          <w:numId w:val="22"/>
        </w:numPr>
        <w:rPr>
          <w:rFonts w:ascii="Calibri" w:eastAsia="Century Gothic" w:hAnsi="Calibri" w:cs="Calibri"/>
        </w:rPr>
      </w:pPr>
      <w:r w:rsidRPr="009278E2">
        <w:rPr>
          <w:rFonts w:ascii="Calibri" w:eastAsia="Century Gothic" w:hAnsi="Calibri" w:cs="Calibri"/>
          <w:b/>
          <w:bCs/>
        </w:rPr>
        <w:t>Social and economic benefits</w:t>
      </w:r>
      <w:r w:rsidRPr="009278E2">
        <w:rPr>
          <w:rFonts w:ascii="Calibri" w:eastAsia="Century Gothic" w:hAnsi="Calibri" w:cs="Calibri"/>
        </w:rPr>
        <w:t>:</w:t>
      </w:r>
      <w:r w:rsidRPr="009278E2">
        <w:rPr>
          <w:rFonts w:ascii="Calibri" w:eastAsia="Century Gothic" w:hAnsi="Calibri" w:cs="Calibri"/>
          <w:b/>
          <w:bCs/>
        </w:rPr>
        <w:t xml:space="preserve"> </w:t>
      </w:r>
      <w:r w:rsidRPr="009278E2">
        <w:rPr>
          <w:rFonts w:ascii="Calibri" w:eastAsia="Century Gothic" w:hAnsi="Calibri" w:cs="Calibri"/>
        </w:rPr>
        <w:t>because provision supports pupils to meet their potential and experience improved longer-term outcomes and opportunities</w:t>
      </w:r>
      <w:r>
        <w:rPr>
          <w:rStyle w:val="FootnoteReference"/>
          <w:rFonts w:ascii="Calibri" w:eastAsia="Century Gothic" w:hAnsi="Calibri" w:cs="Calibri"/>
        </w:rPr>
        <w:footnoteReference w:id="18"/>
      </w:r>
      <w:r w:rsidRPr="009278E2">
        <w:rPr>
          <w:rFonts w:ascii="Calibri" w:eastAsia="Century Gothic" w:hAnsi="Calibri" w:cs="Calibri"/>
        </w:rPr>
        <w:t> </w:t>
      </w:r>
    </w:p>
    <w:p w:rsidR="00FF759E" w:rsidRPr="009278E2" w:rsidP="005C53B8">
      <w:pPr>
        <w:rPr>
          <w:rFonts w:ascii="Calibri" w:eastAsia="Century Gothic" w:hAnsi="Calibri" w:cs="Calibri"/>
        </w:rPr>
      </w:pPr>
      <w:r w:rsidRPr="009278E2">
        <w:rPr>
          <w:rFonts w:ascii="Calibri" w:eastAsia="Century Gothic" w:hAnsi="Calibri" w:cs="Calibri"/>
        </w:rPr>
        <w:t xml:space="preserve">Ensuring that breakfast is nutritious, accessible and embedded within supportive school environments is crucial to improving outcomes for adolescents. </w:t>
      </w:r>
    </w:p>
    <w:p w:rsidR="00FF759E" w:rsidRPr="009278E2" w:rsidP="005C53B8">
      <w:pPr>
        <w:spacing w:line="278" w:lineRule="auto"/>
        <w:rPr>
          <w:rFonts w:ascii="Calibri" w:hAnsi="Calibri" w:cs="Calibri"/>
          <w:b/>
          <w:bCs/>
          <w:u w:val="single"/>
        </w:rPr>
      </w:pPr>
      <w:r w:rsidRPr="009278E2">
        <w:rPr>
          <w:rFonts w:ascii="Calibri" w:hAnsi="Calibri" w:cs="Calibri"/>
          <w:b/>
          <w:bCs/>
          <w:u w:val="single"/>
        </w:rPr>
        <w:t xml:space="preserve">Magic Breakfast’s recommendations: </w:t>
      </w:r>
    </w:p>
    <w:p w:rsidR="00FF759E" w:rsidRPr="009278E2" w:rsidP="005C53B8">
      <w:pPr>
        <w:rPr>
          <w:rFonts w:ascii="Calibri" w:eastAsia="Century Gothic" w:hAnsi="Calibri" w:cs="Calibri"/>
        </w:rPr>
      </w:pPr>
      <w:r w:rsidRPr="009278E2">
        <w:rPr>
          <w:rFonts w:ascii="Calibri" w:eastAsia="Century Gothic" w:hAnsi="Calibri" w:cs="Calibri"/>
        </w:rPr>
        <w:t xml:space="preserve">While the progress made to begin implementation of the Free Breakfast Club Programme is excellent there is still more to do to ensure that every child experiences the positive impact to mental health and wellbeing that a high-quality breakfast provision can provide. </w:t>
      </w:r>
    </w:p>
    <w:p w:rsidR="00FF759E" w:rsidRPr="009278E2" w:rsidP="005C53B8">
      <w:pPr>
        <w:rPr>
          <w:rFonts w:ascii="Calibri" w:eastAsia="Century Gothic" w:hAnsi="Calibri" w:cs="Calibri"/>
        </w:rPr>
      </w:pPr>
      <w:r w:rsidRPr="009278E2">
        <w:rPr>
          <w:rFonts w:ascii="Calibri" w:eastAsia="Century Gothic" w:hAnsi="Calibri" w:cs="Calibri"/>
        </w:rPr>
        <w:t>The Government must now meet its manifesto pledge</w:t>
      </w:r>
      <w:r>
        <w:rPr>
          <w:rStyle w:val="FootnoteReference"/>
          <w:rFonts w:ascii="Calibri" w:eastAsia="Century Gothic" w:hAnsi="Calibri" w:cs="Calibri"/>
        </w:rPr>
        <w:footnoteReference w:id="19"/>
      </w:r>
      <w:r w:rsidRPr="009278E2">
        <w:rPr>
          <w:rFonts w:ascii="Calibri" w:eastAsia="Century Gothic" w:hAnsi="Calibri" w:cs="Calibri"/>
        </w:rPr>
        <w:t xml:space="preserve"> that </w:t>
      </w:r>
      <w:r w:rsidRPr="009278E2">
        <w:rPr>
          <w:rFonts w:ascii="Calibri" w:eastAsia="Century Gothic" w:hAnsi="Calibri" w:cs="Calibri"/>
          <w:i/>
          <w:iCs/>
        </w:rPr>
        <w:t xml:space="preserve">every </w:t>
      </w:r>
      <w:r w:rsidRPr="009278E2">
        <w:rPr>
          <w:rFonts w:ascii="Calibri" w:eastAsia="Century Gothic" w:hAnsi="Calibri" w:cs="Calibri"/>
        </w:rPr>
        <w:t>primary-aged child will have access to a free breakfast club by the end of this Parliament.</w:t>
      </w:r>
    </w:p>
    <w:p w:rsidR="00FF759E" w:rsidRPr="009278E2" w:rsidP="005C53B8">
      <w:pPr>
        <w:rPr>
          <w:rFonts w:ascii="Calibri" w:eastAsia="Century Gothic" w:hAnsi="Calibri" w:cs="Calibri"/>
        </w:rPr>
      </w:pPr>
      <w:r w:rsidRPr="009278E2">
        <w:rPr>
          <w:rFonts w:ascii="Calibri" w:eastAsia="Century Gothic" w:hAnsi="Calibri" w:cs="Calibri"/>
        </w:rPr>
        <w:t xml:space="preserve">It’s also clear that while hunger can have a significant impact on children and young people’s mental health - </w:t>
      </w:r>
      <w:r w:rsidRPr="009278E2">
        <w:rPr>
          <w:rFonts w:ascii="Calibri" w:eastAsia="Century Gothic" w:hAnsi="Calibri" w:cs="Calibri"/>
          <w:b/>
          <w:bCs/>
        </w:rPr>
        <w:t>hunger doesn’t start at age 5 or stop at age 11</w:t>
      </w:r>
      <w:r w:rsidRPr="009278E2">
        <w:rPr>
          <w:rFonts w:ascii="Calibri" w:eastAsia="Century Gothic" w:hAnsi="Calibri" w:cs="Calibri"/>
        </w:rPr>
        <w:t xml:space="preserve">. </w:t>
      </w:r>
    </w:p>
    <w:p w:rsidR="00FF759E" w:rsidRPr="009278E2" w:rsidP="005C53B8">
      <w:pPr>
        <w:rPr>
          <w:rFonts w:ascii="Calibri" w:eastAsia="Century Gothic" w:hAnsi="Calibri" w:cs="Calibri"/>
        </w:rPr>
      </w:pPr>
      <w:r w:rsidRPr="009278E2">
        <w:rPr>
          <w:rFonts w:ascii="Calibri" w:eastAsia="Century Gothic" w:hAnsi="Calibri" w:cs="Calibri"/>
        </w:rPr>
        <w:t>We would like to see significantly more ambition around the provision of breakfast for children and young people of all ages in educational settings to ensure that no child has their mental and emotional health impacted by starting their morning hungry. We therefore recommend:</w:t>
      </w:r>
    </w:p>
    <w:p w:rsidR="00FF759E" w:rsidRPr="009278E2" w:rsidP="005C53B8">
      <w:pPr>
        <w:pStyle w:val="ListParagraph"/>
        <w:numPr>
          <w:ilvl w:val="0"/>
          <w:numId w:val="15"/>
        </w:numPr>
        <w:rPr>
          <w:rFonts w:ascii="Calibri" w:eastAsia="Century Gothic" w:hAnsi="Calibri" w:cs="Calibri"/>
        </w:rPr>
      </w:pPr>
      <w:r w:rsidRPr="009278E2">
        <w:rPr>
          <w:rFonts w:ascii="Calibri" w:eastAsia="Century Gothic" w:hAnsi="Calibri" w:cs="Calibri"/>
        </w:rPr>
        <w:t xml:space="preserve">That the Treasury </w:t>
      </w:r>
      <w:r w:rsidRPr="009278E2">
        <w:rPr>
          <w:rFonts w:ascii="Calibri" w:eastAsia="Century Gothic" w:hAnsi="Calibri" w:cs="Calibri"/>
          <w:b/>
          <w:bCs/>
        </w:rPr>
        <w:t>identifies the funding required and set out the sequencing by which it will become available</w:t>
      </w:r>
      <w:r w:rsidRPr="009278E2">
        <w:rPr>
          <w:rFonts w:ascii="Calibri" w:eastAsia="Century Gothic" w:hAnsi="Calibri" w:cs="Calibri"/>
        </w:rPr>
        <w:t xml:space="preserve">, to enable a swift rollout of the Free Breakfast Club Programme to every primary school by the end of this Parliament. </w:t>
      </w:r>
    </w:p>
    <w:p w:rsidR="00FF759E" w:rsidRPr="009278E2" w:rsidP="005C53B8">
      <w:pPr>
        <w:pStyle w:val="ListParagraph"/>
        <w:numPr>
          <w:ilvl w:val="0"/>
          <w:numId w:val="15"/>
        </w:numPr>
        <w:tabs>
          <w:tab w:val="num" w:pos="720"/>
        </w:tabs>
        <w:rPr>
          <w:rFonts w:ascii="Calibri" w:eastAsia="Century Gothic" w:hAnsi="Calibri" w:cs="Calibri"/>
        </w:rPr>
      </w:pPr>
      <w:r w:rsidRPr="009278E2">
        <w:rPr>
          <w:rFonts w:ascii="Calibri" w:eastAsia="Century Gothic" w:hAnsi="Calibri" w:cs="Calibri"/>
        </w:rPr>
        <w:t xml:space="preserve">The Department for Education considers </w:t>
      </w:r>
      <w:r w:rsidRPr="009278E2">
        <w:rPr>
          <w:rFonts w:ascii="Calibri" w:eastAsia="Century Gothic" w:hAnsi="Calibri" w:cs="Calibri"/>
          <w:b/>
          <w:bCs/>
        </w:rPr>
        <w:t>expanding access to the primary school Free School Breakfast Programme for pupils attending school-based nurseries</w:t>
      </w:r>
      <w:r w:rsidRPr="009278E2">
        <w:rPr>
          <w:rFonts w:ascii="Calibri" w:eastAsia="Century Gothic" w:hAnsi="Calibri" w:cs="Calibri"/>
        </w:rPr>
        <w:t xml:space="preserve">. </w:t>
      </w:r>
    </w:p>
    <w:p w:rsidR="00FF759E" w:rsidRPr="009278E2" w:rsidP="005C53B8">
      <w:pPr>
        <w:pStyle w:val="ListParagraph"/>
        <w:numPr>
          <w:ilvl w:val="0"/>
          <w:numId w:val="15"/>
        </w:numPr>
        <w:rPr>
          <w:rFonts w:ascii="Calibri" w:eastAsia="Century Gothic" w:hAnsi="Calibri" w:cs="Calibri"/>
        </w:rPr>
      </w:pPr>
      <w:r w:rsidRPr="009278E2">
        <w:rPr>
          <w:rFonts w:ascii="Calibri" w:eastAsia="Century Gothic" w:hAnsi="Calibri" w:cs="Calibri"/>
        </w:rPr>
        <w:t xml:space="preserve">The Department of Health and Social Care and Department for Education must now look at how </w:t>
      </w:r>
      <w:r w:rsidRPr="009278E2">
        <w:rPr>
          <w:rFonts w:ascii="Calibri" w:eastAsia="Century Gothic" w:hAnsi="Calibri" w:cs="Calibri"/>
          <w:b/>
        </w:rPr>
        <w:t>long-term support can be secured for children and young people in secondary schools</w:t>
      </w:r>
      <w:r w:rsidRPr="009278E2">
        <w:rPr>
          <w:rFonts w:ascii="Calibri" w:eastAsia="Century Gothic" w:hAnsi="Calibri" w:cs="Calibri"/>
        </w:rPr>
        <w:t>, beyond 2027. This should consider:</w:t>
      </w:r>
    </w:p>
    <w:p w:rsidR="00FF759E" w:rsidRPr="009278E2" w:rsidP="005C53B8">
      <w:pPr>
        <w:pStyle w:val="ListParagraph"/>
        <w:numPr>
          <w:ilvl w:val="0"/>
          <w:numId w:val="16"/>
        </w:numPr>
        <w:spacing w:line="279" w:lineRule="auto"/>
        <w:rPr>
          <w:rFonts w:ascii="Calibri" w:eastAsia="Century Gothic" w:hAnsi="Calibri" w:cs="Calibri"/>
        </w:rPr>
      </w:pPr>
      <w:r w:rsidRPr="009278E2">
        <w:rPr>
          <w:rFonts w:ascii="Calibri" w:eastAsia="Century Gothic" w:hAnsi="Calibri" w:cs="Calibri"/>
        </w:rPr>
        <w:t>what a breakfast intervention should look like in a secondary setting which maximises the positive impact on children and young people’s mental and emotional wellbeing</w:t>
      </w:r>
    </w:p>
    <w:p w:rsidR="00FF759E" w:rsidRPr="009278E2" w:rsidP="005C53B8">
      <w:pPr>
        <w:pStyle w:val="ListParagraph"/>
        <w:numPr>
          <w:ilvl w:val="0"/>
          <w:numId w:val="16"/>
        </w:numPr>
        <w:spacing w:line="279" w:lineRule="auto"/>
        <w:rPr>
          <w:rFonts w:ascii="Calibri" w:eastAsia="Century Gothic" w:hAnsi="Calibri" w:cs="Calibri"/>
        </w:rPr>
      </w:pPr>
      <w:r w:rsidRPr="009278E2">
        <w:rPr>
          <w:rFonts w:ascii="Calibri" w:eastAsia="Century Gothic" w:hAnsi="Calibri" w:cs="Calibri"/>
        </w:rPr>
        <w:t xml:space="preserve">how a national secondary offer could contribute to cross-cutting departmental priorities including giving young people a sense of belonging and community that can support the long-term mental and emotional health of young people </w:t>
      </w:r>
    </w:p>
    <w:p w:rsidR="00FF759E" w:rsidRPr="009278E2" w:rsidP="005C53B8">
      <w:pPr>
        <w:rPr>
          <w:rFonts w:ascii="Calibri" w:hAnsi="Calibri" w:cs="Calibri"/>
        </w:rPr>
      </w:pPr>
      <w:bookmarkEnd w:id="0"/>
    </w:p>
    <w:p w:rsidR="008E6B6E" w:rsidRPr="009278E2" w:rsidP="005C53B8">
      <w:pPr>
        <w:rPr>
          <w:rFonts w:ascii="Calibri" w:hAnsi="Calibri" w:cs="Calibri"/>
        </w:rPr>
      </w:pPr>
    </w:p>
    <w:p w:rsidR="008E6B6E" w:rsidRPr="009278E2" w:rsidP="005C53B8">
      <w:pPr>
        <w:rPr>
          <w:rFonts w:ascii="Calibri" w:hAnsi="Calibri" w:cs="Calibri"/>
          <w:b/>
          <w:bCs/>
          <w:i/>
          <w:iCs/>
        </w:rPr>
      </w:pPr>
      <w:r>
        <w:rPr>
          <w:rFonts w:ascii="Calibri" w:hAnsi="Calibri" w:cs="Calibri"/>
          <w:b/>
          <w:bCs/>
          <w:i/>
          <w:iCs/>
        </w:rPr>
        <w:t>March</w:t>
      </w:r>
      <w:r w:rsidRPr="009278E2">
        <w:rPr>
          <w:rFonts w:ascii="Calibri" w:hAnsi="Calibri" w:cs="Calibri"/>
          <w:b/>
          <w:bCs/>
          <w:i/>
          <w:iCs/>
        </w:rPr>
        <w:t xml:space="preserv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ra Light">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ra SemiBold">
    <w:altName w:val="Leelawadee UI"/>
    <w:charset w:val="00"/>
    <w:family w:val="auto"/>
    <w:pitch w:val="variable"/>
    <w:sig w:usb0="00000001" w:usb1="5000004B" w:usb2="00010000" w:usb3="00000000" w:csb0="00000093"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0434E" w:rsidP="008128FA">
      <w:pPr>
        <w:spacing w:after="0" w:line="240" w:lineRule="auto"/>
      </w:pPr>
      <w:r>
        <w:separator/>
      </w:r>
    </w:p>
  </w:footnote>
  <w:footnote w:type="continuationSeparator" w:id="1">
    <w:p w:rsidR="00C0434E" w:rsidP="008128FA">
      <w:pPr>
        <w:spacing w:after="0" w:line="240" w:lineRule="auto"/>
      </w:pPr>
      <w:r>
        <w:continuationSeparator/>
      </w:r>
    </w:p>
  </w:footnote>
  <w:footnote w:id="2">
    <w:p w:rsidR="00FF759E" w:rsidRPr="0060294B">
      <w:pPr>
        <w:pStyle w:val="FootnoteText"/>
        <w:rPr>
          <w:rFonts w:ascii="Century Gothic" w:hAnsi="Century Gothic"/>
          <w:sz w:val="18"/>
          <w:szCs w:val="18"/>
        </w:rPr>
      </w:pPr>
      <w:r w:rsidRPr="0060294B">
        <w:rPr>
          <w:rStyle w:val="FootnoteReference"/>
          <w:rFonts w:ascii="Century Gothic" w:hAnsi="Century Gothic"/>
          <w:sz w:val="18"/>
          <w:szCs w:val="18"/>
        </w:rPr>
        <w:footnoteRef/>
      </w:r>
      <w:r w:rsidRPr="0060294B">
        <w:rPr>
          <w:rFonts w:ascii="Century Gothic" w:hAnsi="Century Gothic"/>
          <w:sz w:val="18"/>
          <w:szCs w:val="18"/>
        </w:rPr>
        <w:t xml:space="preserve"> McDonnell, E., Probart, C., Weirich, J. E., Hartman, T., &amp; Birkenshaw, P. (2004). School Breakfast Programs: Perceptions and Barriers. Journal of Child Nutrition &amp; Management, 28(2).</w:t>
      </w:r>
    </w:p>
  </w:footnote>
  <w:footnote w:id="3">
    <w:p w:rsidR="00FF759E" w:rsidRPr="002B508C" w:rsidP="00B2639F">
      <w:pPr>
        <w:pStyle w:val="FootnoteText"/>
        <w:rPr>
          <w:rFonts w:ascii="Century Gothic"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Gibson-Moore, H., Spiro, A. &amp; Stanner, S. (2023). No food for thought–How important is breakfast to the health, educational attainment and wellbeing of school-aged children and young people? Nutrition Bulletin, 48, 458–481.</w:t>
      </w:r>
    </w:p>
  </w:footnote>
  <w:footnote w:id="4">
    <w:p w:rsidR="00FF759E" w:rsidRPr="002B508C" w:rsidP="00DA1E3F">
      <w:pPr>
        <w:autoSpaceDE w:val="0"/>
        <w:autoSpaceDN w:val="0"/>
        <w:spacing w:after="0"/>
        <w:rPr>
          <w:rFonts w:ascii="Century Gothic" w:eastAsia="Times New Roman" w:hAnsi="Century Gothic"/>
          <w:sz w:val="18"/>
          <w:szCs w:val="18"/>
          <w:lang w:val="fr-FR"/>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w:t>
      </w:r>
      <w:r w:rsidRPr="002B508C">
        <w:rPr>
          <w:rFonts w:ascii="Century Gothic" w:eastAsia="Times New Roman" w:hAnsi="Century Gothic"/>
          <w:sz w:val="18"/>
          <w:szCs w:val="18"/>
        </w:rPr>
        <w:t xml:space="preserve">Burnell, S., Brushe, M. E., Sechague Monroy, N., Gregory, T., &amp; Sincovich, A. (2025). The Association Between Breakfast Skipping and Positive and Negative Emotional Wellbeing Outcomes for Children and Adolescents in South Australia. </w:t>
      </w:r>
      <w:r w:rsidRPr="002B508C">
        <w:rPr>
          <w:rFonts w:ascii="Century Gothic" w:eastAsia="Times New Roman" w:hAnsi="Century Gothic"/>
          <w:i/>
          <w:iCs/>
          <w:sz w:val="18"/>
          <w:szCs w:val="18"/>
          <w:lang w:val="fr-FR"/>
        </w:rPr>
        <w:t>Nutrients</w:t>
      </w:r>
      <w:r w:rsidRPr="002B508C">
        <w:rPr>
          <w:rFonts w:ascii="Century Gothic" w:eastAsia="Times New Roman" w:hAnsi="Century Gothic"/>
          <w:sz w:val="18"/>
          <w:szCs w:val="18"/>
          <w:lang w:val="fr-FR"/>
        </w:rPr>
        <w:t xml:space="preserve">, </w:t>
      </w:r>
      <w:r w:rsidRPr="002B508C">
        <w:rPr>
          <w:rFonts w:ascii="Century Gothic" w:eastAsia="Times New Roman" w:hAnsi="Century Gothic"/>
          <w:i/>
          <w:iCs/>
          <w:sz w:val="18"/>
          <w:szCs w:val="18"/>
          <w:lang w:val="fr-FR"/>
        </w:rPr>
        <w:t>17</w:t>
      </w:r>
      <w:r w:rsidRPr="002B508C">
        <w:rPr>
          <w:rFonts w:ascii="Century Gothic" w:eastAsia="Times New Roman" w:hAnsi="Century Gothic"/>
          <w:sz w:val="18"/>
          <w:szCs w:val="18"/>
          <w:lang w:val="fr-FR"/>
        </w:rPr>
        <w:t xml:space="preserve">(8). </w:t>
      </w:r>
      <w:r>
        <w:fldChar w:fldCharType="begin"/>
      </w:r>
      <w:r>
        <w:instrText xml:space="preserve"> HYPERLINK "https://doi.org/10.3390/nu17081304" </w:instrText>
      </w:r>
      <w:r>
        <w:fldChar w:fldCharType="separate"/>
      </w:r>
      <w:r w:rsidRPr="002B508C">
        <w:rPr>
          <w:rStyle w:val="Hyperlink"/>
          <w:rFonts w:ascii="Century Gothic" w:eastAsia="Times New Roman" w:hAnsi="Century Gothic"/>
          <w:sz w:val="18"/>
          <w:szCs w:val="18"/>
          <w:lang w:val="fr-FR"/>
        </w:rPr>
        <w:t>https://doi.org/10.3390/nu17081304</w:t>
      </w:r>
      <w:r>
        <w:fldChar w:fldCharType="end"/>
      </w:r>
      <w:r w:rsidRPr="002B508C">
        <w:rPr>
          <w:rFonts w:ascii="Century Gothic" w:eastAsia="Times New Roman" w:hAnsi="Century Gothic"/>
          <w:sz w:val="18"/>
          <w:szCs w:val="18"/>
          <w:lang w:val="fr-FR"/>
        </w:rPr>
        <w:t xml:space="preserve"> </w:t>
      </w:r>
    </w:p>
  </w:footnote>
  <w:footnote w:id="5">
    <w:p w:rsidR="00FF759E" w:rsidRPr="002B508C" w:rsidP="00AE6941">
      <w:pPr>
        <w:autoSpaceDE w:val="0"/>
        <w:autoSpaceDN w:val="0"/>
        <w:spacing w:after="0"/>
        <w:rPr>
          <w:rFonts w:ascii="Century Gothic" w:eastAsia="Times New Roman"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w:t>
      </w:r>
      <w:r w:rsidRPr="002B508C">
        <w:rPr>
          <w:rFonts w:ascii="Century Gothic" w:eastAsia="Times New Roman" w:hAnsi="Century Gothic"/>
          <w:sz w:val="18"/>
          <w:szCs w:val="18"/>
        </w:rPr>
        <w:t xml:space="preserve">Ferrer-Cascales, R., Sánchez-SanSegundo, M., Ruiz-Robledillo, N., Albaladejo-Blázquez, N., Laguna-Pérez, A., &amp; Zaragoza-Martí, A. (2018). Eat or Skip Breakfast? The Important Role of Breakfast Quality for Health-Related Quality of Life, Stress and Depression in Spanish Adolescents. </w:t>
      </w:r>
      <w:r w:rsidRPr="002B508C">
        <w:rPr>
          <w:rFonts w:ascii="Century Gothic" w:eastAsia="Times New Roman" w:hAnsi="Century Gothic"/>
          <w:i/>
          <w:iCs/>
          <w:sz w:val="18"/>
          <w:szCs w:val="18"/>
        </w:rPr>
        <w:t>International Journal of Environmental Research and Public Health</w:t>
      </w:r>
      <w:r w:rsidRPr="002B508C">
        <w:rPr>
          <w:rFonts w:ascii="Century Gothic" w:eastAsia="Times New Roman" w:hAnsi="Century Gothic"/>
          <w:sz w:val="18"/>
          <w:szCs w:val="18"/>
        </w:rPr>
        <w:t xml:space="preserve">, </w:t>
      </w:r>
      <w:r w:rsidRPr="002B508C">
        <w:rPr>
          <w:rFonts w:ascii="Century Gothic" w:eastAsia="Times New Roman" w:hAnsi="Century Gothic"/>
          <w:i/>
          <w:iCs/>
          <w:sz w:val="18"/>
          <w:szCs w:val="18"/>
        </w:rPr>
        <w:t>15</w:t>
      </w:r>
      <w:r w:rsidRPr="002B508C">
        <w:rPr>
          <w:rFonts w:ascii="Century Gothic" w:eastAsia="Times New Roman" w:hAnsi="Century Gothic"/>
          <w:sz w:val="18"/>
          <w:szCs w:val="18"/>
        </w:rPr>
        <w:t xml:space="preserve">(8), 1781. </w:t>
      </w:r>
      <w:r>
        <w:fldChar w:fldCharType="begin"/>
      </w:r>
      <w:r>
        <w:instrText xml:space="preserve"> HYPERLINK "https://doi.org/10.3390/ijerph15081781" </w:instrText>
      </w:r>
      <w:r>
        <w:fldChar w:fldCharType="separate"/>
      </w:r>
      <w:r w:rsidRPr="002B508C">
        <w:rPr>
          <w:rStyle w:val="Hyperlink"/>
          <w:rFonts w:ascii="Century Gothic" w:eastAsia="Times New Roman" w:hAnsi="Century Gothic"/>
          <w:sz w:val="18"/>
          <w:szCs w:val="18"/>
        </w:rPr>
        <w:t>https://doi.org/10.3390/ijerph15081781</w:t>
      </w:r>
      <w:r>
        <w:fldChar w:fldCharType="end"/>
      </w:r>
    </w:p>
  </w:footnote>
  <w:footnote w:id="6">
    <w:p w:rsidR="00FF759E" w:rsidRPr="002B508C" w:rsidP="00B214DA">
      <w:pPr>
        <w:pStyle w:val="FootnoteText"/>
        <w:rPr>
          <w:rFonts w:ascii="Century Gothic"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ICF. (2022). Free Breakfast Pilot Evaluation: Final Report. ICF.</w:t>
      </w:r>
    </w:p>
  </w:footnote>
  <w:footnote w:id="7">
    <w:p w:rsidR="00FF759E" w:rsidRPr="002B508C">
      <w:pPr>
        <w:pStyle w:val="FootnoteText"/>
        <w:rPr>
          <w:rFonts w:ascii="Century Gothic"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Gibson-Moore, H., Spiro, A. &amp; Stanner, S. (2023). No food for thought–How important is breakfast to the health, educational attainment and wellbeing of school-aged children and young people? Nutrition Bulletin, 48, 458–481.</w:t>
      </w:r>
    </w:p>
  </w:footnote>
  <w:footnote w:id="8">
    <w:p w:rsidR="00FF759E" w:rsidRPr="002B508C" w:rsidP="00D953F0">
      <w:pPr>
        <w:pStyle w:val="FootnoteText"/>
        <w:rPr>
          <w:rFonts w:ascii="Century Gothic"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Defeyter, M. A., Graham, P. L., &amp; Russo, R. (2015). More than Just a Meal: Breakfast Club Attendance and Children’s Social Relationships. Frontiers in Public Health, 3, 183.</w:t>
      </w:r>
    </w:p>
  </w:footnote>
  <w:footnote w:id="9">
    <w:p w:rsidR="00FF759E" w:rsidRPr="002B508C" w:rsidP="0060294B">
      <w:pPr>
        <w:pStyle w:val="FootnoteText"/>
        <w:rPr>
          <w:rFonts w:ascii="Century Gothic"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Education Endowment Foundation. (2016). Magic Breakfast evaluation report and executive summary.</w:t>
      </w:r>
    </w:p>
  </w:footnote>
  <w:footnote w:id="10">
    <w:p w:rsidR="00FF759E" w:rsidRPr="002B508C" w:rsidP="002B508C">
      <w:pPr>
        <w:autoSpaceDE w:val="0"/>
        <w:autoSpaceDN w:val="0"/>
        <w:spacing w:after="0"/>
        <w:rPr>
          <w:rFonts w:ascii="Century Gothic" w:eastAsia="Times New Roman" w:hAnsi="Century Gothic"/>
          <w:sz w:val="18"/>
          <w:szCs w:val="18"/>
          <w:lang w:val="fr-FR"/>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w:t>
      </w:r>
      <w:r w:rsidRPr="002B508C">
        <w:rPr>
          <w:rFonts w:ascii="Century Gothic" w:eastAsia="Times New Roman" w:hAnsi="Century Gothic"/>
          <w:sz w:val="18"/>
          <w:szCs w:val="18"/>
        </w:rPr>
        <w:t xml:space="preserve">Burnell, S., Brushe, M. E., Sechague Monroy, N., Gregory, T., &amp; Sincovich, A. (2025). The Association Between Breakfast Skipping and Positive and Negative Emotional Wellbeing Outcomes for Children and Adolescents in South Australia. </w:t>
      </w:r>
      <w:r w:rsidRPr="002B508C">
        <w:rPr>
          <w:rFonts w:ascii="Century Gothic" w:eastAsia="Times New Roman" w:hAnsi="Century Gothic"/>
          <w:i/>
          <w:iCs/>
          <w:sz w:val="18"/>
          <w:szCs w:val="18"/>
          <w:lang w:val="fr-FR"/>
        </w:rPr>
        <w:t>Nutrients</w:t>
      </w:r>
      <w:r w:rsidRPr="002B508C">
        <w:rPr>
          <w:rFonts w:ascii="Century Gothic" w:eastAsia="Times New Roman" w:hAnsi="Century Gothic"/>
          <w:sz w:val="18"/>
          <w:szCs w:val="18"/>
          <w:lang w:val="fr-FR"/>
        </w:rPr>
        <w:t xml:space="preserve">, </w:t>
      </w:r>
      <w:r w:rsidRPr="002B508C">
        <w:rPr>
          <w:rFonts w:ascii="Century Gothic" w:eastAsia="Times New Roman" w:hAnsi="Century Gothic"/>
          <w:i/>
          <w:iCs/>
          <w:sz w:val="18"/>
          <w:szCs w:val="18"/>
          <w:lang w:val="fr-FR"/>
        </w:rPr>
        <w:t>17</w:t>
      </w:r>
      <w:r w:rsidRPr="002B508C">
        <w:rPr>
          <w:rFonts w:ascii="Century Gothic" w:eastAsia="Times New Roman" w:hAnsi="Century Gothic"/>
          <w:sz w:val="18"/>
          <w:szCs w:val="18"/>
          <w:lang w:val="fr-FR"/>
        </w:rPr>
        <w:t xml:space="preserve">(8). </w:t>
      </w:r>
      <w:r>
        <w:fldChar w:fldCharType="begin"/>
      </w:r>
      <w:r>
        <w:instrText xml:space="preserve"> HYPERLINK "https://doi.org/10.3390/nu17081304" </w:instrText>
      </w:r>
      <w:r>
        <w:fldChar w:fldCharType="separate"/>
      </w:r>
      <w:r w:rsidRPr="002B508C">
        <w:rPr>
          <w:rStyle w:val="Hyperlink"/>
          <w:rFonts w:ascii="Century Gothic" w:eastAsia="Times New Roman" w:hAnsi="Century Gothic"/>
          <w:sz w:val="18"/>
          <w:szCs w:val="18"/>
          <w:lang w:val="fr-FR"/>
        </w:rPr>
        <w:t>https://doi.org/10.3390/nu17081304</w:t>
      </w:r>
      <w:r>
        <w:fldChar w:fldCharType="end"/>
      </w:r>
      <w:r w:rsidRPr="002B508C">
        <w:rPr>
          <w:rFonts w:ascii="Century Gothic" w:eastAsia="Times New Roman" w:hAnsi="Century Gothic"/>
          <w:sz w:val="18"/>
          <w:szCs w:val="18"/>
          <w:lang w:val="fr-FR"/>
        </w:rPr>
        <w:t xml:space="preserve"> </w:t>
      </w:r>
    </w:p>
  </w:footnote>
  <w:footnote w:id="11">
    <w:p w:rsidR="00FF759E" w:rsidRPr="00426BC5" w:rsidP="00765201">
      <w:pPr>
        <w:pStyle w:val="FootnoteText"/>
        <w:tabs>
          <w:tab w:val="left" w:pos="8516"/>
        </w:tabs>
        <w:rPr>
          <w:rFonts w:ascii="Century Gothic" w:hAnsi="Century Gothic"/>
          <w:sz w:val="18"/>
          <w:szCs w:val="18"/>
        </w:rPr>
      </w:pPr>
      <w:r w:rsidRPr="002B508C">
        <w:rPr>
          <w:rStyle w:val="FootnoteReference"/>
          <w:rFonts w:ascii="Century Gothic" w:hAnsi="Century Gothic"/>
          <w:sz w:val="18"/>
          <w:szCs w:val="18"/>
        </w:rPr>
        <w:footnoteRef/>
      </w:r>
      <w:r w:rsidRPr="002B508C">
        <w:rPr>
          <w:rFonts w:ascii="Century Gothic" w:hAnsi="Century Gothic"/>
          <w:sz w:val="18"/>
          <w:szCs w:val="18"/>
        </w:rPr>
        <w:t xml:space="preserve"> Magic Breakfast (2025) Annual Breakfast Survey </w:t>
      </w:r>
      <w:r>
        <w:fldChar w:fldCharType="begin"/>
      </w:r>
      <w:r>
        <w:instrText xml:space="preserve"> HYPERLINK "https://www.magicbreakfast.com/annual-breakfast-survey/" </w:instrText>
      </w:r>
      <w:r>
        <w:fldChar w:fldCharType="separate"/>
      </w:r>
      <w:r w:rsidRPr="002B508C">
        <w:rPr>
          <w:rStyle w:val="Hyperlink"/>
          <w:rFonts w:ascii="Century Gothic" w:hAnsi="Century Gothic"/>
          <w:sz w:val="18"/>
          <w:szCs w:val="18"/>
        </w:rPr>
        <w:t>Annual Breakfast Survey | Magic Breakfast</w:t>
      </w:r>
      <w:r>
        <w:fldChar w:fldCharType="end"/>
      </w:r>
      <w:r w:rsidRPr="002B508C">
        <w:rPr>
          <w:rFonts w:ascii="Century Gothic" w:hAnsi="Century Gothic"/>
          <w:sz w:val="18"/>
          <w:szCs w:val="18"/>
        </w:rPr>
        <w:tab/>
      </w:r>
    </w:p>
  </w:footnote>
  <w:footnote w:id="12">
    <w:p w:rsidR="00FF759E" w:rsidRPr="00426BC5" w:rsidP="003F1D9E">
      <w:pPr>
        <w:pStyle w:val="FootnoteText"/>
        <w:rPr>
          <w:rFonts w:ascii="Century Gothic" w:hAnsi="Century Gothic"/>
          <w:sz w:val="18"/>
          <w:szCs w:val="18"/>
        </w:rPr>
      </w:pPr>
      <w:r w:rsidRPr="00426BC5">
        <w:rPr>
          <w:rStyle w:val="FootnoteReference"/>
          <w:rFonts w:ascii="Century Gothic" w:hAnsi="Century Gothic"/>
          <w:sz w:val="18"/>
          <w:szCs w:val="18"/>
        </w:rPr>
        <w:footnoteRef/>
      </w:r>
      <w:r w:rsidRPr="00426BC5">
        <w:rPr>
          <w:rFonts w:ascii="Century Gothic" w:hAnsi="Century Gothic"/>
          <w:sz w:val="18"/>
          <w:szCs w:val="18"/>
        </w:rPr>
        <w:t xml:space="preserve"> Department for Education (2026). Free Breakfast Club roll out: everything you need to know [access here: </w:t>
      </w:r>
      <w:r>
        <w:fldChar w:fldCharType="begin"/>
      </w:r>
      <w:r>
        <w:instrText xml:space="preserve"> HYPERLINK "https://educationhub.blog.gov.uk/2026/02/free-breakfast-club-roll-out-everything-you-need-to-know/" </w:instrText>
      </w:r>
      <w:r>
        <w:fldChar w:fldCharType="separate"/>
      </w:r>
      <w:r w:rsidRPr="00426BC5">
        <w:rPr>
          <w:rStyle w:val="Hyperlink"/>
          <w:rFonts w:ascii="Century Gothic" w:hAnsi="Century Gothic"/>
          <w:sz w:val="18"/>
          <w:szCs w:val="18"/>
        </w:rPr>
        <w:t xml:space="preserve">Free breakfast club roll out: everything you need to </w:t>
      </w:r>
      <w:r w:rsidRPr="00426BC5">
        <w:rPr>
          <w:rStyle w:val="Hyperlink"/>
          <w:rFonts w:ascii="Century Gothic" w:hAnsi="Century Gothic"/>
          <w:sz w:val="18"/>
          <w:szCs w:val="18"/>
        </w:rPr>
        <w:t>know  –</w:t>
      </w:r>
      <w:r w:rsidRPr="00426BC5">
        <w:rPr>
          <w:rStyle w:val="Hyperlink"/>
          <w:rFonts w:ascii="Century Gothic" w:hAnsi="Century Gothic"/>
          <w:sz w:val="18"/>
          <w:szCs w:val="18"/>
        </w:rPr>
        <w:t xml:space="preserve"> The Education Hub</w:t>
      </w:r>
      <w:r>
        <w:fldChar w:fldCharType="end"/>
      </w:r>
      <w:r w:rsidRPr="00426BC5">
        <w:rPr>
          <w:rFonts w:ascii="Century Gothic" w:hAnsi="Century Gothic"/>
          <w:sz w:val="18"/>
          <w:szCs w:val="18"/>
        </w:rPr>
        <w:t>]</w:t>
      </w:r>
    </w:p>
  </w:footnote>
  <w:footnote w:id="13">
    <w:p w:rsidR="00FF759E" w:rsidRPr="00426BC5" w:rsidP="003F1D9E">
      <w:pPr>
        <w:pStyle w:val="FootnoteText"/>
        <w:rPr>
          <w:rFonts w:ascii="Century Gothic" w:hAnsi="Century Gothic"/>
          <w:sz w:val="18"/>
          <w:szCs w:val="18"/>
        </w:rPr>
      </w:pPr>
      <w:r w:rsidRPr="00426BC5">
        <w:rPr>
          <w:rStyle w:val="FootnoteReference"/>
          <w:rFonts w:ascii="Century Gothic" w:hAnsi="Century Gothic"/>
          <w:sz w:val="18"/>
          <w:szCs w:val="18"/>
        </w:rPr>
        <w:footnoteRef/>
      </w:r>
      <w:r w:rsidRPr="00426BC5">
        <w:rPr>
          <w:rFonts w:ascii="Century Gothic" w:hAnsi="Century Gothic"/>
          <w:sz w:val="18"/>
          <w:szCs w:val="18"/>
        </w:rPr>
        <w:t xml:space="preserve"> ibid</w:t>
      </w:r>
    </w:p>
  </w:footnote>
  <w:footnote w:id="14">
    <w:p w:rsidR="00FF759E" w:rsidRPr="00426BC5" w:rsidP="002E10E0">
      <w:pPr>
        <w:pStyle w:val="FootnoteText"/>
        <w:rPr>
          <w:rFonts w:ascii="Century Gothic" w:hAnsi="Century Gothic"/>
          <w:sz w:val="18"/>
          <w:szCs w:val="18"/>
        </w:rPr>
      </w:pPr>
      <w:r w:rsidRPr="00426BC5">
        <w:rPr>
          <w:rStyle w:val="FootnoteReference"/>
          <w:rFonts w:ascii="Century Gothic" w:eastAsia="Aptos" w:hAnsi="Century Gothic" w:cs="Aptos"/>
          <w:sz w:val="18"/>
          <w:szCs w:val="18"/>
        </w:rPr>
        <w:footnoteRef/>
      </w:r>
      <w:r w:rsidRPr="00426BC5">
        <w:rPr>
          <w:rFonts w:ascii="Century Gothic" w:eastAsia="Aptos" w:hAnsi="Century Gothic" w:cs="Aptos"/>
          <w:sz w:val="18"/>
          <w:szCs w:val="18"/>
        </w:rPr>
        <w:t xml:space="preserve"> Trussell (2025). </w:t>
      </w:r>
      <w:r w:rsidRPr="00426BC5">
        <w:rPr>
          <w:rFonts w:ascii="Century Gothic" w:eastAsia="Aptos" w:hAnsi="Century Gothic" w:cs="Aptos"/>
          <w:i/>
          <w:iCs/>
          <w:sz w:val="18"/>
          <w:szCs w:val="18"/>
        </w:rPr>
        <w:t xml:space="preserve">Hunger in the UK 2025. </w:t>
      </w:r>
      <w:r w:rsidRPr="00426BC5">
        <w:rPr>
          <w:rFonts w:ascii="Century Gothic" w:eastAsia="Aptos" w:hAnsi="Century Gothic" w:cs="Aptos"/>
          <w:sz w:val="18"/>
          <w:szCs w:val="18"/>
        </w:rPr>
        <w:t xml:space="preserve">Available at: </w:t>
      </w:r>
      <w:r>
        <w:fldChar w:fldCharType="begin"/>
      </w:r>
      <w:r>
        <w:instrText xml:space="preserve"> HYPERLINK "https://www.trussell.org.uk/news-and-research/publications/report/hunger-in-the-uk-2025" </w:instrText>
      </w:r>
      <w:r>
        <w:fldChar w:fldCharType="separate"/>
      </w:r>
      <w:r w:rsidRPr="00426BC5">
        <w:rPr>
          <w:rStyle w:val="Hyperlink"/>
          <w:rFonts w:ascii="Century Gothic" w:eastAsia="Aptos" w:hAnsi="Century Gothic" w:cs="Aptos"/>
          <w:sz w:val="18"/>
          <w:szCs w:val="18"/>
        </w:rPr>
        <w:t>https://www.trussell.org.uk/news-and-research/publications/report/hunger-in-the-uk-2025</w:t>
      </w:r>
      <w:r>
        <w:fldChar w:fldCharType="end"/>
      </w:r>
      <w:r w:rsidRPr="00426BC5">
        <w:rPr>
          <w:rFonts w:ascii="Century Gothic" w:eastAsia="Aptos" w:hAnsi="Century Gothic" w:cs="Aptos"/>
          <w:sz w:val="18"/>
          <w:szCs w:val="18"/>
        </w:rPr>
        <w:t xml:space="preserve"> </w:t>
      </w:r>
    </w:p>
  </w:footnote>
  <w:footnote w:id="15">
    <w:p w:rsidR="00FF759E" w:rsidRPr="000B633B">
      <w:pPr>
        <w:pStyle w:val="FootnoteText"/>
        <w:rPr>
          <w:rFonts w:ascii="Century Gothic" w:hAnsi="Century Gothic"/>
        </w:rPr>
      </w:pPr>
      <w:r w:rsidRPr="000B633B">
        <w:rPr>
          <w:rStyle w:val="FootnoteReference"/>
          <w:rFonts w:ascii="Century Gothic" w:hAnsi="Century Gothic"/>
          <w:sz w:val="18"/>
          <w:szCs w:val="18"/>
        </w:rPr>
        <w:footnoteRef/>
      </w:r>
      <w:r w:rsidRPr="000B633B">
        <w:rPr>
          <w:rFonts w:ascii="Century Gothic" w:hAnsi="Century Gothic"/>
          <w:sz w:val="18"/>
          <w:szCs w:val="18"/>
        </w:rPr>
        <w:t xml:space="preserve"> Magic Breakfast (2025) Impact of free breakfast provision in early years (unpublished)</w:t>
      </w:r>
      <w:r w:rsidRPr="000B633B">
        <w:rPr>
          <w:rFonts w:ascii="Century Gothic" w:hAnsi="Century Gothic"/>
        </w:rPr>
        <w:t xml:space="preserve"> </w:t>
      </w:r>
    </w:p>
  </w:footnote>
  <w:footnote w:id="16">
    <w:p w:rsidR="00FF759E" w:rsidRPr="00EA5FA1">
      <w:pPr>
        <w:pStyle w:val="FootnoteText"/>
        <w:rPr>
          <w:rFonts w:ascii="Century Gothic" w:hAnsi="Century Gothic"/>
          <w:sz w:val="18"/>
          <w:szCs w:val="18"/>
        </w:rPr>
      </w:pPr>
      <w:r w:rsidRPr="006F6800">
        <w:rPr>
          <w:rStyle w:val="FootnoteReference"/>
          <w:rFonts w:ascii="Century Gothic" w:hAnsi="Century Gothic"/>
          <w:sz w:val="18"/>
          <w:szCs w:val="18"/>
        </w:rPr>
        <w:footnoteRef/>
      </w:r>
      <w:r w:rsidRPr="006F6800">
        <w:rPr>
          <w:rFonts w:ascii="Century Gothic" w:hAnsi="Century Gothic"/>
          <w:sz w:val="18"/>
          <w:szCs w:val="18"/>
        </w:rPr>
        <w:t xml:space="preserve"> Magic Breakfast (2023) What’s for Breakfast? [accessed here: </w:t>
      </w:r>
      <w:r>
        <w:fldChar w:fldCharType="begin"/>
      </w:r>
      <w:r>
        <w:instrText xml:space="preserve"> HYPERLINK "https://www.magicbreakfast.com/wp-content/uploads/2023/11/whatsforbreakfastreport2023optimisedandinteractivev.pdf" </w:instrText>
      </w:r>
      <w:r>
        <w:fldChar w:fldCharType="separate"/>
      </w:r>
      <w:r w:rsidRPr="00EA5FA1">
        <w:rPr>
          <w:rStyle w:val="Hyperlink"/>
          <w:rFonts w:ascii="Century Gothic" w:hAnsi="Century Gothic"/>
          <w:sz w:val="18"/>
          <w:szCs w:val="18"/>
        </w:rPr>
        <w:t>whatsforbreakfastreport2023optimisedandinteractivev.pdf</w:t>
      </w:r>
      <w:r>
        <w:fldChar w:fldCharType="end"/>
      </w:r>
      <w:r w:rsidRPr="00EA5FA1">
        <w:rPr>
          <w:rFonts w:ascii="Century Gothic" w:hAnsi="Century Gothic"/>
          <w:sz w:val="18"/>
          <w:szCs w:val="18"/>
        </w:rPr>
        <w:t>]</w:t>
      </w:r>
    </w:p>
  </w:footnote>
  <w:footnote w:id="17">
    <w:p w:rsidR="00FF759E">
      <w:pPr>
        <w:pStyle w:val="FootnoteText"/>
      </w:pPr>
      <w:r w:rsidRPr="00EA5FA1">
        <w:rPr>
          <w:rStyle w:val="FootnoteReference"/>
          <w:rFonts w:ascii="Century Gothic" w:hAnsi="Century Gothic"/>
          <w:sz w:val="18"/>
          <w:szCs w:val="18"/>
        </w:rPr>
        <w:footnoteRef/>
      </w:r>
      <w:r w:rsidRPr="00EA5FA1">
        <w:rPr>
          <w:rFonts w:ascii="Century Gothic" w:hAnsi="Century Gothic"/>
          <w:sz w:val="18"/>
          <w:szCs w:val="18"/>
        </w:rPr>
        <w:t xml:space="preserve"> National Children’s Bureau (2024) School belonging: A literature review [accessed here: </w:t>
      </w:r>
      <w:r>
        <w:fldChar w:fldCharType="begin"/>
      </w:r>
      <w:r>
        <w:instrText xml:space="preserve"> HYPERLINK "https://www.ncb.org.uk/sites/default/files/uploads/attachments/School%20Belonging%20-%20A%20Literature%20Review%202024_2.pdf" </w:instrText>
      </w:r>
      <w:r>
        <w:fldChar w:fldCharType="separate"/>
      </w:r>
      <w:r w:rsidRPr="00EA5FA1">
        <w:rPr>
          <w:rStyle w:val="Hyperlink"/>
          <w:rFonts w:ascii="Century Gothic" w:hAnsi="Century Gothic"/>
          <w:sz w:val="18"/>
          <w:szCs w:val="18"/>
        </w:rPr>
        <w:t>School Belonging - A Literature Review 2024_2.pdf</w:t>
      </w:r>
      <w:r>
        <w:fldChar w:fldCharType="end"/>
      </w:r>
      <w:r w:rsidRPr="00EA5FA1">
        <w:rPr>
          <w:rFonts w:ascii="Century Gothic" w:hAnsi="Century Gothic"/>
          <w:sz w:val="18"/>
          <w:szCs w:val="18"/>
        </w:rPr>
        <w:t>]</w:t>
      </w:r>
    </w:p>
  </w:footnote>
  <w:footnote w:id="18">
    <w:p w:rsidR="00FF759E">
      <w:pPr>
        <w:pStyle w:val="FootnoteText"/>
      </w:pPr>
      <w:r w:rsidRPr="00D8248D">
        <w:rPr>
          <w:rStyle w:val="FootnoteReference"/>
          <w:rFonts w:ascii="Century Gothic" w:hAnsi="Century Gothic"/>
          <w:sz w:val="18"/>
          <w:szCs w:val="18"/>
        </w:rPr>
        <w:footnoteRef/>
      </w:r>
      <w:r w:rsidRPr="00D8248D">
        <w:rPr>
          <w:rFonts w:ascii="Century Gothic" w:hAnsi="Century Gothic"/>
          <w:sz w:val="18"/>
          <w:szCs w:val="18"/>
        </w:rPr>
        <w:t xml:space="preserve"> Magic Breakfast (2024) Breakfast: The Simple Choice [accessed here: </w:t>
      </w:r>
      <w:r>
        <w:fldChar w:fldCharType="begin"/>
      </w:r>
      <w:r>
        <w:instrText xml:space="preserve"> HYPERLINK "https://www.magicbreakfast.com/wp-content/uploads/DIGITAL-Breakfast-The-Simple-Choice-2024-PPA-Briefing-Rebrand.pdf" </w:instrText>
      </w:r>
      <w:r>
        <w:fldChar w:fldCharType="separate"/>
      </w:r>
      <w:r w:rsidRPr="00D8248D">
        <w:rPr>
          <w:rStyle w:val="Hyperlink"/>
          <w:rFonts w:ascii="Century Gothic" w:hAnsi="Century Gothic"/>
          <w:sz w:val="18"/>
          <w:szCs w:val="18"/>
        </w:rPr>
        <w:t>DIGITAL-Breakfast-The-Simple-Choice-2024-PPA-Briefing-Rebrand.pdf</w:t>
      </w:r>
      <w:r>
        <w:fldChar w:fldCharType="end"/>
      </w:r>
      <w:r w:rsidRPr="00D8248D">
        <w:rPr>
          <w:rFonts w:ascii="Century Gothic" w:hAnsi="Century Gothic"/>
          <w:sz w:val="18"/>
          <w:szCs w:val="18"/>
        </w:rPr>
        <w:t>]</w:t>
      </w:r>
    </w:p>
  </w:footnote>
  <w:footnote w:id="19">
    <w:p w:rsidR="00FF759E" w:rsidRPr="00426BC5" w:rsidP="006F4A02">
      <w:pPr>
        <w:pStyle w:val="FootnoteText"/>
        <w:rPr>
          <w:rFonts w:ascii="Century Gothic" w:hAnsi="Century Gothic"/>
          <w:sz w:val="18"/>
          <w:szCs w:val="18"/>
        </w:rPr>
      </w:pPr>
      <w:r w:rsidRPr="00426BC5">
        <w:rPr>
          <w:rStyle w:val="FootnoteReference"/>
          <w:rFonts w:ascii="Century Gothic" w:hAnsi="Century Gothic"/>
          <w:sz w:val="18"/>
          <w:szCs w:val="18"/>
        </w:rPr>
        <w:footnoteRef/>
      </w:r>
      <w:r w:rsidRPr="00426BC5">
        <w:rPr>
          <w:rFonts w:ascii="Century Gothic" w:hAnsi="Century Gothic"/>
          <w:sz w:val="18"/>
          <w:szCs w:val="18"/>
        </w:rPr>
        <w:t xml:space="preserve"> The Labour Party (2024), Change: Labour Party’s Manifesto [access here: </w:t>
      </w:r>
      <w:r>
        <w:fldChar w:fldCharType="begin"/>
      </w:r>
      <w:r>
        <w:instrText xml:space="preserve"> HYPERLINK "https://labour.org.uk/change/break-down-barriers-to-opportunity/" </w:instrText>
      </w:r>
      <w:r>
        <w:fldChar w:fldCharType="separate"/>
      </w:r>
      <w:r w:rsidRPr="00426BC5">
        <w:rPr>
          <w:rStyle w:val="Hyperlink"/>
          <w:rFonts w:ascii="Century Gothic" w:hAnsi="Century Gothic"/>
          <w:sz w:val="18"/>
          <w:szCs w:val="18"/>
        </w:rPr>
        <w:t>Break down barriers to opportunity – The Labour Party</w:t>
      </w:r>
      <w:r>
        <w:fldChar w:fldCharType="end"/>
      </w:r>
      <w:r w:rsidRPr="00426BC5">
        <w:rPr>
          <w:rFonts w:ascii="Century Gothic" w:hAnsi="Century Gothic"/>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B438FD"/>
    <w:multiLevelType w:val="hybridMultilevel"/>
    <w:tmpl w:val="1C2631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ED671A"/>
    <w:multiLevelType w:val="multilevel"/>
    <w:tmpl w:val="4EC6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BD2264"/>
    <w:multiLevelType w:val="multilevel"/>
    <w:tmpl w:val="270E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B3D87"/>
    <w:multiLevelType w:val="hybridMultilevel"/>
    <w:tmpl w:val="4C6AF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960BD9"/>
    <w:multiLevelType w:val="multilevel"/>
    <w:tmpl w:val="3B14B8EA"/>
    <w:styleLink w:val="RS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426" w:firstLine="0"/>
      </w:pPr>
      <w:rPr>
        <w:rFonts w:hint="default"/>
      </w:rPr>
    </w:lvl>
    <w:lvl w:ilvl="2">
      <w:start w:val="1"/>
      <w:numFmt w:val="decimal"/>
      <w:suff w:val="space"/>
      <w:lvlText w:val="%1.%2.%3"/>
      <w:lvlJc w:val="left"/>
      <w:pPr>
        <w:ind w:left="1134"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391815FD"/>
    <w:multiLevelType w:val="hybridMultilevel"/>
    <w:tmpl w:val="7A6C1B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E54AF2"/>
    <w:multiLevelType w:val="multilevel"/>
    <w:tmpl w:val="D16C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04519"/>
    <w:multiLevelType w:val="hybridMultilevel"/>
    <w:tmpl w:val="47E6B0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F833D82"/>
    <w:multiLevelType w:val="multilevel"/>
    <w:tmpl w:val="BDE2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A71A0B"/>
    <w:multiLevelType w:val="multilevel"/>
    <w:tmpl w:val="7FB0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4A64927"/>
    <w:multiLevelType w:val="multilevel"/>
    <w:tmpl w:val="2346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6347669"/>
    <w:multiLevelType w:val="multilevel"/>
    <w:tmpl w:val="E1B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B70387"/>
    <w:multiLevelType w:val="hybridMultilevel"/>
    <w:tmpl w:val="0CD0E8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200C79"/>
    <w:multiLevelType w:val="hybridMultilevel"/>
    <w:tmpl w:val="69683F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E94553B"/>
    <w:multiLevelType w:val="hybridMultilevel"/>
    <w:tmpl w:val="009CBB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EF42D8D"/>
    <w:multiLevelType w:val="hybridMultilevel"/>
    <w:tmpl w:val="8F90F76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04C28BD"/>
    <w:multiLevelType w:val="hybridMultilevel"/>
    <w:tmpl w:val="395CE3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7092F9B"/>
    <w:multiLevelType w:val="multilevel"/>
    <w:tmpl w:val="044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81323A0"/>
    <w:multiLevelType w:val="hybridMultilevel"/>
    <w:tmpl w:val="F7D68F32"/>
    <w:lvl w:ilvl="0">
      <w:start w:val="1"/>
      <w:numFmt w:val="bullet"/>
      <w:lvlText w:val=""/>
      <w:lvlJc w:val="left"/>
      <w:pPr>
        <w:ind w:left="927"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9">
    <w:nsid w:val="58353EE1"/>
    <w:multiLevelType w:val="multilevel"/>
    <w:tmpl w:val="E740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FC7E5F"/>
    <w:multiLevelType w:val="hybridMultilevel"/>
    <w:tmpl w:val="92F2C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4B08F3"/>
    <w:multiLevelType w:val="multilevel"/>
    <w:tmpl w:val="EEE0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B376BD8"/>
    <w:multiLevelType w:val="hybridMultilevel"/>
    <w:tmpl w:val="1E7CC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6C7C08"/>
    <w:multiLevelType w:val="multilevel"/>
    <w:tmpl w:val="4494519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930"/>
        </w:tabs>
        <w:ind w:left="1930" w:hanging="360"/>
      </w:pPr>
      <w:rPr>
        <w:rFonts w:ascii="Symbol" w:hAnsi="Symbol" w:hint="default"/>
        <w:sz w:val="20"/>
      </w:rPr>
    </w:lvl>
    <w:lvl w:ilvl="2" w:tentative="1">
      <w:start w:val="1"/>
      <w:numFmt w:val="bullet"/>
      <w:lvlText w:val=""/>
      <w:lvlJc w:val="left"/>
      <w:pPr>
        <w:tabs>
          <w:tab w:val="num" w:pos="2650"/>
        </w:tabs>
        <w:ind w:left="2650" w:hanging="360"/>
      </w:pPr>
      <w:rPr>
        <w:rFonts w:ascii="Symbol" w:hAnsi="Symbol" w:hint="default"/>
        <w:sz w:val="20"/>
      </w:rPr>
    </w:lvl>
    <w:lvl w:ilvl="3" w:tentative="1">
      <w:start w:val="1"/>
      <w:numFmt w:val="bullet"/>
      <w:lvlText w:val=""/>
      <w:lvlJc w:val="left"/>
      <w:pPr>
        <w:tabs>
          <w:tab w:val="num" w:pos="3370"/>
        </w:tabs>
        <w:ind w:left="3370" w:hanging="360"/>
      </w:pPr>
      <w:rPr>
        <w:rFonts w:ascii="Symbol" w:hAnsi="Symbol" w:hint="default"/>
        <w:sz w:val="20"/>
      </w:rPr>
    </w:lvl>
    <w:lvl w:ilvl="4" w:tentative="1">
      <w:start w:val="1"/>
      <w:numFmt w:val="bullet"/>
      <w:lvlText w:val=""/>
      <w:lvlJc w:val="left"/>
      <w:pPr>
        <w:tabs>
          <w:tab w:val="num" w:pos="4090"/>
        </w:tabs>
        <w:ind w:left="4090" w:hanging="360"/>
      </w:pPr>
      <w:rPr>
        <w:rFonts w:ascii="Symbol" w:hAnsi="Symbol" w:hint="default"/>
        <w:sz w:val="20"/>
      </w:rPr>
    </w:lvl>
    <w:lvl w:ilvl="5" w:tentative="1">
      <w:start w:val="1"/>
      <w:numFmt w:val="bullet"/>
      <w:lvlText w:val=""/>
      <w:lvlJc w:val="left"/>
      <w:pPr>
        <w:tabs>
          <w:tab w:val="num" w:pos="4810"/>
        </w:tabs>
        <w:ind w:left="4810" w:hanging="360"/>
      </w:pPr>
      <w:rPr>
        <w:rFonts w:ascii="Symbol" w:hAnsi="Symbol" w:hint="default"/>
        <w:sz w:val="20"/>
      </w:rPr>
    </w:lvl>
    <w:lvl w:ilvl="6" w:tentative="1">
      <w:start w:val="1"/>
      <w:numFmt w:val="bullet"/>
      <w:lvlText w:val=""/>
      <w:lvlJc w:val="left"/>
      <w:pPr>
        <w:tabs>
          <w:tab w:val="num" w:pos="5530"/>
        </w:tabs>
        <w:ind w:left="5530" w:hanging="360"/>
      </w:pPr>
      <w:rPr>
        <w:rFonts w:ascii="Symbol" w:hAnsi="Symbol" w:hint="default"/>
        <w:sz w:val="20"/>
      </w:rPr>
    </w:lvl>
    <w:lvl w:ilvl="7" w:tentative="1">
      <w:start w:val="1"/>
      <w:numFmt w:val="bullet"/>
      <w:lvlText w:val=""/>
      <w:lvlJc w:val="left"/>
      <w:pPr>
        <w:tabs>
          <w:tab w:val="num" w:pos="6250"/>
        </w:tabs>
        <w:ind w:left="6250" w:hanging="360"/>
      </w:pPr>
      <w:rPr>
        <w:rFonts w:ascii="Symbol" w:hAnsi="Symbol" w:hint="default"/>
        <w:sz w:val="20"/>
      </w:rPr>
    </w:lvl>
    <w:lvl w:ilvl="8" w:tentative="1">
      <w:start w:val="1"/>
      <w:numFmt w:val="bullet"/>
      <w:lvlText w:val=""/>
      <w:lvlJc w:val="left"/>
      <w:pPr>
        <w:tabs>
          <w:tab w:val="num" w:pos="6970"/>
        </w:tabs>
        <w:ind w:left="6970" w:hanging="360"/>
      </w:pPr>
      <w:rPr>
        <w:rFonts w:ascii="Symbol" w:hAnsi="Symbol" w:hint="default"/>
        <w:sz w:val="20"/>
      </w:rPr>
    </w:lvl>
  </w:abstractNum>
  <w:abstractNum w:abstractNumId="24">
    <w:nsid w:val="76295945"/>
    <w:multiLevelType w:val="multilevel"/>
    <w:tmpl w:val="FD2A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0"/>
  </w:num>
  <w:num w:numId="3">
    <w:abstractNumId w:val="7"/>
  </w:num>
  <w:num w:numId="4">
    <w:abstractNumId w:val="13"/>
  </w:num>
  <w:num w:numId="5">
    <w:abstractNumId w:val="22"/>
  </w:num>
  <w:num w:numId="6">
    <w:abstractNumId w:val="11"/>
  </w:num>
  <w:num w:numId="7">
    <w:abstractNumId w:val="6"/>
  </w:num>
  <w:num w:numId="8">
    <w:abstractNumId w:val="2"/>
  </w:num>
  <w:num w:numId="9">
    <w:abstractNumId w:val="19"/>
  </w:num>
  <w:num w:numId="10">
    <w:abstractNumId w:val="0"/>
  </w:num>
  <w:num w:numId="11">
    <w:abstractNumId w:val="23"/>
  </w:num>
  <w:num w:numId="12">
    <w:abstractNumId w:val="16"/>
  </w:num>
  <w:num w:numId="13">
    <w:abstractNumId w:val="18"/>
  </w:num>
  <w:num w:numId="14">
    <w:abstractNumId w:val="5"/>
  </w:num>
  <w:num w:numId="15">
    <w:abstractNumId w:val="14"/>
  </w:num>
  <w:num w:numId="16">
    <w:abstractNumId w:val="15"/>
  </w:num>
  <w:num w:numId="17">
    <w:abstractNumId w:val="12"/>
  </w:num>
  <w:num w:numId="18">
    <w:abstractNumId w:val="3"/>
  </w:num>
  <w:num w:numId="19">
    <w:abstractNumId w:val="21"/>
  </w:num>
  <w:num w:numId="20">
    <w:abstractNumId w:val="24"/>
  </w:num>
  <w:num w:numId="21">
    <w:abstractNumId w:val="1"/>
  </w:num>
  <w:num w:numId="22">
    <w:abstractNumId w:val="17"/>
  </w:num>
  <w:num w:numId="23">
    <w:abstractNumId w:val="10"/>
  </w:num>
  <w:num w:numId="24">
    <w:abstractNumId w:val="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hAnsi="Century Gothic" w:eastAsiaTheme="minorHAnsi" w:cstheme="minorBidi"/>
        <w:kern w:val="2"/>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38B8"/>
    <w:pPr>
      <w:spacing w:after="240" w:line="276" w:lineRule="auto"/>
    </w:pPr>
    <w:rPr>
      <w:rFonts w:ascii="Sora Light" w:eastAsia="Book Antiqua" w:hAnsi="Sora Light" w:cs="Sora Light"/>
      <w:color w:val="000000" w:themeColor="text1"/>
      <w:kern w:val="0"/>
      <w:sz w:val="22"/>
      <w:szCs w:val="22"/>
    </w:rPr>
  </w:style>
  <w:style w:type="paragraph" w:styleId="Heading1">
    <w:name w:val="heading 1"/>
    <w:basedOn w:val="Normal"/>
    <w:next w:val="Normal"/>
    <w:link w:val="Heading1Char"/>
    <w:uiPriority w:val="9"/>
    <w:qFormat/>
    <w:rsid w:val="00313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13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138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8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3138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38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38B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38B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38B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13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8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8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3138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38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38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38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38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3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8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8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38B8"/>
    <w:pPr>
      <w:spacing w:before="160"/>
      <w:jc w:val="center"/>
    </w:pPr>
    <w:rPr>
      <w:i/>
      <w:iCs/>
      <w:color w:val="404040" w:themeColor="text1" w:themeTint="BF"/>
    </w:rPr>
  </w:style>
  <w:style w:type="character" w:customStyle="1" w:styleId="QuoteChar">
    <w:name w:val="Quote Char"/>
    <w:basedOn w:val="DefaultParagraphFont"/>
    <w:link w:val="Quote"/>
    <w:uiPriority w:val="29"/>
    <w:rsid w:val="003138B8"/>
    <w:rPr>
      <w:i/>
      <w:iCs/>
      <w:color w:val="404040" w:themeColor="text1" w:themeTint="BF"/>
    </w:rPr>
  </w:style>
  <w:style w:type="paragraph" w:styleId="ListParagraph">
    <w:name w:val="List Paragraph"/>
    <w:basedOn w:val="Normal"/>
    <w:link w:val="ListParagraphChar"/>
    <w:uiPriority w:val="34"/>
    <w:qFormat/>
    <w:rsid w:val="003138B8"/>
    <w:pPr>
      <w:ind w:left="720"/>
      <w:contextualSpacing/>
    </w:pPr>
  </w:style>
  <w:style w:type="character" w:styleId="IntenseEmphasis">
    <w:name w:val="Intense Emphasis"/>
    <w:basedOn w:val="DefaultParagraphFont"/>
    <w:uiPriority w:val="21"/>
    <w:qFormat/>
    <w:rsid w:val="003138B8"/>
    <w:rPr>
      <w:i/>
      <w:iCs/>
      <w:color w:val="0F4761" w:themeColor="accent1" w:themeShade="BF"/>
    </w:rPr>
  </w:style>
  <w:style w:type="paragraph" w:styleId="IntenseQuote">
    <w:name w:val="Intense Quote"/>
    <w:basedOn w:val="Normal"/>
    <w:next w:val="Normal"/>
    <w:link w:val="IntenseQuoteChar"/>
    <w:uiPriority w:val="30"/>
    <w:qFormat/>
    <w:rsid w:val="00313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8B8"/>
    <w:rPr>
      <w:i/>
      <w:iCs/>
      <w:color w:val="0F4761" w:themeColor="accent1" w:themeShade="BF"/>
    </w:rPr>
  </w:style>
  <w:style w:type="character" w:styleId="IntenseReference">
    <w:name w:val="Intense Reference"/>
    <w:basedOn w:val="DefaultParagraphFont"/>
    <w:uiPriority w:val="32"/>
    <w:qFormat/>
    <w:rsid w:val="003138B8"/>
    <w:rPr>
      <w:b/>
      <w:bCs/>
      <w:smallCaps/>
      <w:color w:val="0F4761" w:themeColor="accent1" w:themeShade="BF"/>
      <w:spacing w:val="5"/>
    </w:rPr>
  </w:style>
  <w:style w:type="table" w:styleId="TableGrid">
    <w:name w:val="Table Grid"/>
    <w:aliases w:val="RS Blank Table"/>
    <w:basedOn w:val="TableNormal"/>
    <w:uiPriority w:val="39"/>
    <w:rsid w:val="003138B8"/>
    <w:pPr>
      <w:spacing w:after="0" w:line="300" w:lineRule="exact"/>
      <w:ind w:left="57" w:right="57"/>
    </w:pPr>
    <w:rPr>
      <w:rFonts w:ascii="Sora Light" w:eastAsia="Book Antiqua" w:hAnsi="Sora Light" w:cs="Times New Roman"/>
      <w:kern w:val="0"/>
      <w:szCs w:val="20"/>
    </w:rPr>
    <w:tblPr/>
    <w:tblStylePr w:type="firstRow">
      <w:pPr>
        <w:wordWrap/>
        <w:jc w:val="left"/>
      </w:pPr>
      <w:rPr>
        <w:rFonts w:ascii="Sora SemiBold" w:hAnsi="Sora SemiBold"/>
        <w:b/>
        <w:i w:val="0"/>
        <w:color w:val="FFFFFF" w:themeColor="background1"/>
        <w:sz w:val="20"/>
      </w:rPr>
    </w:tblStylePr>
    <w:tblStylePr w:type="firstCol">
      <w:pPr>
        <w:wordWrap/>
        <w:ind w:left="0" w:right="0" w:leftChars="0" w:rightChars="0"/>
        <w:jc w:val="left"/>
      </w:pPr>
      <w:rPr>
        <w:rFonts w:ascii="Sora SemiBold" w:hAnsi="Sora SemiBold"/>
        <w:b/>
        <w:i w:val="0"/>
        <w:color w:val="000000" w:themeColor="text1"/>
        <w:sz w:val="20"/>
      </w:rPr>
    </w:tblStylePr>
  </w:style>
  <w:style w:type="paragraph" w:styleId="Caption">
    <w:name w:val="caption"/>
    <w:basedOn w:val="Normal"/>
    <w:next w:val="Normal"/>
    <w:uiPriority w:val="1"/>
    <w:unhideWhenUsed/>
    <w:qFormat/>
    <w:rsid w:val="003138B8"/>
    <w:pPr>
      <w:keepNext/>
      <w:spacing w:before="120"/>
    </w:pPr>
    <w:rPr>
      <w:rFonts w:ascii="Sora SemiBold" w:hAnsi="Sora SemiBold" w:eastAsiaTheme="minorEastAsia" w:cs="Sora SemiBold"/>
      <w:bCs/>
      <w:color w:val="156082" w:themeColor="accent1"/>
      <w:sz w:val="24"/>
      <w:szCs w:val="24"/>
      <w:lang w:eastAsia="en-GB"/>
    </w:rPr>
  </w:style>
  <w:style w:type="numbering" w:customStyle="1" w:styleId="RSNumberedList">
    <w:name w:val="RS Numbered List"/>
    <w:uiPriority w:val="99"/>
    <w:rsid w:val="003138B8"/>
    <w:pPr>
      <w:numPr>
        <w:numId w:val="1"/>
      </w:numPr>
    </w:pPr>
  </w:style>
  <w:style w:type="character" w:customStyle="1" w:styleId="Bold">
    <w:name w:val="Bold"/>
    <w:uiPriority w:val="1"/>
    <w:qFormat/>
    <w:rsid w:val="003138B8"/>
    <w:rPr>
      <w:rFonts w:ascii="Sora SemiBold" w:hAnsi="Sora SemiBold" w:cs="Sora SemiBold"/>
      <w:bCs/>
    </w:rPr>
  </w:style>
  <w:style w:type="character" w:customStyle="1" w:styleId="ListParagraphChar">
    <w:name w:val="List Paragraph Char"/>
    <w:basedOn w:val="DefaultParagraphFont"/>
    <w:link w:val="ListParagraph"/>
    <w:uiPriority w:val="34"/>
    <w:locked/>
    <w:rsid w:val="003138B8"/>
  </w:style>
  <w:style w:type="paragraph" w:styleId="FootnoteText">
    <w:name w:val="footnote text"/>
    <w:basedOn w:val="Normal"/>
    <w:link w:val="FootnoteTextChar"/>
    <w:uiPriority w:val="99"/>
    <w:semiHidden/>
    <w:unhideWhenUsed/>
    <w:rsid w:val="008128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8FA"/>
    <w:rPr>
      <w:rFonts w:ascii="Sora Light" w:eastAsia="Book Antiqua" w:hAnsi="Sora Light" w:cs="Sora Light"/>
      <w:color w:val="000000" w:themeColor="text1"/>
      <w:kern w:val="0"/>
      <w:szCs w:val="20"/>
    </w:rPr>
  </w:style>
  <w:style w:type="character" w:styleId="FootnoteReference">
    <w:name w:val="footnote reference"/>
    <w:basedOn w:val="DefaultParagraphFont"/>
    <w:uiPriority w:val="99"/>
    <w:semiHidden/>
    <w:unhideWhenUsed/>
    <w:rsid w:val="008128FA"/>
    <w:rPr>
      <w:vertAlign w:val="superscript"/>
    </w:rPr>
  </w:style>
  <w:style w:type="character" w:styleId="CommentReference">
    <w:name w:val="annotation reference"/>
    <w:basedOn w:val="DefaultParagraphFont"/>
    <w:uiPriority w:val="99"/>
    <w:semiHidden/>
    <w:unhideWhenUsed/>
    <w:rsid w:val="00D02F4E"/>
    <w:rPr>
      <w:sz w:val="16"/>
      <w:szCs w:val="16"/>
    </w:rPr>
  </w:style>
  <w:style w:type="paragraph" w:styleId="CommentText">
    <w:name w:val="annotation text"/>
    <w:basedOn w:val="Normal"/>
    <w:link w:val="CommentTextChar"/>
    <w:uiPriority w:val="99"/>
    <w:unhideWhenUsed/>
    <w:rsid w:val="00D02F4E"/>
    <w:pPr>
      <w:spacing w:line="240" w:lineRule="auto"/>
    </w:pPr>
    <w:rPr>
      <w:sz w:val="20"/>
      <w:szCs w:val="20"/>
    </w:rPr>
  </w:style>
  <w:style w:type="character" w:customStyle="1" w:styleId="CommentTextChar">
    <w:name w:val="Comment Text Char"/>
    <w:basedOn w:val="DefaultParagraphFont"/>
    <w:link w:val="CommentText"/>
    <w:uiPriority w:val="99"/>
    <w:rsid w:val="00D02F4E"/>
    <w:rPr>
      <w:rFonts w:ascii="Sora Light" w:eastAsia="Book Antiqua" w:hAnsi="Sora Light" w:cs="Sora Light"/>
      <w:color w:val="000000" w:themeColor="text1"/>
      <w:kern w:val="0"/>
      <w:szCs w:val="20"/>
    </w:rPr>
  </w:style>
  <w:style w:type="paragraph" w:styleId="CommentSubject">
    <w:name w:val="annotation subject"/>
    <w:basedOn w:val="CommentText"/>
    <w:next w:val="CommentText"/>
    <w:link w:val="CommentSubjectChar"/>
    <w:uiPriority w:val="99"/>
    <w:semiHidden/>
    <w:unhideWhenUsed/>
    <w:rsid w:val="00D02F4E"/>
    <w:rPr>
      <w:b/>
      <w:bCs/>
    </w:rPr>
  </w:style>
  <w:style w:type="character" w:customStyle="1" w:styleId="CommentSubjectChar">
    <w:name w:val="Comment Subject Char"/>
    <w:basedOn w:val="CommentTextChar"/>
    <w:link w:val="CommentSubject"/>
    <w:uiPriority w:val="99"/>
    <w:semiHidden/>
    <w:rsid w:val="00D02F4E"/>
    <w:rPr>
      <w:rFonts w:ascii="Sora Light" w:eastAsia="Book Antiqua" w:hAnsi="Sora Light" w:cs="Sora Light"/>
      <w:b/>
      <w:bCs/>
      <w:color w:val="000000" w:themeColor="text1"/>
      <w:kern w:val="0"/>
      <w:szCs w:val="20"/>
    </w:rPr>
  </w:style>
  <w:style w:type="character" w:styleId="Hyperlink">
    <w:name w:val="Hyperlink"/>
    <w:basedOn w:val="DefaultParagraphFont"/>
    <w:uiPriority w:val="99"/>
    <w:unhideWhenUsed/>
    <w:rsid w:val="003F1D9E"/>
    <w:rPr>
      <w:color w:val="467886" w:themeColor="hyperlink"/>
      <w:u w:val="single"/>
    </w:rPr>
  </w:style>
  <w:style w:type="paragraph" w:customStyle="1" w:styleId="Body12pt">
    <w:name w:val="Body 12pt"/>
    <w:basedOn w:val="Normal"/>
    <w:qFormat/>
    <w:rsid w:val="002E10E0"/>
    <w:pPr>
      <w:spacing w:after="360"/>
    </w:pPr>
    <w:rPr>
      <w:rFonts w:asciiTheme="minorHAnsi" w:eastAsiaTheme="minorHAnsi" w:hAnsiTheme="minorHAnsi" w:cstheme="minorBidi"/>
      <w:color w:val="auto"/>
      <w:kern w:val="2"/>
      <w:sz w:val="24"/>
      <w:szCs w:val="24"/>
    </w:rPr>
  </w:style>
  <w:style w:type="character" w:customStyle="1" w:styleId="UnresolvedMention1">
    <w:name w:val="Unresolved Mention1"/>
    <w:basedOn w:val="DefaultParagraphFont"/>
    <w:uiPriority w:val="99"/>
    <w:semiHidden/>
    <w:unhideWhenUsed/>
    <w:rsid w:val="007C43DB"/>
    <w:rPr>
      <w:color w:val="605E5C"/>
      <w:shd w:val="clear" w:color="auto" w:fill="E1DFDD"/>
    </w:rPr>
  </w:style>
  <w:style w:type="paragraph" w:styleId="Header">
    <w:name w:val="header"/>
    <w:basedOn w:val="Normal"/>
    <w:link w:val="HeaderChar"/>
    <w:uiPriority w:val="99"/>
    <w:unhideWhenUsed/>
    <w:rsid w:val="008C4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37F"/>
    <w:rPr>
      <w:rFonts w:ascii="Sora Light" w:eastAsia="Book Antiqua" w:hAnsi="Sora Light" w:cs="Sora Light"/>
      <w:color w:val="000000" w:themeColor="text1"/>
      <w:kern w:val="0"/>
      <w:sz w:val="22"/>
      <w:szCs w:val="22"/>
    </w:rPr>
  </w:style>
  <w:style w:type="paragraph" w:styleId="Footer">
    <w:name w:val="footer"/>
    <w:basedOn w:val="Normal"/>
    <w:link w:val="FooterChar"/>
    <w:uiPriority w:val="99"/>
    <w:unhideWhenUsed/>
    <w:rsid w:val="008C4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37F"/>
    <w:rPr>
      <w:rFonts w:ascii="Sora Light" w:eastAsia="Book Antiqua" w:hAnsi="Sora Light" w:cs="Sora Light"/>
      <w:color w:val="000000" w:themeColor="text1"/>
      <w:kern w:val="0"/>
      <w:sz w:val="22"/>
      <w:szCs w:val="22"/>
    </w:rPr>
  </w:style>
  <w:style w:type="character" w:styleId="FollowedHyperlink">
    <w:name w:val="FollowedHyperlink"/>
    <w:basedOn w:val="DefaultParagraphFont"/>
    <w:uiPriority w:val="99"/>
    <w:semiHidden/>
    <w:unhideWhenUsed/>
    <w:rsid w:val="004763F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CYM0151</dc:title>
  <cp:revision>0</cp:revision>
</cp:coreProperties>
</file>