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1B75" w:rsidRPr="00117086" w:rsidP="00DF1B75">
      <w:pPr>
        <w:spacing w:after="0" w:line="240" w:lineRule="auto"/>
        <w:jc w:val="center"/>
        <w:rPr>
          <w:rFonts w:ascii="Calibri" w:hAnsi="Calibri" w:cs="Calibri"/>
          <w:color w:val="auto"/>
          <w:sz w:val="32"/>
          <w:szCs w:val="32"/>
        </w:rPr>
      </w:pPr>
      <w:r w:rsidRPr="00117086">
        <w:rPr>
          <w:rFonts w:ascii="Calibri" w:hAnsi="Calibri" w:cs="Calibri"/>
          <w:color w:val="auto"/>
          <w:sz w:val="32"/>
          <w:szCs w:val="32"/>
        </w:rPr>
        <w:t xml:space="preserve">Written Evidence Submitted by </w:t>
      </w:r>
      <w:r w:rsidRPr="00117086">
        <w:rPr>
          <w:rFonts w:ascii="Calibri" w:hAnsi="Calibri" w:cs="Calibri"/>
          <w:color w:val="auto"/>
          <w:sz w:val="32"/>
          <w:szCs w:val="32"/>
        </w:rPr>
        <w:br/>
        <w:t>West Midlands Combined Authority (CYM0149)</w:t>
      </w:r>
    </w:p>
    <w:p w:rsidR="009D66A3"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DF1B75" w:rsidRPr="00117086" w:rsidP="00BB7A89">
      <w:pPr>
        <w:pStyle w:val="Bullets"/>
        <w:numPr>
          <w:ilvl w:val="0"/>
          <w:numId w:val="0"/>
        </w:numPr>
        <w:ind w:left="207"/>
        <w:rPr>
          <w:rFonts w:ascii="Calibri" w:hAnsi="Calibri" w:cs="Calibri"/>
          <w:color w:val="auto"/>
        </w:rPr>
      </w:pPr>
    </w:p>
    <w:p w:rsidR="009D66A3" w:rsidRPr="00117086" w:rsidP="001A07E6">
      <w:pPr>
        <w:pStyle w:val="NoSpacing"/>
        <w:rPr>
          <w:rFonts w:ascii="Calibri" w:eastAsia="Calibri" w:hAnsi="Calibri" w:cs="Calibri"/>
          <w:noProof/>
          <w:color w:val="auto"/>
          <w:sz w:val="28"/>
          <w:szCs w:val="26"/>
          <w:lang w:val="en-GB" w:eastAsia="en-GB"/>
        </w:rPr>
      </w:pPr>
      <w:r w:rsidRPr="00117086">
        <w:rPr>
          <w:rFonts w:ascii="Calibri" w:eastAsia="Calibri" w:hAnsi="Calibri" w:cs="Calibri"/>
          <w:noProof/>
          <w:color w:val="auto"/>
          <w:sz w:val="28"/>
          <w:szCs w:val="26"/>
          <w:lang w:val="en-GB" w:eastAsia="en-GB"/>
        </w:rPr>
        <w:t>Children and Young People’s Mental Health</w:t>
      </w:r>
    </w:p>
    <w:p w:rsidR="009D66A3" w:rsidRPr="00117086" w:rsidP="001A07E6">
      <w:pPr>
        <w:pStyle w:val="NoSpacing"/>
        <w:rPr>
          <w:rFonts w:ascii="Calibri" w:hAnsi="Calibri" w:cs="Calibri"/>
          <w:color w:val="auto"/>
          <w:lang w:val="en-GB" w:eastAsia="en-GB"/>
        </w:rPr>
      </w:pPr>
      <w:r w:rsidRPr="00117086">
        <w:rPr>
          <w:rFonts w:ascii="Calibri" w:hAnsi="Calibri" w:cs="Calibri"/>
          <w:color w:val="auto"/>
          <w:lang w:val="en-GB" w:eastAsia="en-GB"/>
        </w:rPr>
        <w:t>Call for Evidence: West Midlands Combined Authority</w:t>
      </w:r>
    </w:p>
    <w:p w:rsidR="009D66A3" w:rsidRPr="00117086" w:rsidP="001A07E6">
      <w:pPr>
        <w:pStyle w:val="NoSpacing"/>
        <w:rPr>
          <w:rFonts w:ascii="Calibri" w:hAnsi="Calibri" w:cs="Calibri"/>
          <w:color w:val="auto"/>
          <w:lang w:val="en-GB" w:eastAsia="en-GB"/>
        </w:rPr>
      </w:pPr>
    </w:p>
    <w:p w:rsidR="009D66A3" w:rsidRPr="00117086" w:rsidP="001A07E6">
      <w:pPr>
        <w:pStyle w:val="Heading2"/>
        <w:rPr>
          <w:rFonts w:ascii="Calibri" w:hAnsi="Calibri" w:cs="Calibri"/>
          <w:color w:val="auto"/>
        </w:rPr>
      </w:pPr>
      <w:r w:rsidRPr="00117086">
        <w:rPr>
          <w:rFonts w:ascii="Calibri" w:hAnsi="Calibri" w:cs="Calibri"/>
          <w:color w:val="auto"/>
        </w:rPr>
        <w:t>Key messages</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Children and young people in the West Midlands face disproportionately high levels of mental ill-health. The region has one of the youngest, most diverse and most deprived populations in the UK, driving higher prevalence of mental health difficulties. Rising child poverty, insecure housing, lack of social infrastructure and widening economic inactivity among 16-24-year-olds are creating levels of need that the NHS and education systems cannot manage alone.</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There is a clear and reinforcing relationship between poor mental health and economic inactivity among young people. Young people experiencing poor mental health are significantly more likely to become not in education, employment or training (NEET), while periods of economic inactivity can further worsen mental health outcomes. Without coordinated action across health, employment and skills systems, this cycle risks becoming entrenched.</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Education settings are carrying an unsustainable share of responsibility. Colleges and schools are the de facto early intervention system, often managing serious risks while students wait months or years for NHS care. Staff report long waits, high thresholds and increasing emotional labour without sufficient clinical support. While internal pastoral provision is strong, it cannot replace specialist mental health services.</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Trusted adults and relational support are critical. Tutors and frontline staff are the most common point of disclosure for young people. Informal, relational approaches are often more effective than formal referral routes, particularly for sub-threshold needs. However, staff require structured supervision, protected time and clear role boundaries to sustain this role safely.</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System-wide inequalities are compounding unmet need. Referral pathways often fail to account for the needs of racialised young people, LGBTQ+ young people, neurodivergent learners, care-experienced children, apprentices and part-time learners. These groups experience higher risk and poorer access, reinforcing health inequalities.</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VCFSE organisations play a vital role but lack secure funding. These organisations provide trusted, culturally competent support, yet provision remains fragile and inconsistent. Their impact is greatest where they are embedded within local pathways.</w:t>
      </w:r>
    </w:p>
    <w:p w:rsidR="009D66A3" w:rsidRPr="00117086" w:rsidP="006A3278">
      <w:pPr>
        <w:pStyle w:val="Heading2"/>
        <w:numPr>
          <w:ilvl w:val="0"/>
          <w:numId w:val="40"/>
        </w:numPr>
        <w:rPr>
          <w:rFonts w:ascii="Calibri" w:hAnsi="Calibri" w:eastAsiaTheme="minorHAnsi" w:cs="Calibri"/>
          <w:color w:val="auto"/>
          <w:sz w:val="22"/>
        </w:rPr>
      </w:pPr>
      <w:r w:rsidRPr="00117086">
        <w:rPr>
          <w:rFonts w:ascii="Calibri" w:hAnsi="Calibri" w:eastAsiaTheme="minorHAnsi" w:cs="Calibri"/>
          <w:color w:val="auto"/>
          <w:sz w:val="22"/>
        </w:rPr>
        <w:t>The current NHS system is struggling to meet need. Evidence from Birmingham and Solihull shows extremely long waits for CAMHS, significant delays for autism and ADHD assessment, and high discharge rates without contact. Those in contact with the justice system and those from deprived communities face the greatest barriers.</w:t>
      </w:r>
    </w:p>
    <w:p w:rsidR="009D66A3" w:rsidRPr="00117086" w:rsidP="001A07E6">
      <w:pPr>
        <w:pStyle w:val="Heading2"/>
        <w:numPr>
          <w:ilvl w:val="0"/>
          <w:numId w:val="40"/>
        </w:numPr>
        <w:rPr>
          <w:rFonts w:ascii="Calibri" w:hAnsi="Calibri" w:cs="Calibri"/>
          <w:color w:val="auto"/>
        </w:rPr>
      </w:pPr>
      <w:r w:rsidRPr="00117086">
        <w:rPr>
          <w:rFonts w:ascii="Calibri" w:hAnsi="Calibri" w:eastAsiaTheme="minorHAnsi" w:cs="Calibri"/>
          <w:color w:val="auto"/>
          <w:sz w:val="22"/>
        </w:rPr>
        <w:t>Mental health cannot be addressed without tackling wider determinants. Poverty, housing instability, discrimination, lack of safe community spaces and exposure to violence all significantly shape mental health outcomes. Without coordinated action on these factors, demand for services will continue to rise.</w:t>
      </w:r>
    </w:p>
    <w:p w:rsidR="009D66A3" w:rsidRPr="00117086" w:rsidP="006A3278">
      <w:pPr>
        <w:pStyle w:val="Heading2"/>
        <w:rPr>
          <w:rFonts w:ascii="Calibri" w:hAnsi="Calibri" w:cs="Calibri"/>
          <w:color w:val="auto"/>
        </w:rPr>
      </w:pPr>
      <w:r w:rsidRPr="00117086">
        <w:rPr>
          <w:rFonts w:ascii="Calibri" w:hAnsi="Calibri" w:cs="Calibri"/>
          <w:color w:val="auto"/>
        </w:rPr>
        <w:t>Introduction</w:t>
      </w: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The West Midlands Combined Authority (WMCA) welcomes the opportunity to provide evidence to the joint inquiry into children and young people’s mental health.</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WMCA represents a population of around three million people across seven metropolitan authorities. As a regional authority working across economic development, skills, public service reform and transport, WMCA plays an important role in coordinating action across the wider determinants of mental health.</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The West Midlands Growth Plan and West Midlands Works ambition set out a roadmap for inclusive growth, with a strong focus on improving access to employment, skills and opportunity for residents facing disadvantage. WMCA increasingly acts as a regional integrator, bringing together partners across local government, health systems, employment and skills services, and the voluntary sector.</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The region has one of the youngest and most diverse populations in the UK, alongside some of the highest levels of deprivation, contributing to a high prevalence of poor mental health among children and young people.</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Young people’s mental health is a key focus of WMCA activity. Through the Office for Public Service Innovation, WMCA is exploring areas where mental health intersects with wider social and economic challenges, including homelessness, employment and education.</w:t>
      </w: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For example, homelessness acts as both a cause and consequence of poor mental health, creating a cycle of instability and trauma. In the WMCA area, 14,477 children were living in temporary accommodation at the end of 2024.</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The region also experiences higher levels of economic inactivity (23.8% compared to 20.8% nationally), largely driven by long-term ill-health. Young people aged 16-24 account for a significant proportion of this, with data suggesting that mental health conditions are a primary driver. Nearly 8 in 10 Personal Independence Payment claims among under-25s relate to mental health conditions.</w:t>
      </w:r>
    </w:p>
    <w:p w:rsidR="009D66A3" w:rsidRPr="00117086" w:rsidP="00623504">
      <w:pPr>
        <w:pStyle w:val="NoSpacing"/>
        <w:rPr>
          <w:rFonts w:ascii="Calibri" w:hAnsi="Calibri" w:cs="Calibri"/>
          <w:color w:val="auto"/>
          <w:lang w:val="en-GB" w:eastAsia="en-GB"/>
        </w:rPr>
      </w:pPr>
    </w:p>
    <w:p w:rsidR="009D66A3" w:rsidRPr="00117086" w:rsidP="00623504">
      <w:pPr>
        <w:pStyle w:val="NoSpacing"/>
        <w:rPr>
          <w:rFonts w:ascii="Calibri" w:hAnsi="Calibri" w:cs="Calibri"/>
          <w:color w:val="auto"/>
          <w:lang w:val="en-GB" w:eastAsia="en-GB"/>
        </w:rPr>
      </w:pPr>
      <w:r w:rsidRPr="00117086">
        <w:rPr>
          <w:rFonts w:ascii="Calibri" w:hAnsi="Calibri" w:cs="Calibri"/>
          <w:color w:val="auto"/>
          <w:lang w:val="en-GB" w:eastAsia="en-GB"/>
        </w:rPr>
        <w:t xml:space="preserve">These trends highlight the need for </w:t>
      </w:r>
      <w:r w:rsidRPr="00117086">
        <w:rPr>
          <w:rFonts w:ascii="Calibri" w:hAnsi="Calibri" w:cs="Calibri"/>
          <w:color w:val="auto"/>
          <w:lang w:val="en-GB" w:eastAsia="en-GB"/>
        </w:rPr>
        <w:t>coordinated,</w:t>
      </w:r>
      <w:r w:rsidRPr="00117086">
        <w:rPr>
          <w:rFonts w:ascii="Calibri" w:hAnsi="Calibri" w:cs="Calibri"/>
          <w:color w:val="auto"/>
          <w:lang w:val="en-GB" w:eastAsia="en-GB"/>
        </w:rPr>
        <w:t xml:space="preserve"> cross-system action. Poor mental health among children and young people cannot be addressed by the NHS and education system alone, but requires integrated approaches that also address employment, housing and wider determinants.</w:t>
      </w:r>
    </w:p>
    <w:p w:rsidR="009D66A3" w:rsidRPr="00117086" w:rsidP="001A07E6">
      <w:pPr>
        <w:pStyle w:val="NoSpacing"/>
        <w:rPr>
          <w:rFonts w:ascii="Calibri" w:hAnsi="Calibri" w:cs="Calibri"/>
          <w:color w:val="auto"/>
          <w:lang w:val="en-GB" w:eastAsia="en-GB"/>
        </w:rPr>
      </w:pPr>
    </w:p>
    <w:p w:rsidR="009D66A3" w:rsidRPr="00117086" w:rsidP="001A07E6">
      <w:pPr>
        <w:pStyle w:val="Heading2"/>
        <w:rPr>
          <w:rFonts w:ascii="Calibri" w:hAnsi="Calibri" w:cs="Calibri"/>
          <w:color w:val="auto"/>
        </w:rPr>
      </w:pPr>
      <w:r w:rsidRPr="00117086">
        <w:rPr>
          <w:rFonts w:ascii="Calibri" w:hAnsi="Calibri" w:cs="Calibri"/>
          <w:color w:val="auto"/>
        </w:rPr>
        <w:t>Role of education and community settings in support and delivery</w:t>
      </w: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Colleges and schools play an important role in identifying and supporting young people with their mental health and wellbeing. In 2025/26, the WMCA funded a pilot of a whole-college approach to mental health, Thrive at College, across six colleges in the West Midlands. Independent evaluation by the Centre for Mental Health found that learners reported feeling better supported with stress and general wellbeing, with many describing improvements in confidence and self-management. There were also early indications of improvements in retention and attainment.</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 xml:space="preserve">Evidence from participating colleges showed that all institutions had internal systems to identify and support learners with mental health difficulties, typically through wellbeing teams, counselling services and clear referral routes. Colleges offered a wide range of internally delivered support, including one-to-one wellbeing sessions, counselling, group support and drop-in hubs, which </w:t>
      </w:r>
      <w:r w:rsidRPr="00117086">
        <w:rPr>
          <w:rFonts w:ascii="Calibri" w:hAnsi="Calibri" w:cs="Calibri"/>
          <w:color w:val="auto"/>
          <w:lang w:val="en-GB"/>
        </w:rPr>
        <w:t>learners reported valuing highly. These services often acted as a bridge while students waited for external support.</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Many colleges also partnered with voluntary and community sector (VCSE) organisations (including Kooth, Mind and Birmingham Healthy Minds), which provided lower-threshold, culturally responsive or specialist support. However, the strength, reach and sustainability of these partnerships varied significantly by local area and funding availability. In some areas, colleges also worked with CAMHS, GPs or Mental Health Support Teams, though referrals often relied on staff persistence and confidence rather than consistent or clearly defined pathways.</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Despite strong internal provision, colleges described significant challenges in accessing NHS mental health services. Long waiting times, high thresholds and inconsistent responses meant students frequently reached crisis point before being seen. Colleges were often left managing risk for extended periods, including following serious incidents. Adult learners (19–23) were reported to face particularly high barriers to accessing support.</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Equity of access remains a critical concern. Referral pathways do not consistently account for cultural background, identity or neurodiversity, creating additional barriers for racialised students, LGBTQ+ learners and those with ADHD or autism, particularly where there is no formal diagnosis. Students with intersecting or complex needs are most likely to fall between service thresholds, increasing reliance on colleges as de facto support providers.</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Overall, the evidence shows strong internal pastoral provision and effective identification of need within colleges, but persistent system-level barriers in accessing specialist NHS services. These gaps place unsustainable pressure on college staff and risk leaving vulnerable learners without timely, appropriate care. Colleges can provide early help and relational support, but they cannot replace the capacity, clinical expertise or statutory responsibility of mental health services. Strengthened, consistent local partnerships and improved NHS access are essential to meeting rising levels of need.</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Evidence from the Thrive at College pilot also demonstrates that tutors and trusted frontline staff play a critical role in identifying learners who require mental health support. Universal access points, where support is available without learners needing to actively seek help, were particularly effective. Where staff felt confident, supported and clear about their responsibilities, mental health support was delivered more consistently and integrated within existing pastoral structures.</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The evaluation indicates that informal, relational support delivered through trusted adults is often more effective for learners with emerging or sub-threshold needs than formal referral-based models. This aligns with wider research showing that students are more likely to engage with trusted adults than clinical services, particularly where stigma, fear or low confidence in statutory systems is a barrier.</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Across colleges, mental health leads highlighted the emotional labour placed on staff, who regularly manage difficult disclosures, safeguarding issues and crisis situations. Staff often relied on informal debriefing rather than structured supervision. Embedded training within the pilot improved staff confidence, helping them to understand their role as supportive listeners who can escalate concerns appropriately, rather than feeling responsible for “fixing” complex issues.</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Regional examples highlighted the importance of role clarity and division of responsibilities. Coventry College offered one-to-one counselling for at-risk students, allowing tutors to focus on teaching. Sandwell’s needs assessment demonstrated the impact of school leader wellbeing on whole-school mental health, leading to targeted coaching, counselling and peer support for leaders.</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College audits identified gaps in workforce training, particularly in relation to complex mental health conditions (such as bipolar disorder and schizophrenia), suicide prevention, and understanding the needs of specific groups including care-experienced, neurodivergent and adult learners. Time pressures, limited capacity and part-time attendance patterns further constrained staff participation in training.</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The pilot also found that peer support and co-production approaches strengthened trust, belonging and early disclosure. Students described feeling more valued when their views were acted upon, and staff reported that student voice improved understanding of the drivers of poor mental health and how support could be tailored. However, these approaches require time, continuity and supervision, and limited resources restricted their long-term embedding.</w:t>
      </w:r>
    </w:p>
    <w:p w:rsidR="009D66A3" w:rsidRPr="00117086" w:rsidP="00463129">
      <w:pPr>
        <w:pStyle w:val="NoSpacing"/>
        <w:rPr>
          <w:rFonts w:ascii="Calibri" w:hAnsi="Calibri" w:cs="Calibri"/>
          <w:color w:val="auto"/>
          <w:lang w:val="en-GB"/>
        </w:rPr>
      </w:pPr>
    </w:p>
    <w:p w:rsidR="009D66A3" w:rsidRPr="00117086" w:rsidP="00463129">
      <w:pPr>
        <w:pStyle w:val="NoSpacing"/>
        <w:rPr>
          <w:rFonts w:ascii="Calibri" w:hAnsi="Calibri" w:cs="Calibri"/>
          <w:color w:val="auto"/>
          <w:lang w:val="en-GB"/>
        </w:rPr>
      </w:pPr>
      <w:r w:rsidRPr="00117086">
        <w:rPr>
          <w:rFonts w:ascii="Calibri" w:hAnsi="Calibri" w:cs="Calibri"/>
          <w:color w:val="auto"/>
          <w:lang w:val="en-GB"/>
        </w:rPr>
        <w:t>Finally, colleges reported increasing difficulty navigating the wide range of external mental health programmes available, with limited capacity to assess quality or effectiveness. Staff expressed concern that without clear national guidance on evidence-based interventions, schools and colleges risk investing in programmes that do not adequately meet the needs of students or staff.</w:t>
      </w:r>
    </w:p>
    <w:p w:rsidR="009D66A3" w:rsidRPr="00117086" w:rsidP="00544359">
      <w:pPr>
        <w:pStyle w:val="NoSpacing"/>
        <w:rPr>
          <w:rFonts w:ascii="Calibri" w:hAnsi="Calibri" w:cs="Calibri"/>
          <w:color w:val="auto"/>
          <w:lang w:val="en-GB"/>
        </w:rPr>
      </w:pPr>
    </w:p>
    <w:p w:rsidR="009D66A3" w:rsidRPr="00117086" w:rsidP="00D6546D">
      <w:pPr>
        <w:pStyle w:val="Heading2"/>
        <w:rPr>
          <w:rFonts w:ascii="Calibri" w:hAnsi="Calibri" w:cs="Calibri"/>
          <w:color w:val="auto"/>
        </w:rPr>
      </w:pPr>
      <w:r w:rsidRPr="00117086">
        <w:rPr>
          <w:rFonts w:ascii="Calibri" w:hAnsi="Calibri" w:cs="Calibri"/>
          <w:color w:val="auto"/>
        </w:rPr>
        <w:t>Community based approaches</w:t>
      </w: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Young Futures Hubs offer a key opportunity to provide early, community-based mental health support for children and young people. Evidence from local practice shows that non-clinical settings are often more accessible for young people who may be reluctant to engage with statutory or medical services. These hubs can integrate emotional support, youth work, practical advice and social connection within a single, youth-friendly space.</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For hubs to be effective, they must build on and coordinate with existing local provision, rather than operate in parallel. Local areas already host a range of wellbeing, youth, early help, VCSE and public health services. Effective hubs can act as a single front door into this wider ecosystem, preventing duplication and ensuring that children and families receive holistic, joined-up support at an earlier stage.</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However, provision across regions remains inconsistent. Some areas have well-developed early help or youth wellbeing infrastructure, while others rely on short-term or pilot funding. Evidence highlights the need for sustained investment, clear governance and strong integration with education, primary care and VCSE partners.</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Academic research supports the effectiveness of evidence-based parenting programmes and family interventions in preventing escalation of mental health difficulties. Early support for parents, particularly those managing behavioural, emotional or neurodevelopmental challenges, improves outcomes and reduces demand on specialist services. However, access to parenting support remains uneven, with many areas lacking consistent commissioning, culturally responsive provision and clear referral pathways.</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The evidence demonstrates that children and young people’s mental health is shaped by wider social and economic determinants, including poverty, housing instability, discrimination, family circumstances, access to safe community spaces, and exposure to violence or exploitation. Without action on these wider determinants, mental health services alone cannot meet demand.</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Local systems therefore require a whole-system approach, bringing together education, health, youth services, social care, housing and community safety. This includes investment in early help, safe youth spaces and culturally competent community support.</w:t>
      </w:r>
    </w:p>
    <w:p w:rsidR="009D66A3" w:rsidRPr="00117086" w:rsidP="00D6546D">
      <w:pPr>
        <w:pStyle w:val="NoSpacing"/>
        <w:rPr>
          <w:rFonts w:ascii="Calibri" w:hAnsi="Calibri" w:cs="Calibri"/>
          <w:color w:val="auto"/>
          <w:lang w:val="en-GB"/>
        </w:rPr>
      </w:pPr>
    </w:p>
    <w:p w:rsidR="009D66A3" w:rsidRPr="00117086" w:rsidP="00D6546D">
      <w:pPr>
        <w:pStyle w:val="NoSpacing"/>
        <w:rPr>
          <w:rFonts w:ascii="Calibri" w:hAnsi="Calibri" w:cs="Calibri"/>
          <w:color w:val="auto"/>
          <w:lang w:val="en-GB"/>
        </w:rPr>
      </w:pPr>
      <w:r w:rsidRPr="00117086">
        <w:rPr>
          <w:rFonts w:ascii="Calibri" w:hAnsi="Calibri" w:cs="Calibri"/>
          <w:color w:val="auto"/>
          <w:lang w:val="en-GB"/>
        </w:rPr>
        <w:t>The West Midlands Mental Health Commission has recognised the important role of the VCFSE sector in supporting mental health, particularly for those who may not engage with statutory services. The Commission identified key conditions for maximising impact, including sustainable funding, integration into pathways, investment in culturally competent provision, and improved mechanisms for shared learning and evaluation.</w:t>
      </w:r>
    </w:p>
    <w:p w:rsidR="009D66A3" w:rsidRPr="00117086" w:rsidP="00544359">
      <w:pPr>
        <w:pStyle w:val="NoSpacing"/>
        <w:rPr>
          <w:rFonts w:ascii="Calibri" w:hAnsi="Calibri" w:cs="Calibri"/>
          <w:color w:val="auto"/>
          <w:lang w:val="en-GB"/>
        </w:rPr>
      </w:pPr>
    </w:p>
    <w:p w:rsidR="009D66A3" w:rsidRPr="00117086" w:rsidP="00D6546D">
      <w:pPr>
        <w:pStyle w:val="Heading2"/>
        <w:rPr>
          <w:rFonts w:ascii="Calibri" w:hAnsi="Calibri" w:cs="Calibri"/>
          <w:color w:val="auto"/>
        </w:rPr>
      </w:pPr>
      <w:r w:rsidRPr="00117086">
        <w:rPr>
          <w:rFonts w:ascii="Calibri" w:hAnsi="Calibri" w:cs="Calibri"/>
          <w:color w:val="auto"/>
        </w:rPr>
        <w:t>The role of the NHS in support and delivery</w:t>
      </w: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Evidence from Birmingham and Solihull highlights significant challenges in access to CAMHS and related services.</w:t>
      </w: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There are major issues with waiting times and access, including variation in access across areas, long waits for first contact (with some young people waiting over 1,000 days), and a high proportion of referrals discharged without contact.</w:t>
      </w:r>
    </w:p>
    <w:p w:rsidR="009D66A3" w:rsidRPr="00117086" w:rsidP="00386061">
      <w:pPr>
        <w:pStyle w:val="NoSpacing"/>
        <w:rPr>
          <w:rFonts w:ascii="Calibri" w:hAnsi="Calibri" w:cs="Calibri"/>
          <w:color w:val="auto"/>
          <w:lang w:val="en-GB"/>
        </w:rPr>
      </w:pP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There are also significant delays in assessment and diagnosis for neurodevelopmental conditions, with average waiting times exceeding 50 weeks for autism and 37 weeks for ADHD.</w:t>
      </w:r>
    </w:p>
    <w:p w:rsidR="009D66A3" w:rsidRPr="00117086" w:rsidP="00386061">
      <w:pPr>
        <w:pStyle w:val="NoSpacing"/>
        <w:rPr>
          <w:rFonts w:ascii="Calibri" w:hAnsi="Calibri" w:cs="Calibri"/>
          <w:color w:val="auto"/>
          <w:lang w:val="en-GB"/>
        </w:rPr>
      </w:pP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Care-experienced young people and those in contact with the criminal justice system face particularly high levels of need and additional barriers to accessing support.</w:t>
      </w: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These challenges are closely linked to wider patterns of economic inactivity among young people. Poor mental health is a significant driver of young people becoming NEET, while lack of access to education, training and employment can further worsen mental health outcomes. This reinforces the need for integrated approaches that align mental health support with employment and skills pathways.</w:t>
      </w:r>
    </w:p>
    <w:p w:rsidR="009D66A3" w:rsidRPr="00117086" w:rsidP="00386061">
      <w:pPr>
        <w:pStyle w:val="NoSpacing"/>
        <w:rPr>
          <w:rFonts w:ascii="Calibri" w:hAnsi="Calibri" w:cs="Calibri"/>
          <w:color w:val="auto"/>
          <w:lang w:val="en-GB"/>
        </w:rPr>
      </w:pP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The under-25 population in Birmingham and Solihull is highly diverse. Evidence shows that some ethnic minority groups are under-represented in mental health services, alongside concerns about cultural competence and accessibility. Similar patterns are emerging in other parts of the region.</w:t>
      </w:r>
    </w:p>
    <w:p w:rsidR="009D66A3" w:rsidRPr="00117086" w:rsidP="00386061">
      <w:pPr>
        <w:pStyle w:val="NoSpacing"/>
        <w:rPr>
          <w:rFonts w:ascii="Calibri" w:hAnsi="Calibri" w:cs="Calibri"/>
          <w:color w:val="auto"/>
          <w:lang w:val="en-GB"/>
        </w:rPr>
      </w:pPr>
    </w:p>
    <w:p w:rsidR="009D66A3" w:rsidRPr="00117086" w:rsidP="00386061">
      <w:pPr>
        <w:pStyle w:val="NoSpacing"/>
        <w:rPr>
          <w:rFonts w:ascii="Calibri" w:hAnsi="Calibri" w:cs="Calibri"/>
          <w:color w:val="auto"/>
          <w:lang w:val="en-GB"/>
        </w:rPr>
      </w:pPr>
      <w:r w:rsidRPr="00117086">
        <w:rPr>
          <w:rFonts w:ascii="Calibri" w:hAnsi="Calibri" w:cs="Calibri"/>
          <w:color w:val="auto"/>
          <w:lang w:val="en-GB"/>
        </w:rPr>
        <w:t>The West Midlands Mental Health Commission has also highlighted opportunities to embed preventative approaches, including physical activity, within mental health pathways. WMCA is working with partners to explore how these approaches can be integrated into CAMHS pathways, including through waiting list interventions and therapeutic models such as Dialogue+.</w:t>
      </w:r>
    </w:p>
    <w:p w:rsidR="009D66A3" w:rsidRPr="00117086" w:rsidP="00386061">
      <w:pPr>
        <w:pStyle w:val="NoSpacing"/>
        <w:rPr>
          <w:rFonts w:ascii="Calibri" w:hAnsi="Calibri" w:cs="Calibri"/>
          <w:color w:val="auto"/>
          <w:lang w:val="en-GB"/>
        </w:rPr>
      </w:pPr>
    </w:p>
    <w:p w:rsidR="009D66A3" w:rsidRPr="00117086" w:rsidP="00386061">
      <w:pPr>
        <w:pStyle w:val="NoSpacing"/>
        <w:rPr>
          <w:rFonts w:ascii="Calibri" w:hAnsi="Calibri" w:cs="Calibri"/>
          <w:color w:val="auto"/>
          <w:lang w:val="en-GB"/>
        </w:rPr>
      </w:pPr>
    </w:p>
    <w:p w:rsidR="009D66A3" w:rsidRPr="00117086" w:rsidP="009A4E00">
      <w:pPr>
        <w:pStyle w:val="NoSpacing"/>
        <w:rPr>
          <w:rFonts w:ascii="Calibri" w:hAnsi="Calibri" w:cs="Calibri"/>
          <w:color w:val="auto"/>
        </w:rPr>
      </w:pPr>
      <w:r w:rsidRPr="00117086">
        <w:rPr>
          <w:rFonts w:ascii="Calibri" w:eastAsia="Calibri" w:hAnsi="Calibri" w:cs="Calibri"/>
          <w:color w:val="auto"/>
          <w:sz w:val="24"/>
          <w:lang w:val="en-GB" w:eastAsia="en-GB"/>
        </w:rPr>
        <w:t>What factors are driving recent trends in children and young people’s mental health?</w:t>
      </w:r>
    </w:p>
    <w:p w:rsidR="009D66A3" w:rsidRPr="00117086" w:rsidP="00855D1F">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Child poverty remains a significant driver of poor mental health. Children from the most deprived households are significantly more likely to experience mental health difficulties. In Birmingham, nearly half of children are growing up in poverty. Financial insecurity increases exposure to stress, instability and adverse childhood experiences, all of which are strongly associated with poorer mental health outcomes across the life course.</w:t>
      </w:r>
    </w:p>
    <w:p w:rsidR="009D66A3" w:rsidRPr="00117086" w:rsidP="004E156A">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Reductions in social infrastructure, including youth services and community provision, have reduced opportunities for belonging, trusted relationships and early support. Since 2012-13 there has been a substantial decline in youth worker numbers and provision across the region. This has removed important protective factors for young people, particularly those who may not engage with formal services.</w:t>
      </w:r>
    </w:p>
    <w:p w:rsidR="009D66A3" w:rsidRPr="00117086" w:rsidP="004E156A">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 xml:space="preserve">Evidence also points to worsening sleep quality among young people. While causality is complex, increased smartphone use and screen time are associated with disrupted sleep patterns, which can </w:t>
      </w:r>
      <w:r w:rsidRPr="00117086">
        <w:rPr>
          <w:rFonts w:ascii="Calibri" w:hAnsi="Calibri" w:cs="Calibri"/>
          <w:color w:val="auto"/>
          <w:lang w:val="en-GB"/>
        </w:rPr>
        <w:t>negatively affect emotional regulation, concentration and overall wellbeing. Sleep disruption is both a symptom and a driver of poor mental health, reinforcing cycles of anxiety and low mood.</w:t>
      </w:r>
    </w:p>
    <w:p w:rsidR="009D66A3" w:rsidRPr="00117086" w:rsidP="004E156A">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The role of digital technology is increasingly important. While evidence is still emerging, there is a growing correlation between increased access to smartphones and social media and rising levels of poor mental health among young people. Digital environments can amplify pressures related to comparison, identity and social validation, while also exposing young people to harmful content or misinformation. At the same time, digital platforms provide important opportunities for connection, peer support and access to information. Understanding this dual role is essential in shaping effective, proportionate policy responses.</w:t>
      </w:r>
    </w:p>
    <w:p w:rsidR="009D66A3" w:rsidRPr="00117086" w:rsidP="004E156A">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There is also growing evidence of the interaction between mental health and economic inactivity among young people. Young people experiencing poor mental health are more likely to disengage from education, training or employment, while prolonged periods of inactivity can further worsen mental health and reduce future opportunities. This highlights the importance of early intervention and integrated support that connects mental health services with education, skills and employment pathways.</w:t>
      </w:r>
    </w:p>
    <w:p w:rsidR="009D66A3" w:rsidRPr="00117086" w:rsidP="004E156A">
      <w:pPr>
        <w:pStyle w:val="NoSpacing"/>
        <w:rPr>
          <w:rFonts w:ascii="Calibri" w:hAnsi="Calibri" w:cs="Calibri"/>
          <w:color w:val="auto"/>
          <w:lang w:val="en-GB"/>
        </w:rPr>
      </w:pPr>
    </w:p>
    <w:p w:rsidR="009D66A3" w:rsidRPr="00117086" w:rsidP="004E156A">
      <w:pPr>
        <w:pStyle w:val="NoSpacing"/>
        <w:rPr>
          <w:rFonts w:ascii="Calibri" w:hAnsi="Calibri" w:cs="Calibri"/>
          <w:color w:val="auto"/>
          <w:lang w:val="en-GB"/>
        </w:rPr>
      </w:pPr>
      <w:r w:rsidRPr="00117086">
        <w:rPr>
          <w:rFonts w:ascii="Calibri" w:hAnsi="Calibri" w:cs="Calibri"/>
          <w:color w:val="auto"/>
          <w:lang w:val="en-GB"/>
        </w:rPr>
        <w:t>Finally, inequalities in experience and access remain a significant driver of worsening outcomes. Structural factors, including poverty, discrimination, and unequal access to services and opportunities, mean that some groups of young people experience higher levels of risk and poorer access to support. Without targeted action to address these inequalities, overall improvements in mental health outcomes are unlikely to be sustained.</w:t>
      </w:r>
    </w:p>
    <w:p w:rsidR="009D66A3" w:rsidRPr="00117086" w:rsidP="004E156A">
      <w:pPr>
        <w:pStyle w:val="NoSpacing"/>
        <w:rPr>
          <w:rFonts w:ascii="Calibri" w:hAnsi="Calibri" w:cs="Calibri"/>
          <w:color w:val="auto"/>
        </w:rPr>
      </w:pPr>
    </w:p>
    <w:p w:rsidR="00DE2BD4" w:rsidRPr="00117086" w:rsidP="004E156A">
      <w:pPr>
        <w:pStyle w:val="NoSpacing"/>
        <w:rPr>
          <w:rFonts w:ascii="Calibri" w:hAnsi="Calibri" w:cs="Calibri"/>
          <w:color w:val="auto"/>
        </w:rPr>
      </w:pPr>
    </w:p>
    <w:p w:rsidR="00DE2BD4" w:rsidRPr="00117086" w:rsidP="004E156A">
      <w:pPr>
        <w:pStyle w:val="NoSpacing"/>
        <w:rPr>
          <w:rFonts w:ascii="Calibri" w:hAnsi="Calibri" w:cs="Calibri"/>
          <w:i/>
          <w:iCs/>
          <w:color w:val="auto"/>
        </w:rPr>
      </w:pPr>
      <w:r>
        <w:rPr>
          <w:rFonts w:ascii="Calibri" w:hAnsi="Calibri" w:cs="Calibri"/>
          <w:i/>
          <w:iCs/>
          <w:color w:val="auto"/>
        </w:rPr>
        <w:t>March</w:t>
      </w:r>
      <w:r w:rsidRPr="00117086">
        <w:rPr>
          <w:rFonts w:ascii="Calibri" w:hAnsi="Calibri" w:cs="Calibri"/>
          <w:i/>
          <w:iCs/>
          <w:color w:val="auto"/>
        </w:rPr>
        <w:t xml:space="preserve"> 2026</w:t>
      </w:r>
    </w:p>
    <w:sectPr w:rsidSect="003C56C5">
      <w:type w:val="continuous"/>
      <w:pgSz w:w="11907" w:h="16839" w:code="9"/>
      <w:pgMar w:top="1440" w:right="1440" w:bottom="1440" w:left="1440" w:header="992"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730B9"/>
    <w:multiLevelType w:val="hybridMultilevel"/>
    <w:tmpl w:val="8B5234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9F3377"/>
    <w:multiLevelType w:val="hybridMultilevel"/>
    <w:tmpl w:val="356CC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A5648"/>
    <w:multiLevelType w:val="hybridMultilevel"/>
    <w:tmpl w:val="D9D692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6A06815"/>
    <w:multiLevelType w:val="hybridMultilevel"/>
    <w:tmpl w:val="8F540E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13E25AF"/>
    <w:multiLevelType w:val="hybridMultilevel"/>
    <w:tmpl w:val="8284AA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1B20901"/>
    <w:multiLevelType w:val="hybridMultilevel"/>
    <w:tmpl w:val="44A49D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F521EB"/>
    <w:multiLevelType w:val="hybridMultilevel"/>
    <w:tmpl w:val="0BDEA8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27D02A0"/>
    <w:multiLevelType w:val="hybridMultilevel"/>
    <w:tmpl w:val="BC523B74"/>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8">
    <w:nsid w:val="17BD6405"/>
    <w:multiLevelType w:val="hybridMultilevel"/>
    <w:tmpl w:val="B07E6C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7DF749E"/>
    <w:multiLevelType w:val="hybridMultilevel"/>
    <w:tmpl w:val="CFEABF30"/>
    <w:lvl w:ilvl="0">
      <w:start w:val="1"/>
      <w:numFmt w:val="bullet"/>
      <w:pStyle w:val="Bullets"/>
      <w:lvlText w:val=""/>
      <w:lvlJc w:val="left"/>
      <w:pPr>
        <w:ind w:left="720" w:hanging="360"/>
      </w:pPr>
      <w:rPr>
        <w:rFonts w:ascii="Symbol" w:hAnsi="Symbol" w:hint="default"/>
        <w:color w:val="F68026"/>
      </w:rPr>
    </w:lvl>
    <w:lvl w:ilvl="1">
      <w:start w:val="1"/>
      <w:numFmt w:val="bullet"/>
      <w:pStyle w:val="BulletsLvl2"/>
      <w:lvlText w:val="o"/>
      <w:lvlJc w:val="left"/>
      <w:pPr>
        <w:ind w:left="1440" w:hanging="360"/>
      </w:pPr>
      <w:rPr>
        <w:rFonts w:ascii="Courier New" w:hAnsi="Courier New" w:cs="Courier New" w:hint="default"/>
        <w:b/>
        <w:color w:val="F68026"/>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E0F5347"/>
    <w:multiLevelType w:val="hybridMultilevel"/>
    <w:tmpl w:val="07FA56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FE26B9"/>
    <w:multiLevelType w:val="hybridMultilevel"/>
    <w:tmpl w:val="9D3C88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5781497"/>
    <w:multiLevelType w:val="hybridMultilevel"/>
    <w:tmpl w:val="28F46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95154E7"/>
    <w:multiLevelType w:val="hybridMultilevel"/>
    <w:tmpl w:val="8DB874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DDD236F"/>
    <w:multiLevelType w:val="hybridMultilevel"/>
    <w:tmpl w:val="40D8F7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FF16139"/>
    <w:multiLevelType w:val="hybridMultilevel"/>
    <w:tmpl w:val="164E1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08C2D98"/>
    <w:multiLevelType w:val="hybridMultilevel"/>
    <w:tmpl w:val="BC5EE76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C0134B0"/>
    <w:multiLevelType w:val="hybridMultilevel"/>
    <w:tmpl w:val="FA4E0CBC"/>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8">
    <w:nsid w:val="44F81B68"/>
    <w:multiLevelType w:val="hybridMultilevel"/>
    <w:tmpl w:val="108C33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8187681"/>
    <w:multiLevelType w:val="hybridMultilevel"/>
    <w:tmpl w:val="0C16F1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89F413B"/>
    <w:multiLevelType w:val="hybridMultilevel"/>
    <w:tmpl w:val="60AE83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A876F62"/>
    <w:multiLevelType w:val="hybridMultilevel"/>
    <w:tmpl w:val="7E5648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DFF7768"/>
    <w:multiLevelType w:val="hybridMultilevel"/>
    <w:tmpl w:val="6562C5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E171CDB"/>
    <w:multiLevelType w:val="hybridMultilevel"/>
    <w:tmpl w:val="73E0B6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FE7156B"/>
    <w:multiLevelType w:val="hybridMultilevel"/>
    <w:tmpl w:val="C966C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7615B2C"/>
    <w:multiLevelType w:val="hybridMultilevel"/>
    <w:tmpl w:val="4EBCF9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7AB101D"/>
    <w:multiLevelType w:val="hybridMultilevel"/>
    <w:tmpl w:val="DA8A70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90F6D80"/>
    <w:multiLevelType w:val="hybridMultilevel"/>
    <w:tmpl w:val="114AC8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1511B6F"/>
    <w:multiLevelType w:val="hybridMultilevel"/>
    <w:tmpl w:val="71BE1B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59A0913"/>
    <w:multiLevelType w:val="hybridMultilevel"/>
    <w:tmpl w:val="888CCB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6CC6081"/>
    <w:multiLevelType w:val="multilevel"/>
    <w:tmpl w:val="16BECD8A"/>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31">
    <w:nsid w:val="673C300A"/>
    <w:multiLevelType w:val="hybridMultilevel"/>
    <w:tmpl w:val="459E48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A73044C"/>
    <w:multiLevelType w:val="hybridMultilevel"/>
    <w:tmpl w:val="ADEA95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F90289E"/>
    <w:multiLevelType w:val="hybridMultilevel"/>
    <w:tmpl w:val="EA72B0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05A0487"/>
    <w:multiLevelType w:val="hybridMultilevel"/>
    <w:tmpl w:val="B6C66E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7D72C5"/>
    <w:multiLevelType w:val="hybridMultilevel"/>
    <w:tmpl w:val="92C86E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BE42696"/>
    <w:multiLevelType w:val="hybridMultilevel"/>
    <w:tmpl w:val="0BD422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F4A1C57"/>
    <w:multiLevelType w:val="hybridMultilevel"/>
    <w:tmpl w:val="F77AA1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FFA6CD7"/>
    <w:multiLevelType w:val="hybridMultilevel"/>
    <w:tmpl w:val="82BABC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1"/>
  </w:num>
  <w:num w:numId="4">
    <w:abstractNumId w:val="29"/>
  </w:num>
  <w:num w:numId="5">
    <w:abstractNumId w:val="9"/>
  </w:num>
  <w:num w:numId="6">
    <w:abstractNumId w:val="15"/>
  </w:num>
  <w:num w:numId="7">
    <w:abstractNumId w:val="28"/>
  </w:num>
  <w:num w:numId="8">
    <w:abstractNumId w:val="10"/>
  </w:num>
  <w:num w:numId="9">
    <w:abstractNumId w:val="24"/>
  </w:num>
  <w:num w:numId="10">
    <w:abstractNumId w:val="30"/>
  </w:num>
  <w:num w:numId="11">
    <w:abstractNumId w:val="9"/>
    <w:lvlOverride w:ilvl="0">
      <w:startOverride w:val="1"/>
    </w:lvlOverride>
  </w:num>
  <w:num w:numId="12">
    <w:abstractNumId w:val="27"/>
  </w:num>
  <w:num w:numId="13">
    <w:abstractNumId w:val="36"/>
  </w:num>
  <w:num w:numId="14">
    <w:abstractNumId w:val="12"/>
  </w:num>
  <w:num w:numId="15">
    <w:abstractNumId w:val="37"/>
  </w:num>
  <w:num w:numId="16">
    <w:abstractNumId w:val="17"/>
  </w:num>
  <w:num w:numId="17">
    <w:abstractNumId w:val="23"/>
  </w:num>
  <w:num w:numId="18">
    <w:abstractNumId w:val="1"/>
  </w:num>
  <w:num w:numId="19">
    <w:abstractNumId w:val="18"/>
  </w:num>
  <w:num w:numId="20">
    <w:abstractNumId w:val="26"/>
  </w:num>
  <w:num w:numId="21">
    <w:abstractNumId w:val="34"/>
  </w:num>
  <w:num w:numId="22">
    <w:abstractNumId w:val="4"/>
  </w:num>
  <w:num w:numId="23">
    <w:abstractNumId w:val="3"/>
  </w:num>
  <w:num w:numId="24">
    <w:abstractNumId w:val="0"/>
  </w:num>
  <w:num w:numId="25">
    <w:abstractNumId w:val="31"/>
  </w:num>
  <w:num w:numId="26">
    <w:abstractNumId w:val="32"/>
  </w:num>
  <w:num w:numId="27">
    <w:abstractNumId w:val="25"/>
  </w:num>
  <w:num w:numId="28">
    <w:abstractNumId w:val="21"/>
  </w:num>
  <w:num w:numId="29">
    <w:abstractNumId w:val="38"/>
  </w:num>
  <w:num w:numId="30">
    <w:abstractNumId w:val="5"/>
  </w:num>
  <w:num w:numId="31">
    <w:abstractNumId w:val="7"/>
  </w:num>
  <w:num w:numId="32">
    <w:abstractNumId w:val="2"/>
  </w:num>
  <w:num w:numId="33">
    <w:abstractNumId w:val="14"/>
  </w:num>
  <w:num w:numId="34">
    <w:abstractNumId w:val="16"/>
  </w:num>
  <w:num w:numId="35">
    <w:abstractNumId w:val="35"/>
  </w:num>
  <w:num w:numId="36">
    <w:abstractNumId w:val="13"/>
  </w:num>
  <w:num w:numId="37">
    <w:abstractNumId w:val="33"/>
  </w:num>
  <w:num w:numId="38">
    <w:abstractNumId w:val="22"/>
  </w:num>
  <w:num w:numId="39">
    <w:abstractNumId w:val="6"/>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7F79"/>
    <w:rPr>
      <w:rFonts w:ascii="Arial" w:hAnsi="Arial" w:cs="Arial"/>
      <w:color w:val="55565B"/>
    </w:rPr>
  </w:style>
  <w:style w:type="paragraph" w:styleId="Heading1">
    <w:name w:val="heading 1"/>
    <w:basedOn w:val="Heading3"/>
    <w:next w:val="Normal"/>
    <w:link w:val="Heading1Char"/>
    <w:uiPriority w:val="9"/>
    <w:qFormat/>
    <w:rsid w:val="00817F79"/>
    <w:pPr>
      <w:outlineLvl w:val="0"/>
    </w:pPr>
    <w:rPr>
      <w:b/>
      <w:bCs/>
      <w:i w:val="0"/>
      <w:noProof/>
      <w:sz w:val="28"/>
      <w:szCs w:val="26"/>
    </w:rPr>
  </w:style>
  <w:style w:type="paragraph" w:styleId="Heading2">
    <w:name w:val="heading 2"/>
    <w:basedOn w:val="Normal"/>
    <w:next w:val="Normal"/>
    <w:link w:val="Heading2Char"/>
    <w:uiPriority w:val="9"/>
    <w:unhideWhenUsed/>
    <w:qFormat/>
    <w:rsid w:val="00817F79"/>
    <w:pPr>
      <w:spacing w:after="120" w:line="240" w:lineRule="auto"/>
      <w:outlineLvl w:val="1"/>
    </w:pPr>
    <w:rPr>
      <w:rFonts w:eastAsia="Calibri"/>
      <w:color w:val="F68026"/>
      <w:sz w:val="24"/>
      <w:lang w:val="en-GB" w:eastAsia="en-GB"/>
    </w:rPr>
  </w:style>
  <w:style w:type="paragraph" w:styleId="Heading3">
    <w:name w:val="heading 3"/>
    <w:basedOn w:val="Heading2"/>
    <w:next w:val="Normal"/>
    <w:link w:val="Heading3Char"/>
    <w:uiPriority w:val="9"/>
    <w:unhideWhenUsed/>
    <w:qFormat/>
    <w:rsid w:val="00BD659B"/>
    <w:pPr>
      <w:outlineLvl w:val="2"/>
    </w:pPr>
    <w:rPr>
      <w:i/>
      <w:color w:val="55565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7CA"/>
  </w:style>
  <w:style w:type="paragraph" w:styleId="Footer">
    <w:name w:val="footer"/>
    <w:basedOn w:val="Normal"/>
    <w:link w:val="FooterChar"/>
    <w:uiPriority w:val="99"/>
    <w:unhideWhenUsed/>
    <w:rsid w:val="004F7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7CA"/>
  </w:style>
  <w:style w:type="paragraph" w:styleId="NormalWeb">
    <w:name w:val="Normal (Web)"/>
    <w:basedOn w:val="Normal"/>
    <w:link w:val="NormalWebChar"/>
    <w:uiPriority w:val="99"/>
    <w:unhideWhenUsed/>
    <w:rsid w:val="00726A8A"/>
    <w:pPr>
      <w:spacing w:before="100" w:beforeAutospacing="1" w:after="100" w:afterAutospacing="1" w:line="240" w:lineRule="auto"/>
    </w:pPr>
    <w:rPr>
      <w:rFonts w:ascii="Times New Roman" w:hAnsi="Times New Roman" w:eastAsiaTheme="minorEastAsia" w:cs="Times New Roman"/>
      <w:sz w:val="24"/>
      <w:szCs w:val="24"/>
      <w:lang w:val="en-GB" w:eastAsia="en-GB"/>
    </w:rPr>
  </w:style>
  <w:style w:type="table" w:styleId="TableGrid">
    <w:name w:val="Table Grid"/>
    <w:basedOn w:val="TableNormal"/>
    <w:uiPriority w:val="39"/>
    <w:rsid w:val="00047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17F79"/>
    <w:rPr>
      <w:rFonts w:ascii="Arial" w:eastAsia="Calibri" w:hAnsi="Arial" w:cs="Arial"/>
      <w:b/>
      <w:bCs/>
      <w:noProof/>
      <w:color w:val="55565B"/>
      <w:sz w:val="28"/>
      <w:szCs w:val="26"/>
      <w:lang w:val="en-GB" w:eastAsia="en-GB"/>
    </w:rPr>
  </w:style>
  <w:style w:type="character" w:customStyle="1" w:styleId="Heading2Char">
    <w:name w:val="Heading 2 Char"/>
    <w:basedOn w:val="DefaultParagraphFont"/>
    <w:link w:val="Heading2"/>
    <w:uiPriority w:val="9"/>
    <w:rsid w:val="00817F79"/>
    <w:rPr>
      <w:rFonts w:ascii="Arial" w:eastAsia="Calibri" w:hAnsi="Arial" w:cs="Arial"/>
      <w:color w:val="F68026"/>
      <w:sz w:val="24"/>
      <w:lang w:val="en-GB" w:eastAsia="en-GB"/>
    </w:rPr>
  </w:style>
  <w:style w:type="paragraph" w:styleId="ListParagraph">
    <w:name w:val="List Paragraph"/>
    <w:basedOn w:val="Normal"/>
    <w:link w:val="ListParagraphChar"/>
    <w:uiPriority w:val="34"/>
    <w:qFormat/>
    <w:rsid w:val="00047866"/>
    <w:pPr>
      <w:spacing w:after="120" w:line="240" w:lineRule="auto"/>
      <w:ind w:left="720"/>
      <w:contextualSpacing/>
    </w:pPr>
    <w:rPr>
      <w:rFonts w:eastAsia="Calibri" w:asciiTheme="majorHAnsi" w:hAnsiTheme="majorHAnsi" w:cs="Times New Roman"/>
      <w:sz w:val="20"/>
      <w:lang w:val="en-GB" w:eastAsia="en-GB"/>
    </w:rPr>
  </w:style>
  <w:style w:type="character" w:customStyle="1" w:styleId="Heading3Char">
    <w:name w:val="Heading 3 Char"/>
    <w:basedOn w:val="DefaultParagraphFont"/>
    <w:link w:val="Heading3"/>
    <w:uiPriority w:val="9"/>
    <w:rsid w:val="00BD659B"/>
    <w:rPr>
      <w:rFonts w:ascii="Arial" w:eastAsia="Calibri" w:hAnsi="Arial" w:cs="Arial"/>
      <w:i/>
      <w:color w:val="55565B"/>
      <w:lang w:val="en-GB" w:eastAsia="en-GB"/>
    </w:rPr>
  </w:style>
  <w:style w:type="paragraph" w:styleId="Quote">
    <w:name w:val="Quote"/>
    <w:basedOn w:val="Normal"/>
    <w:next w:val="Normal"/>
    <w:link w:val="QuoteChar"/>
    <w:uiPriority w:val="29"/>
    <w:qFormat/>
    <w:rsid w:val="00817F79"/>
    <w:pPr>
      <w:spacing w:after="120" w:line="240" w:lineRule="auto"/>
      <w:ind w:left="284" w:right="291"/>
    </w:pPr>
    <w:rPr>
      <w:rFonts w:eastAsia="Calibri"/>
      <w:color w:val="F68026"/>
      <w:lang w:val="en-GB" w:eastAsia="en-GB"/>
    </w:rPr>
  </w:style>
  <w:style w:type="character" w:customStyle="1" w:styleId="QuoteChar">
    <w:name w:val="Quote Char"/>
    <w:basedOn w:val="DefaultParagraphFont"/>
    <w:link w:val="Quote"/>
    <w:uiPriority w:val="29"/>
    <w:rsid w:val="00817F79"/>
    <w:rPr>
      <w:rFonts w:ascii="Arial" w:eastAsia="Calibri" w:hAnsi="Arial" w:cs="Arial"/>
      <w:color w:val="F68026"/>
      <w:lang w:val="en-GB" w:eastAsia="en-GB"/>
    </w:rPr>
  </w:style>
  <w:style w:type="paragraph" w:styleId="FootnoteText">
    <w:name w:val="footnote text"/>
    <w:basedOn w:val="Normal"/>
    <w:link w:val="FootnoteTextChar"/>
    <w:uiPriority w:val="99"/>
    <w:unhideWhenUsed/>
    <w:rsid w:val="00926DCF"/>
    <w:pPr>
      <w:spacing w:after="0" w:line="240" w:lineRule="auto"/>
    </w:pPr>
    <w:rPr>
      <w:sz w:val="20"/>
      <w:szCs w:val="20"/>
    </w:rPr>
  </w:style>
  <w:style w:type="character" w:customStyle="1" w:styleId="FootnoteTextChar">
    <w:name w:val="Footnote Text Char"/>
    <w:basedOn w:val="DefaultParagraphFont"/>
    <w:link w:val="FootnoteText"/>
    <w:uiPriority w:val="99"/>
    <w:rsid w:val="00926DCF"/>
    <w:rPr>
      <w:sz w:val="20"/>
      <w:szCs w:val="20"/>
    </w:rPr>
  </w:style>
  <w:style w:type="character" w:styleId="FootnoteReference">
    <w:name w:val="footnote reference"/>
    <w:basedOn w:val="DefaultParagraphFont"/>
    <w:uiPriority w:val="99"/>
    <w:semiHidden/>
    <w:unhideWhenUsed/>
    <w:rsid w:val="00926DCF"/>
    <w:rPr>
      <w:vertAlign w:val="superscript"/>
    </w:rPr>
  </w:style>
  <w:style w:type="character" w:styleId="Hyperlink">
    <w:name w:val="Hyperlink"/>
    <w:uiPriority w:val="99"/>
    <w:unhideWhenUsed/>
    <w:rsid w:val="00926DCF"/>
    <w:rPr>
      <w:rFonts w:cs="Times New Roman"/>
      <w:color w:val="0000FF"/>
      <w:u w:val="single"/>
    </w:rPr>
  </w:style>
  <w:style w:type="paragraph" w:customStyle="1" w:styleId="Bullets">
    <w:name w:val="Bullets"/>
    <w:basedOn w:val="ListParagraph"/>
    <w:link w:val="BulletsChar"/>
    <w:qFormat/>
    <w:rsid w:val="002E14B1"/>
    <w:pPr>
      <w:numPr>
        <w:numId w:val="5"/>
      </w:numPr>
      <w:ind w:left="426" w:hanging="219"/>
    </w:pPr>
    <w:rPr>
      <w:rFonts w:ascii="Arial" w:hAnsi="Arial" w:cs="Arial"/>
      <w:sz w:val="22"/>
    </w:rPr>
  </w:style>
  <w:style w:type="character" w:customStyle="1" w:styleId="ListParagraphChar">
    <w:name w:val="List Paragraph Char"/>
    <w:basedOn w:val="DefaultParagraphFont"/>
    <w:link w:val="ListParagraph"/>
    <w:rsid w:val="0063171E"/>
    <w:rPr>
      <w:rFonts w:eastAsia="Calibri" w:asciiTheme="majorHAnsi" w:hAnsiTheme="majorHAnsi" w:cs="Times New Roman"/>
      <w:sz w:val="20"/>
      <w:lang w:val="en-GB" w:eastAsia="en-GB"/>
    </w:rPr>
  </w:style>
  <w:style w:type="character" w:customStyle="1" w:styleId="BulletsChar">
    <w:name w:val="Bullets Char"/>
    <w:basedOn w:val="ListParagraphChar"/>
    <w:link w:val="Bullets"/>
    <w:rsid w:val="002E14B1"/>
    <w:rPr>
      <w:rFonts w:ascii="Arial" w:eastAsia="Calibri" w:hAnsi="Arial" w:cs="Arial"/>
      <w:sz w:val="20"/>
      <w:lang w:val="en-GB" w:eastAsia="en-GB"/>
    </w:rPr>
  </w:style>
  <w:style w:type="paragraph" w:styleId="Title">
    <w:name w:val="Title"/>
    <w:basedOn w:val="Normal"/>
    <w:next w:val="Normal"/>
    <w:link w:val="TitleChar"/>
    <w:uiPriority w:val="10"/>
    <w:qFormat/>
    <w:rsid w:val="00817F79"/>
    <w:pPr>
      <w:ind w:left="426"/>
    </w:pPr>
    <w:rPr>
      <w:b/>
      <w:color w:val="FFFFFF" w:themeColor="background1"/>
      <w:sz w:val="32"/>
    </w:rPr>
  </w:style>
  <w:style w:type="character" w:customStyle="1" w:styleId="TitleChar">
    <w:name w:val="Title Char"/>
    <w:basedOn w:val="DefaultParagraphFont"/>
    <w:link w:val="Title"/>
    <w:uiPriority w:val="10"/>
    <w:rsid w:val="00817F79"/>
    <w:rPr>
      <w:rFonts w:ascii="Arial" w:hAnsi="Arial" w:cs="Arial"/>
      <w:b/>
      <w:color w:val="FFFFFF" w:themeColor="background1"/>
      <w:sz w:val="32"/>
    </w:rPr>
  </w:style>
  <w:style w:type="paragraph" w:styleId="Subtitle">
    <w:name w:val="Subtitle"/>
    <w:basedOn w:val="Normal"/>
    <w:next w:val="Normal"/>
    <w:link w:val="SubtitleChar"/>
    <w:uiPriority w:val="11"/>
    <w:qFormat/>
    <w:rsid w:val="00571999"/>
    <w:pPr>
      <w:ind w:left="426"/>
    </w:pPr>
    <w:rPr>
      <w:color w:val="FFFFFF" w:themeColor="background1"/>
    </w:rPr>
  </w:style>
  <w:style w:type="character" w:customStyle="1" w:styleId="SubtitleChar">
    <w:name w:val="Subtitle Char"/>
    <w:basedOn w:val="DefaultParagraphFont"/>
    <w:link w:val="Subtitle"/>
    <w:uiPriority w:val="11"/>
    <w:rsid w:val="00571999"/>
    <w:rPr>
      <w:rFonts w:ascii="Arial" w:hAnsi="Arial" w:cs="Arial"/>
      <w:color w:val="FFFFFF" w:themeColor="background1"/>
    </w:rPr>
  </w:style>
  <w:style w:type="paragraph" w:customStyle="1" w:styleId="Strapline">
    <w:name w:val="Strap_line"/>
    <w:basedOn w:val="NormalWeb"/>
    <w:link w:val="StraplineChar"/>
    <w:qFormat/>
    <w:rsid w:val="00576462"/>
    <w:pPr>
      <w:spacing w:before="0" w:beforeAutospacing="0" w:after="0" w:afterAutospacing="0"/>
      <w:jc w:val="right"/>
    </w:pPr>
    <w:rPr>
      <w:rFonts w:ascii="Arial" w:hAnsi="Arial" w:cs="Arial"/>
      <w:b/>
      <w:sz w:val="28"/>
    </w:rPr>
  </w:style>
  <w:style w:type="paragraph" w:customStyle="1" w:styleId="HeadingSpace">
    <w:name w:val="Heading_Space"/>
    <w:basedOn w:val="Header"/>
    <w:link w:val="HeadingSpaceChar"/>
    <w:qFormat/>
    <w:rsid w:val="00576462"/>
    <w:rPr>
      <w:sz w:val="120"/>
      <w:szCs w:val="120"/>
    </w:rPr>
  </w:style>
  <w:style w:type="character" w:customStyle="1" w:styleId="NormalWebChar">
    <w:name w:val="Normal (Web) Char"/>
    <w:basedOn w:val="DefaultParagraphFont"/>
    <w:link w:val="NormalWeb"/>
    <w:uiPriority w:val="99"/>
    <w:rsid w:val="00576462"/>
    <w:rPr>
      <w:rFonts w:ascii="Times New Roman" w:hAnsi="Times New Roman" w:eastAsiaTheme="minorEastAsia" w:cs="Times New Roman"/>
      <w:sz w:val="24"/>
      <w:szCs w:val="24"/>
      <w:lang w:val="en-GB" w:eastAsia="en-GB"/>
    </w:rPr>
  </w:style>
  <w:style w:type="character" w:customStyle="1" w:styleId="StraplineChar">
    <w:name w:val="Strap_line Char"/>
    <w:basedOn w:val="NormalWebChar"/>
    <w:link w:val="Strapline"/>
    <w:rsid w:val="00576462"/>
    <w:rPr>
      <w:rFonts w:ascii="Arial" w:hAnsi="Arial" w:eastAsiaTheme="minorEastAsia" w:cs="Arial"/>
      <w:b/>
      <w:color w:val="55565B"/>
      <w:sz w:val="28"/>
      <w:szCs w:val="24"/>
      <w:lang w:val="en-GB" w:eastAsia="en-GB"/>
    </w:rPr>
  </w:style>
  <w:style w:type="character" w:customStyle="1" w:styleId="HeadingSpaceChar">
    <w:name w:val="Heading_Space Char"/>
    <w:basedOn w:val="HeaderChar"/>
    <w:link w:val="HeadingSpace"/>
    <w:rsid w:val="00576462"/>
    <w:rPr>
      <w:rFonts w:ascii="Arial" w:hAnsi="Arial" w:cs="Arial"/>
      <w:sz w:val="120"/>
      <w:szCs w:val="120"/>
    </w:rPr>
  </w:style>
  <w:style w:type="paragraph" w:customStyle="1" w:styleId="BulletsLvl2">
    <w:name w:val="Bullets Lvl 2"/>
    <w:basedOn w:val="Bullets"/>
    <w:link w:val="BulletsLvl2Char"/>
    <w:qFormat/>
    <w:rsid w:val="00FF70BD"/>
    <w:pPr>
      <w:numPr>
        <w:ilvl w:val="1"/>
      </w:numPr>
      <w:ind w:left="709" w:hanging="218"/>
    </w:pPr>
  </w:style>
  <w:style w:type="character" w:customStyle="1" w:styleId="BulletsLvl2Char">
    <w:name w:val="Bullets Lvl 2 Char"/>
    <w:basedOn w:val="BulletsChar"/>
    <w:link w:val="BulletsLvl2"/>
    <w:rsid w:val="00FF70BD"/>
    <w:rPr>
      <w:rFonts w:ascii="Arial" w:eastAsia="Calibri" w:hAnsi="Arial" w:cs="Arial"/>
      <w:sz w:val="20"/>
      <w:lang w:val="en-GB" w:eastAsia="en-GB"/>
    </w:rPr>
  </w:style>
  <w:style w:type="paragraph" w:styleId="BalloonText">
    <w:name w:val="Balloon Text"/>
    <w:basedOn w:val="Normal"/>
    <w:link w:val="BalloonTextChar"/>
    <w:uiPriority w:val="99"/>
    <w:semiHidden/>
    <w:unhideWhenUsed/>
    <w:rsid w:val="002205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53A"/>
    <w:rPr>
      <w:rFonts w:ascii="Segoe UI" w:hAnsi="Segoe UI" w:cs="Segoe UI"/>
      <w:sz w:val="18"/>
      <w:szCs w:val="18"/>
    </w:rPr>
  </w:style>
  <w:style w:type="paragraph" w:styleId="NoSpacing">
    <w:name w:val="No Spacing"/>
    <w:uiPriority w:val="1"/>
    <w:qFormat/>
    <w:rsid w:val="00C8003F"/>
    <w:pPr>
      <w:spacing w:after="0" w:line="240" w:lineRule="auto"/>
    </w:pPr>
    <w:rPr>
      <w:rFonts w:ascii="Arial" w:hAnsi="Arial" w:cs="Arial"/>
      <w:color w:val="55565B"/>
    </w:rPr>
  </w:style>
  <w:style w:type="table" w:customStyle="1" w:styleId="TableGrid1">
    <w:name w:val="Table Grid1"/>
    <w:basedOn w:val="TableNormal"/>
    <w:next w:val="TableGrid"/>
    <w:uiPriority w:val="39"/>
    <w:rsid w:val="00C80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142A6"/>
    <w:rPr>
      <w:color w:val="954F72" w:themeColor="followedHyperlink"/>
      <w:u w:val="single"/>
    </w:rPr>
  </w:style>
  <w:style w:type="character" w:customStyle="1" w:styleId="UnresolvedMention1">
    <w:name w:val="Unresolved Mention1"/>
    <w:basedOn w:val="DefaultParagraphFont"/>
    <w:uiPriority w:val="99"/>
    <w:semiHidden/>
    <w:unhideWhenUsed/>
    <w:rsid w:val="009142A6"/>
    <w:rPr>
      <w:color w:val="605E5C"/>
      <w:shd w:val="clear" w:color="auto" w:fill="E1DFDD"/>
    </w:rPr>
  </w:style>
  <w:style w:type="table" w:customStyle="1" w:styleId="PlainTable11">
    <w:name w:val="Plain Table 11"/>
    <w:basedOn w:val="TableNormal"/>
    <w:uiPriority w:val="41"/>
    <w:rsid w:val="00B55DF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28751C"/>
    <w:rPr>
      <w:sz w:val="16"/>
      <w:szCs w:val="16"/>
    </w:rPr>
  </w:style>
  <w:style w:type="paragraph" w:styleId="CommentText">
    <w:name w:val="annotation text"/>
    <w:basedOn w:val="Normal"/>
    <w:link w:val="CommentTextChar"/>
    <w:uiPriority w:val="99"/>
    <w:unhideWhenUsed/>
    <w:rsid w:val="0028751C"/>
    <w:pPr>
      <w:spacing w:line="240" w:lineRule="auto"/>
    </w:pPr>
    <w:rPr>
      <w:rFonts w:asciiTheme="minorHAnsi" w:hAnsiTheme="minorHAnsi" w:cstheme="minorBidi"/>
      <w:color w:val="auto"/>
      <w:kern w:val="2"/>
      <w:sz w:val="20"/>
      <w:szCs w:val="20"/>
      <w:lang w:val="en-GB"/>
    </w:rPr>
  </w:style>
  <w:style w:type="character" w:customStyle="1" w:styleId="CommentTextChar">
    <w:name w:val="Comment Text Char"/>
    <w:basedOn w:val="DefaultParagraphFont"/>
    <w:link w:val="CommentText"/>
    <w:uiPriority w:val="99"/>
    <w:rsid w:val="0028751C"/>
    <w:rPr>
      <w:kern w:val="2"/>
      <w:sz w:val="20"/>
      <w:szCs w:val="20"/>
      <w:lang w:val="en-GB"/>
    </w:rPr>
  </w:style>
  <w:style w:type="paragraph" w:styleId="CommentSubject">
    <w:name w:val="annotation subject"/>
    <w:basedOn w:val="CommentText"/>
    <w:next w:val="CommentText"/>
    <w:link w:val="CommentSubjectChar"/>
    <w:uiPriority w:val="99"/>
    <w:semiHidden/>
    <w:unhideWhenUsed/>
    <w:rsid w:val="005C0D75"/>
    <w:rPr>
      <w:rFonts w:ascii="Arial" w:hAnsi="Arial" w:cs="Arial"/>
      <w:b/>
      <w:bCs/>
      <w:color w:val="55565B"/>
      <w:kern w:val="0"/>
      <w:lang w:val="en-US"/>
    </w:rPr>
  </w:style>
  <w:style w:type="character" w:customStyle="1" w:styleId="CommentSubjectChar">
    <w:name w:val="Comment Subject Char"/>
    <w:basedOn w:val="CommentTextChar"/>
    <w:link w:val="CommentSubject"/>
    <w:uiPriority w:val="99"/>
    <w:semiHidden/>
    <w:rsid w:val="005C0D75"/>
    <w:rPr>
      <w:rFonts w:ascii="Arial" w:hAnsi="Arial" w:cs="Arial"/>
      <w:b/>
      <w:bCs/>
      <w:color w:val="55565B"/>
      <w:kern w:val="2"/>
      <w:sz w:val="20"/>
      <w:szCs w:val="20"/>
      <w:lang w:val="en-GB"/>
    </w:rPr>
  </w:style>
  <w:style w:type="paragraph" w:styleId="Revision">
    <w:name w:val="Revision"/>
    <w:hidden/>
    <w:uiPriority w:val="99"/>
    <w:semiHidden/>
    <w:rsid w:val="005E551F"/>
    <w:pPr>
      <w:spacing w:after="0" w:line="240" w:lineRule="auto"/>
    </w:pPr>
    <w:rPr>
      <w:rFonts w:ascii="Arial" w:hAnsi="Arial" w:cs="Arial"/>
      <w:color w:val="55565B"/>
    </w:rPr>
  </w:style>
  <w:style w:type="character" w:customStyle="1" w:styleId="Mention1">
    <w:name w:val="Mention1"/>
    <w:basedOn w:val="DefaultParagraphFont"/>
    <w:uiPriority w:val="99"/>
    <w:unhideWhenUsed/>
    <w:rsid w:val="00371C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ABF93"/>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CYM0149</dc:title>
  <cp:revision>0</cp:revision>
</cp:coreProperties>
</file>