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5F6B" w:rsidRPr="00695E6D" w:rsidP="005C5F6B">
      <w:pPr>
        <w:jc w:val="center"/>
        <w:rPr>
          <w:rFonts w:ascii="Calibri" w:hAnsi="Calibri" w:cs="Calibri"/>
          <w:sz w:val="28"/>
          <w:szCs w:val="28"/>
        </w:rPr>
      </w:pPr>
      <w:r w:rsidRPr="00695E6D">
        <w:rPr>
          <w:rFonts w:ascii="Calibri" w:hAnsi="Calibri" w:cs="Calibri"/>
          <w:sz w:val="28"/>
          <w:szCs w:val="28"/>
        </w:rPr>
        <w:t xml:space="preserve">Written Evidence Submitted by </w:t>
      </w:r>
      <w:r w:rsidRPr="00695E6D" w:rsidR="00695E6D">
        <w:rPr>
          <w:rFonts w:ascii="Calibri" w:hAnsi="Calibri" w:cs="Calibri"/>
          <w:sz w:val="28"/>
          <w:szCs w:val="28"/>
        </w:rPr>
        <w:t>Dr Bobbie Dutton-Ghaus</w:t>
      </w:r>
      <w:r w:rsidRPr="00695E6D" w:rsidR="00695E6D">
        <w:rPr>
          <w:rFonts w:ascii="Calibri" w:hAnsi="Calibri" w:cs="Calibri"/>
          <w:sz w:val="28"/>
          <w:szCs w:val="28"/>
        </w:rPr>
        <w:t xml:space="preserve">, </w:t>
      </w:r>
      <w:r w:rsidRPr="00695E6D" w:rsidR="00695E6D">
        <w:rPr>
          <w:rFonts w:ascii="Calibri" w:hAnsi="Calibri" w:cs="Calibri"/>
          <w:sz w:val="28"/>
          <w:szCs w:val="28"/>
        </w:rPr>
        <w:t>Dr Ola Demkowicz</w:t>
      </w:r>
      <w:r w:rsidRPr="00695E6D" w:rsidR="00695E6D">
        <w:rPr>
          <w:rFonts w:ascii="Calibri" w:hAnsi="Calibri" w:cs="Calibri"/>
          <w:sz w:val="28"/>
          <w:szCs w:val="28"/>
        </w:rPr>
        <w:t xml:space="preserve">, </w:t>
      </w:r>
      <w:r w:rsidRPr="00695E6D" w:rsidR="00695E6D">
        <w:rPr>
          <w:rFonts w:ascii="Calibri" w:hAnsi="Calibri" w:cs="Calibri"/>
          <w:sz w:val="28"/>
          <w:szCs w:val="28"/>
        </w:rPr>
        <w:t>Dr Alexandra Hennessey</w:t>
      </w:r>
      <w:r w:rsidRPr="00695E6D" w:rsidR="00695E6D">
        <w:rPr>
          <w:rFonts w:ascii="Calibri" w:hAnsi="Calibri" w:cs="Calibri"/>
          <w:sz w:val="28"/>
          <w:szCs w:val="28"/>
        </w:rPr>
        <w:t xml:space="preserve">, </w:t>
      </w:r>
      <w:r w:rsidRPr="00695E6D" w:rsidR="00695E6D">
        <w:rPr>
          <w:rFonts w:ascii="Calibri" w:hAnsi="Calibri" w:cs="Calibri"/>
          <w:sz w:val="28"/>
          <w:szCs w:val="28"/>
        </w:rPr>
        <w:t>Dr Emily Banwell</w:t>
      </w:r>
      <w:r w:rsidRPr="00695E6D" w:rsidR="00695E6D">
        <w:rPr>
          <w:rFonts w:ascii="Calibri" w:hAnsi="Calibri" w:cs="Calibri"/>
          <w:sz w:val="28"/>
          <w:szCs w:val="28"/>
        </w:rPr>
        <w:t xml:space="preserve">, </w:t>
      </w:r>
      <w:r w:rsidRPr="00695E6D" w:rsidR="00695E6D">
        <w:rPr>
          <w:rFonts w:ascii="Calibri" w:hAnsi="Calibri" w:cs="Calibri"/>
          <w:sz w:val="28"/>
          <w:szCs w:val="28"/>
        </w:rPr>
        <w:t>Prof Terry Hanley</w:t>
      </w:r>
      <w:r w:rsidRPr="00695E6D" w:rsidR="00695E6D">
        <w:rPr>
          <w:rFonts w:ascii="Calibri" w:hAnsi="Calibri" w:cs="Calibri"/>
          <w:sz w:val="28"/>
          <w:szCs w:val="28"/>
        </w:rPr>
        <w:t xml:space="preserve">, </w:t>
      </w:r>
      <w:r w:rsidRPr="00695E6D" w:rsidR="00695E6D">
        <w:rPr>
          <w:rFonts w:ascii="Calibri" w:hAnsi="Calibri" w:cs="Calibri"/>
          <w:sz w:val="28"/>
          <w:szCs w:val="28"/>
        </w:rPr>
        <w:t>Dr Qiqi Cheng</w:t>
      </w:r>
      <w:r w:rsidRPr="00695E6D" w:rsidR="00695E6D">
        <w:rPr>
          <w:rFonts w:ascii="Calibri" w:hAnsi="Calibri" w:cs="Calibri"/>
          <w:sz w:val="28"/>
          <w:szCs w:val="28"/>
        </w:rPr>
        <w:t xml:space="preserve"> </w:t>
      </w:r>
      <w:r w:rsidRPr="00695E6D" w:rsidR="00695E6D">
        <w:rPr>
          <w:rFonts w:ascii="Calibri" w:hAnsi="Calibri" w:cs="Calibri"/>
          <w:sz w:val="28"/>
          <w:szCs w:val="28"/>
        </w:rPr>
        <w:t xml:space="preserve">   (</w:t>
      </w:r>
      <w:r w:rsidRPr="00695E6D">
        <w:rPr>
          <w:rFonts w:ascii="Calibri" w:hAnsi="Calibri" w:cs="Calibri"/>
          <w:sz w:val="28"/>
          <w:szCs w:val="28"/>
        </w:rPr>
        <w:t>CYM0148)</w:t>
      </w:r>
    </w:p>
    <w:p w:rsidR="005C5F6B" w:rsidRPr="00695E6D" w:rsidP="00761A18">
      <w:pPr>
        <w:jc w:val="center"/>
        <w:rPr>
          <w:rFonts w:ascii="Calibri" w:hAnsi="Calibri" w:cs="Calibri"/>
          <w:sz w:val="28"/>
          <w:szCs w:val="28"/>
        </w:rPr>
      </w:pPr>
    </w:p>
    <w:p w:rsidR="005C5F6B" w:rsidRPr="00695E6D" w:rsidP="00761A18">
      <w:pPr>
        <w:jc w:val="center"/>
        <w:rPr>
          <w:rFonts w:ascii="Calibri" w:hAnsi="Calibri" w:cs="Calibri"/>
          <w:sz w:val="28"/>
          <w:szCs w:val="28"/>
        </w:rPr>
      </w:pPr>
    </w:p>
    <w:p w:rsidR="005C5F6B" w:rsidRPr="00695E6D" w:rsidP="00761A18">
      <w:pPr>
        <w:jc w:val="center"/>
        <w:rPr>
          <w:rFonts w:ascii="Calibri" w:hAnsi="Calibri" w:cs="Calibri"/>
          <w:sz w:val="28"/>
          <w:szCs w:val="28"/>
        </w:rPr>
      </w:pPr>
    </w:p>
    <w:p w:rsidR="005C5F6B" w:rsidRPr="00695E6D" w:rsidP="00761A18">
      <w:pPr>
        <w:jc w:val="center"/>
        <w:rPr>
          <w:rFonts w:ascii="Calibri" w:hAnsi="Calibri" w:cs="Calibri"/>
          <w:sz w:val="28"/>
          <w:szCs w:val="28"/>
        </w:rPr>
      </w:pPr>
    </w:p>
    <w:p w:rsidR="005C5F6B" w:rsidRPr="00695E6D" w:rsidP="00761A18">
      <w:pPr>
        <w:jc w:val="center"/>
        <w:rPr>
          <w:rFonts w:ascii="Calibri" w:hAnsi="Calibri" w:cs="Calibri"/>
          <w:sz w:val="28"/>
          <w:szCs w:val="28"/>
        </w:rPr>
      </w:pPr>
    </w:p>
    <w:p w:rsidR="005931BE" w:rsidRPr="00695E6D" w:rsidP="00761A18">
      <w:pPr>
        <w:jc w:val="center"/>
        <w:rPr>
          <w:rFonts w:ascii="Calibri" w:hAnsi="Calibri" w:cs="Calibri"/>
          <w:sz w:val="28"/>
          <w:szCs w:val="28"/>
        </w:rPr>
      </w:pPr>
    </w:p>
    <w:p w:rsidR="005931BE" w:rsidRPr="00695E6D" w:rsidP="00761A18">
      <w:pPr>
        <w:jc w:val="center"/>
        <w:rPr>
          <w:rFonts w:ascii="Calibri" w:hAnsi="Calibri" w:cs="Calibri"/>
          <w:sz w:val="28"/>
          <w:szCs w:val="28"/>
        </w:rPr>
      </w:pPr>
      <w:r w:rsidRPr="00695E6D">
        <w:rPr>
          <w:rFonts w:ascii="Calibri" w:hAnsi="Calibri" w:cs="Calibri"/>
          <w:sz w:val="28"/>
          <w:szCs w:val="28"/>
        </w:rPr>
        <w:t>The SMILE Research Centre, The University of Manchester</w:t>
      </w:r>
    </w:p>
    <w:p w:rsidR="005931BE" w:rsidRPr="00695E6D" w:rsidP="00761A18">
      <w:pPr>
        <w:jc w:val="center"/>
        <w:rPr>
          <w:rFonts w:ascii="Calibri" w:hAnsi="Calibri" w:cs="Calibri"/>
          <w:i/>
          <w:iCs/>
          <w:sz w:val="28"/>
          <w:szCs w:val="28"/>
        </w:rPr>
      </w:pPr>
      <w:r w:rsidRPr="00695E6D">
        <w:rPr>
          <w:rFonts w:ascii="Calibri" w:hAnsi="Calibri" w:cs="Calibri"/>
          <w:i/>
          <w:iCs/>
          <w:sz w:val="28"/>
          <w:szCs w:val="28"/>
        </w:rPr>
        <w:t>This submission is supported by Policy@Manchester</w:t>
      </w:r>
    </w:p>
    <w:p w:rsidR="005931BE" w:rsidRPr="00695E6D" w:rsidP="00761A18">
      <w:pPr>
        <w:rPr>
          <w:rFonts w:ascii="Calibri" w:hAnsi="Calibri" w:cs="Calibri"/>
          <w:sz w:val="28"/>
          <w:szCs w:val="28"/>
        </w:rPr>
      </w:pPr>
    </w:p>
    <w:p w:rsidR="005931BE" w:rsidRPr="00695E6D" w:rsidP="00761A18">
      <w:pPr>
        <w:rPr>
          <w:rFonts w:ascii="Calibri" w:hAnsi="Calibri" w:cs="Calibri"/>
          <w:sz w:val="28"/>
          <w:szCs w:val="28"/>
        </w:rPr>
      </w:pPr>
      <w:r w:rsidRPr="00695E6D">
        <w:rPr>
          <w:rFonts w:ascii="Calibri" w:hAnsi="Calibri" w:cs="Calibri"/>
          <w:sz w:val="28"/>
          <w:szCs w:val="28"/>
        </w:rPr>
        <w:t xml:space="preserve">The SMILE Research Centre (Studying Mental Health in Life and Education), a newly formed centre at The University of Manchester, builds on our members’ longstanding expertise and research in advancing mental health and wellbeing across educational settings and broader systems, connecting research, policy, and practice through an interdisciplinary lens. </w:t>
      </w:r>
    </w:p>
    <w:p w:rsidR="005931BE" w:rsidRPr="00695E6D" w:rsidP="00761A18">
      <w:pPr>
        <w:rPr>
          <w:rFonts w:ascii="Calibri" w:hAnsi="Calibri" w:cs="Calibri"/>
          <w:sz w:val="28"/>
          <w:szCs w:val="28"/>
        </w:rPr>
      </w:pPr>
    </w:p>
    <w:p w:rsidR="005931BE" w:rsidRPr="00695E6D" w:rsidP="00761A18">
      <w:pPr>
        <w:rPr>
          <w:rFonts w:ascii="Calibri" w:hAnsi="Calibri" w:cs="Calibri"/>
          <w:sz w:val="28"/>
          <w:szCs w:val="28"/>
        </w:rPr>
      </w:pPr>
      <w:r w:rsidRPr="00695E6D">
        <w:rPr>
          <w:rFonts w:ascii="Calibri" w:hAnsi="Calibri" w:cs="Calibri"/>
          <w:sz w:val="28"/>
          <w:szCs w:val="28"/>
        </w:rPr>
        <w:t>SMILE members who actively contributed to the development of this evidence submission are outlined below. All cited evidence comes from projects authored by these contributors, together with additional collaborators within and beyond SMILE.</w:t>
      </w:r>
    </w:p>
    <w:p w:rsidR="005931BE" w:rsidRPr="00695E6D" w:rsidP="00761A18">
      <w:pPr>
        <w:rPr>
          <w:rFonts w:ascii="Calibri" w:hAnsi="Calibri" w:cs="Calibri"/>
          <w:sz w:val="28"/>
          <w:szCs w:val="28"/>
        </w:rPr>
      </w:pPr>
    </w:p>
    <w:p w:rsidR="005931BE" w:rsidRPr="00695E6D" w:rsidP="00761A18">
      <w:pPr>
        <w:rPr>
          <w:rFonts w:ascii="Calibri" w:hAnsi="Calibri" w:cs="Calibri"/>
          <w:sz w:val="28"/>
          <w:szCs w:val="28"/>
        </w:rPr>
      </w:pPr>
      <w:r w:rsidRPr="00695E6D">
        <w:rPr>
          <w:rFonts w:ascii="Calibri" w:hAnsi="Calibri" w:cs="Calibri"/>
          <w:sz w:val="28"/>
          <w:szCs w:val="28"/>
        </w:rPr>
        <w:t>Dr Bobbie Dutton-Ghaus, Lecturer in Education with expertise in leadership and crisis care.</w:t>
      </w:r>
    </w:p>
    <w:p w:rsidR="005931BE" w:rsidRPr="00695E6D" w:rsidP="00761A18">
      <w:pPr>
        <w:rPr>
          <w:rFonts w:ascii="Calibri" w:hAnsi="Calibri" w:cs="Calibri"/>
          <w:sz w:val="28"/>
          <w:szCs w:val="28"/>
        </w:rPr>
      </w:pPr>
    </w:p>
    <w:p w:rsidR="005931BE" w:rsidRPr="00695E6D" w:rsidP="00761A18">
      <w:pPr>
        <w:rPr>
          <w:rFonts w:ascii="Calibri" w:hAnsi="Calibri" w:cs="Calibri"/>
          <w:sz w:val="28"/>
          <w:szCs w:val="28"/>
        </w:rPr>
      </w:pPr>
      <w:r w:rsidRPr="00695E6D">
        <w:rPr>
          <w:rFonts w:ascii="Calibri" w:hAnsi="Calibri" w:cs="Calibri"/>
          <w:sz w:val="28"/>
          <w:szCs w:val="28"/>
        </w:rPr>
        <w:t xml:space="preserve">Dr Ola Demkowicz, Senior Lecturer in Psychology of Education and Chartered Psychologist with expertise in the social and structural processes and conditions shaping child and youth mental health and wellbeing, including school-based mental health and wellbeing provision.   </w:t>
      </w:r>
    </w:p>
    <w:p w:rsidR="005931BE" w:rsidRPr="00695E6D" w:rsidP="00761A18">
      <w:pPr>
        <w:rPr>
          <w:rFonts w:ascii="Calibri" w:hAnsi="Calibri" w:cs="Calibri"/>
          <w:sz w:val="28"/>
          <w:szCs w:val="28"/>
        </w:rPr>
      </w:pPr>
    </w:p>
    <w:p w:rsidR="005931BE" w:rsidRPr="00695E6D" w:rsidP="00117852">
      <w:pPr>
        <w:rPr>
          <w:rFonts w:ascii="Calibri" w:hAnsi="Calibri" w:cs="Calibri"/>
          <w:sz w:val="28"/>
          <w:szCs w:val="28"/>
        </w:rPr>
      </w:pPr>
      <w:r w:rsidRPr="00695E6D">
        <w:rPr>
          <w:rFonts w:ascii="Calibri" w:hAnsi="Calibri" w:cs="Calibri"/>
          <w:sz w:val="28"/>
          <w:szCs w:val="28"/>
        </w:rPr>
        <w:t>Dr Alexandra Hennessey, Senior Lecturer in Psychology of Education and Chartered Psychologist, with expertise in school-based physical and social wellbeing research using large-scale intervention evaluations that inform evidence-based practice and improved outcomes for children and young people.</w:t>
      </w:r>
    </w:p>
    <w:p w:rsidR="005931BE" w:rsidRPr="00695E6D" w:rsidP="006B63B2">
      <w:pPr>
        <w:rPr>
          <w:rFonts w:ascii="Calibri" w:hAnsi="Calibri" w:cs="Calibri"/>
          <w:sz w:val="28"/>
          <w:szCs w:val="28"/>
        </w:rPr>
      </w:pPr>
    </w:p>
    <w:p w:rsidR="005931BE" w:rsidRPr="00695E6D" w:rsidP="00117852">
      <w:pPr>
        <w:rPr>
          <w:rFonts w:ascii="Calibri" w:hAnsi="Calibri" w:cs="Calibri"/>
          <w:sz w:val="28"/>
          <w:szCs w:val="28"/>
        </w:rPr>
      </w:pPr>
      <w:r w:rsidRPr="00695E6D">
        <w:rPr>
          <w:rFonts w:ascii="Calibri" w:hAnsi="Calibri" w:cs="Calibri"/>
          <w:sz w:val="28"/>
          <w:szCs w:val="28"/>
        </w:rPr>
        <w:t>Dr Emily Banwell, Research Associate, with expertise in mental health and wellbeing spanning education and healthcare, and pathways to building a strong integrated mental health frontline.</w:t>
      </w:r>
    </w:p>
    <w:p w:rsidR="005931BE" w:rsidRPr="00695E6D" w:rsidP="00117852">
      <w:pPr>
        <w:rPr>
          <w:rFonts w:ascii="Calibri" w:hAnsi="Calibri" w:cs="Calibri"/>
          <w:sz w:val="28"/>
          <w:szCs w:val="28"/>
        </w:rPr>
      </w:pPr>
    </w:p>
    <w:p w:rsidR="005931BE" w:rsidRPr="00695E6D" w:rsidP="00117852">
      <w:pPr>
        <w:rPr>
          <w:rFonts w:ascii="Calibri" w:hAnsi="Calibri" w:cs="Calibri"/>
          <w:sz w:val="28"/>
          <w:szCs w:val="28"/>
        </w:rPr>
      </w:pPr>
      <w:r w:rsidRPr="00695E6D">
        <w:rPr>
          <w:rFonts w:ascii="Calibri" w:hAnsi="Calibri" w:cs="Calibri"/>
          <w:sz w:val="28"/>
          <w:szCs w:val="28"/>
        </w:rPr>
        <w:t>Prof Terry Hanley, Professor of Counselling Psychology, Health and Care Professions Council registered practitioner psychologist, and Fellow of the British Psychological Society, with expertise in digital mental health and online therapeutic interventions for young people.</w:t>
      </w:r>
    </w:p>
    <w:p w:rsidR="005931BE" w:rsidRPr="00695E6D" w:rsidP="00117852">
      <w:pPr>
        <w:rPr>
          <w:rFonts w:ascii="Calibri" w:hAnsi="Calibri" w:cs="Calibri"/>
          <w:sz w:val="28"/>
          <w:szCs w:val="28"/>
        </w:rPr>
      </w:pPr>
    </w:p>
    <w:p w:rsidR="005931BE" w:rsidRPr="00695E6D" w:rsidP="00117852">
      <w:pPr>
        <w:rPr>
          <w:rFonts w:ascii="Calibri" w:hAnsi="Calibri" w:cs="Calibri"/>
          <w:sz w:val="28"/>
          <w:szCs w:val="28"/>
        </w:rPr>
      </w:pPr>
      <w:r w:rsidRPr="00695E6D">
        <w:rPr>
          <w:rFonts w:ascii="Calibri" w:hAnsi="Calibri" w:cs="Calibri"/>
          <w:sz w:val="28"/>
          <w:szCs w:val="28"/>
        </w:rPr>
        <w:t>Dr Qiqi Cheng, Research Associate with expertise in quantitative methods and longitudinal data analysis, focusing on understanding patterns and drivers of wellbeing among children and young people.</w:t>
      </w:r>
    </w:p>
    <w:p w:rsidR="005931BE" w:rsidRPr="00695E6D" w:rsidP="00582093">
      <w:pPr>
        <w:spacing w:after="120"/>
        <w:rPr>
          <w:rFonts w:ascii="Calibri" w:hAnsi="Calibri" w:cs="Calibri"/>
          <w:sz w:val="28"/>
          <w:szCs w:val="28"/>
        </w:rPr>
      </w:pPr>
    </w:p>
    <w:p w:rsidR="005931BE" w:rsidRPr="00695E6D" w:rsidP="00582093">
      <w:pPr>
        <w:spacing w:after="120"/>
        <w:jc w:val="center"/>
        <w:rPr>
          <w:rFonts w:ascii="Calibri" w:hAnsi="Calibri" w:cs="Calibri"/>
          <w:sz w:val="28"/>
          <w:szCs w:val="28"/>
        </w:rPr>
      </w:pPr>
      <w:r w:rsidRPr="00695E6D">
        <w:rPr>
          <w:rFonts w:ascii="Calibri" w:hAnsi="Calibri" w:cs="Calibri"/>
          <w:sz w:val="28"/>
          <w:szCs w:val="28"/>
        </w:rPr>
        <w:t>The role of education and community settings in support and delivery</w:t>
      </w:r>
    </w:p>
    <w:p w:rsidR="005931BE" w:rsidRPr="00695E6D" w:rsidP="0032377F">
      <w:pPr>
        <w:spacing w:after="120"/>
        <w:rPr>
          <w:rFonts w:ascii="Calibri" w:hAnsi="Calibri" w:cs="Calibri"/>
          <w:sz w:val="28"/>
          <w:szCs w:val="28"/>
        </w:rPr>
      </w:pPr>
      <w:r w:rsidRPr="00695E6D">
        <w:rPr>
          <w:rFonts w:ascii="Calibri" w:hAnsi="Calibri" w:cs="Calibri"/>
          <w:sz w:val="28"/>
          <w:szCs w:val="28"/>
        </w:rPr>
        <w:t>How effectively are education and community providers identifying and responding to children and young people’s mental health needs?  </w:t>
      </w:r>
    </w:p>
    <w:p w:rsidR="005931BE" w:rsidRPr="00695E6D" w:rsidP="0032377F">
      <w:pPr>
        <w:spacing w:after="120"/>
        <w:rPr>
          <w:rFonts w:ascii="Calibri" w:hAnsi="Calibri" w:cs="Calibri"/>
          <w:sz w:val="28"/>
          <w:szCs w:val="28"/>
          <w:vertAlign w:val="superscript"/>
        </w:rPr>
      </w:pPr>
      <w:r w:rsidRPr="00695E6D">
        <w:rPr>
          <w:rFonts w:ascii="Calibri" w:hAnsi="Calibri" w:cs="Calibri"/>
          <w:sz w:val="28"/>
          <w:szCs w:val="28"/>
        </w:rPr>
        <w:t>Across several of our studies, children and young people describe schools as most effective when mental health and wellbeing are treated as a priority embedded through a whole school approach, rather than an add-on.</w:t>
      </w:r>
      <w:r>
        <w:rPr>
          <w:rStyle w:val="FootnoteReference"/>
          <w:rFonts w:ascii="Calibri" w:hAnsi="Calibri" w:cs="Calibri"/>
          <w:sz w:val="28"/>
          <w:szCs w:val="28"/>
        </w:rPr>
        <w:footnoteReference w:id="2"/>
      </w:r>
      <w:r w:rsidRPr="00695E6D">
        <w:rPr>
          <w:rFonts w:ascii="Calibri" w:hAnsi="Calibri" w:cs="Calibri"/>
          <w:sz w:val="28"/>
          <w:szCs w:val="28"/>
          <w:vertAlign w:val="superscript"/>
        </w:rPr>
        <w:t>,</w:t>
      </w:r>
      <w:r>
        <w:rPr>
          <w:rStyle w:val="FootnoteReference"/>
          <w:rFonts w:ascii="Calibri" w:hAnsi="Calibri" w:cs="Calibri"/>
          <w:sz w:val="28"/>
          <w:szCs w:val="28"/>
        </w:rPr>
        <w:footnoteReference w:id="3"/>
      </w:r>
      <w:r w:rsidRPr="00695E6D">
        <w:rPr>
          <w:rFonts w:ascii="Calibri" w:hAnsi="Calibri" w:cs="Calibri"/>
          <w:sz w:val="28"/>
          <w:szCs w:val="28"/>
          <w:vertAlign w:val="superscript"/>
        </w:rPr>
        <w:t>,</w:t>
      </w:r>
      <w:r>
        <w:rPr>
          <w:rStyle w:val="FootnoteReference"/>
          <w:rFonts w:ascii="Calibri" w:hAnsi="Calibri" w:cs="Calibri"/>
          <w:sz w:val="28"/>
          <w:szCs w:val="28"/>
        </w:rPr>
        <w:footnoteReference w:id="4"/>
      </w:r>
      <w:r w:rsidRPr="00695E6D">
        <w:rPr>
          <w:rFonts w:ascii="Calibri" w:hAnsi="Calibri" w:cs="Calibri"/>
          <w:sz w:val="28"/>
          <w:szCs w:val="28"/>
          <w:vertAlign w:val="superscript"/>
        </w:rPr>
        <w:t>,</w:t>
      </w:r>
      <w:r>
        <w:rPr>
          <w:rStyle w:val="FootnoteReference"/>
          <w:rFonts w:ascii="Calibri" w:hAnsi="Calibri" w:cs="Calibri"/>
          <w:sz w:val="28"/>
          <w:szCs w:val="28"/>
        </w:rPr>
        <w:footnoteReference w:id="5"/>
      </w:r>
      <w:r w:rsidRPr="00695E6D">
        <w:rPr>
          <w:rFonts w:ascii="Calibri" w:hAnsi="Calibri" w:cs="Calibri"/>
          <w:sz w:val="28"/>
          <w:szCs w:val="28"/>
        </w:rPr>
        <w:t xml:space="preserve"> In school environments where wellbeing is demonstrably valued and underpinned by a shared culture of openness, pupils report feeling more able to recognise, share, and seek help for emerging needs.</w:t>
      </w:r>
      <w:r w:rsidRPr="00695E6D">
        <w:rPr>
          <w:rFonts w:ascii="Calibri" w:hAnsi="Calibri" w:cs="Calibri"/>
          <w:sz w:val="28"/>
          <w:szCs w:val="28"/>
          <w:vertAlign w:val="superscript"/>
        </w:rPr>
        <w:t>1,2,</w:t>
      </w:r>
      <w:r>
        <w:rPr>
          <w:rStyle w:val="FootnoteReference"/>
          <w:rFonts w:ascii="Calibri" w:hAnsi="Calibri" w:cs="Calibri"/>
          <w:sz w:val="28"/>
          <w:szCs w:val="28"/>
        </w:rPr>
        <w:footnoteReference w:id="6"/>
      </w:r>
      <w:r w:rsidRPr="00695E6D">
        <w:rPr>
          <w:rFonts w:ascii="Calibri" w:hAnsi="Calibri" w:cs="Calibri"/>
          <w:sz w:val="28"/>
          <w:szCs w:val="28"/>
          <w:vertAlign w:val="superscript"/>
        </w:rPr>
        <w:t>,</w:t>
      </w:r>
      <w:r>
        <w:rPr>
          <w:rStyle w:val="FootnoteReference"/>
          <w:rFonts w:ascii="Calibri" w:hAnsi="Calibri" w:cs="Calibri"/>
          <w:sz w:val="28"/>
          <w:szCs w:val="28"/>
        </w:rPr>
        <w:footnoteReference w:id="7"/>
      </w:r>
      <w:r w:rsidRPr="00695E6D">
        <w:rPr>
          <w:rStyle w:val="FootnoteReference"/>
          <w:rFonts w:ascii="Calibri" w:hAnsi="Calibri" w:cs="Calibri"/>
          <w:sz w:val="28"/>
          <w:szCs w:val="28"/>
        </w:rPr>
        <w:t xml:space="preserve"> </w:t>
      </w:r>
      <w:r w:rsidRPr="00695E6D">
        <w:rPr>
          <w:rFonts w:ascii="Calibri" w:hAnsi="Calibri" w:cs="Calibri"/>
          <w:sz w:val="28"/>
          <w:szCs w:val="28"/>
        </w:rPr>
        <w:t xml:space="preserve"> For indicated/targeted support, children and young people emphasise both proactive monitoring and accessible, varied routes to seek help.</w:t>
      </w:r>
      <w:r w:rsidRPr="00695E6D">
        <w:rPr>
          <w:rFonts w:ascii="Calibri" w:hAnsi="Calibri" w:cs="Calibri"/>
          <w:sz w:val="28"/>
          <w:szCs w:val="28"/>
          <w:vertAlign w:val="superscript"/>
        </w:rPr>
        <w:t>2</w:t>
      </w:r>
      <w:r w:rsidRPr="00695E6D">
        <w:rPr>
          <w:rFonts w:ascii="Calibri" w:hAnsi="Calibri" w:cs="Calibri"/>
          <w:sz w:val="28"/>
          <w:szCs w:val="28"/>
        </w:rPr>
        <w:t xml:space="preserve"> </w:t>
      </w:r>
    </w:p>
    <w:p w:rsidR="005931BE" w:rsidRPr="00695E6D" w:rsidP="0032377F">
      <w:pPr>
        <w:spacing w:after="120"/>
        <w:rPr>
          <w:rFonts w:ascii="Calibri" w:hAnsi="Calibri" w:cs="Calibri"/>
          <w:sz w:val="28"/>
          <w:szCs w:val="28"/>
        </w:rPr>
      </w:pPr>
    </w:p>
    <w:p w:rsidR="005931BE" w:rsidRPr="00695E6D" w:rsidP="0032377F">
      <w:pPr>
        <w:spacing w:after="120"/>
        <w:rPr>
          <w:rFonts w:ascii="Calibri" w:hAnsi="Calibri" w:cs="Calibri"/>
          <w:sz w:val="28"/>
          <w:szCs w:val="28"/>
        </w:rPr>
      </w:pPr>
      <w:r w:rsidRPr="00695E6D">
        <w:rPr>
          <w:rFonts w:ascii="Calibri" w:hAnsi="Calibri" w:cs="Calibri"/>
          <w:sz w:val="28"/>
          <w:szCs w:val="28"/>
        </w:rPr>
        <w:t xml:space="preserve">What role should staff in early years settings, schools, colleges and universities play in supporting the mental health of children and young </w:t>
      </w:r>
      <w:r w:rsidRPr="00695E6D">
        <w:rPr>
          <w:rFonts w:ascii="Calibri" w:hAnsi="Calibri" w:cs="Calibri"/>
          <w:sz w:val="28"/>
          <w:szCs w:val="28"/>
        </w:rPr>
        <w:t>people, what support and training do they need to enable them to take on this role?   </w:t>
      </w:r>
    </w:p>
    <w:p w:rsidR="005931BE" w:rsidRPr="00695E6D" w:rsidP="0032377F">
      <w:pPr>
        <w:spacing w:after="120"/>
        <w:rPr>
          <w:rFonts w:ascii="Calibri" w:hAnsi="Calibri" w:cs="Calibri"/>
          <w:sz w:val="28"/>
          <w:szCs w:val="28"/>
        </w:rPr>
      </w:pPr>
      <w:r w:rsidRPr="00695E6D">
        <w:rPr>
          <w:rFonts w:ascii="Calibri" w:hAnsi="Calibri" w:cs="Calibri"/>
          <w:sz w:val="28"/>
          <w:szCs w:val="28"/>
        </w:rPr>
        <w:t>As outlined above, children and young people consistently emphasise the value of whole-school approaches that integrate multiple forms of provision within a shared and coherent framework. However, embedding such approaches is complex, resource-intensive, and challenging to accomplish.</w:t>
      </w:r>
      <w:r>
        <w:rPr>
          <w:rStyle w:val="FootnoteReference"/>
          <w:rFonts w:ascii="Calibri" w:hAnsi="Calibri" w:cs="Calibri"/>
          <w:sz w:val="28"/>
          <w:szCs w:val="28"/>
        </w:rPr>
        <w:footnoteReference w:id="8"/>
      </w:r>
      <w:r w:rsidRPr="00695E6D">
        <w:rPr>
          <w:rFonts w:ascii="Calibri" w:hAnsi="Calibri" w:cs="Calibri"/>
          <w:sz w:val="28"/>
          <w:szCs w:val="28"/>
        </w:rPr>
        <w:t xml:space="preserve"> Evaluative work highlights feasible and adaptable frameworks that can respond to different school contexts, with senior leaders driving cultural change and engagement.</w:t>
      </w:r>
      <w:r w:rsidRPr="00695E6D">
        <w:rPr>
          <w:rFonts w:ascii="Calibri" w:hAnsi="Calibri" w:cs="Calibri"/>
          <w:sz w:val="28"/>
          <w:szCs w:val="28"/>
          <w:vertAlign w:val="superscript"/>
        </w:rPr>
        <w:t>3,4</w:t>
      </w:r>
      <w:r w:rsidRPr="00695E6D">
        <w:rPr>
          <w:rFonts w:ascii="Calibri" w:hAnsi="Calibri" w:cs="Calibri"/>
          <w:sz w:val="28"/>
          <w:szCs w:val="28"/>
        </w:rPr>
        <w:t xml:space="preserve"> </w:t>
      </w:r>
    </w:p>
    <w:p w:rsidR="005931BE" w:rsidRPr="00695E6D" w:rsidP="0032377F">
      <w:pPr>
        <w:spacing w:after="120"/>
        <w:rPr>
          <w:rFonts w:ascii="Calibri" w:hAnsi="Calibri" w:cs="Calibri"/>
          <w:sz w:val="28"/>
          <w:szCs w:val="28"/>
        </w:rPr>
      </w:pPr>
      <w:r w:rsidRPr="00695E6D">
        <w:rPr>
          <w:rFonts w:ascii="Calibri" w:hAnsi="Calibri" w:cs="Calibri"/>
          <w:sz w:val="28"/>
          <w:szCs w:val="28"/>
        </w:rPr>
        <w:t>Pupil voice is also central: involving children and young people in the design and development of provision strengthens both ownership and quality.</w:t>
      </w:r>
      <w:r w:rsidRPr="00695E6D">
        <w:rPr>
          <w:rFonts w:ascii="Calibri" w:hAnsi="Calibri" w:cs="Calibri"/>
          <w:sz w:val="28"/>
          <w:szCs w:val="28"/>
          <w:vertAlign w:val="superscript"/>
        </w:rPr>
        <w:t>1,2</w:t>
      </w:r>
      <w:r w:rsidRPr="00695E6D">
        <w:rPr>
          <w:rFonts w:ascii="Calibri" w:hAnsi="Calibri" w:cs="Calibri"/>
          <w:sz w:val="28"/>
          <w:szCs w:val="28"/>
        </w:rPr>
        <w:t xml:space="preserve"> However, our evidence also points to the tensions that pupils experience, particularly in secondary school, where whole school narratives about mental health and wellbeing appear to be contradicted by the academic pressure they experienced in daily school life.</w:t>
      </w:r>
      <w:r w:rsidRPr="00695E6D">
        <w:rPr>
          <w:rFonts w:ascii="Calibri" w:hAnsi="Calibri" w:cs="Calibri"/>
          <w:sz w:val="28"/>
          <w:szCs w:val="28"/>
          <w:vertAlign w:val="superscript"/>
        </w:rPr>
        <w:t>1,2,</w:t>
      </w:r>
      <w:r>
        <w:rPr>
          <w:rStyle w:val="FootnoteReference"/>
          <w:rFonts w:ascii="Calibri" w:hAnsi="Calibri" w:cs="Calibri"/>
          <w:sz w:val="28"/>
          <w:szCs w:val="28"/>
        </w:rPr>
        <w:footnoteReference w:id="9"/>
      </w:r>
      <w:r w:rsidRPr="00695E6D">
        <w:rPr>
          <w:rFonts w:ascii="Calibri" w:hAnsi="Calibri" w:cs="Calibri"/>
          <w:sz w:val="28"/>
          <w:szCs w:val="28"/>
        </w:rPr>
        <w:t xml:space="preserve"> </w:t>
      </w:r>
    </w:p>
    <w:p w:rsidR="005931BE" w:rsidRPr="00695E6D" w:rsidP="0032377F">
      <w:pPr>
        <w:spacing w:after="120"/>
        <w:rPr>
          <w:rFonts w:ascii="Calibri" w:hAnsi="Calibri" w:cs="Calibri"/>
          <w:sz w:val="28"/>
          <w:szCs w:val="28"/>
          <w:highlight w:val="yellow"/>
        </w:rPr>
      </w:pPr>
      <w:r w:rsidRPr="00695E6D">
        <w:rPr>
          <w:rFonts w:ascii="Calibri" w:hAnsi="Calibri" w:cs="Calibri"/>
          <w:sz w:val="28"/>
          <w:szCs w:val="28"/>
        </w:rPr>
        <w:t>Across studies, children and young people emphasise that effective support depends not only on training, but on the quality of staff-pupil relationships .</w:t>
      </w:r>
      <w:r w:rsidRPr="00695E6D">
        <w:rPr>
          <w:rFonts w:ascii="Calibri" w:hAnsi="Calibri" w:cs="Calibri"/>
          <w:sz w:val="28"/>
          <w:szCs w:val="28"/>
          <w:vertAlign w:val="superscript"/>
        </w:rPr>
        <w:t>1,2,8</w:t>
      </w:r>
      <w:r w:rsidRPr="00695E6D">
        <w:rPr>
          <w:rFonts w:ascii="Calibri" w:hAnsi="Calibri" w:cs="Calibri"/>
          <w:sz w:val="28"/>
          <w:szCs w:val="28"/>
        </w:rPr>
        <w:t xml:space="preserve"> They highlight the importance of sensitivity, discretion, and awareness of stigma and vulnerability in enabling help-seeking and engagement.</w:t>
      </w:r>
      <w:r w:rsidRPr="00695E6D">
        <w:rPr>
          <w:rFonts w:ascii="Calibri" w:hAnsi="Calibri" w:cs="Calibri"/>
          <w:sz w:val="28"/>
          <w:szCs w:val="28"/>
          <w:vertAlign w:val="superscript"/>
        </w:rPr>
        <w:t>1,2</w:t>
      </w:r>
      <w:r w:rsidRPr="00695E6D">
        <w:rPr>
          <w:rFonts w:ascii="Calibri" w:hAnsi="Calibri" w:cs="Calibri"/>
          <w:sz w:val="28"/>
          <w:szCs w:val="28"/>
        </w:rPr>
        <w:t xml:space="preserve"> Evidence from adolescent girls further highlights that small, everyday skills – such as teachers feeling confident in active listening – can significantly improve early help-seeking interactions, without asking teachers to take on specialist roles or responsibilities.</w:t>
      </w:r>
      <w:r w:rsidRPr="00695E6D">
        <w:rPr>
          <w:rFonts w:ascii="Calibri" w:hAnsi="Calibri" w:cs="Calibri"/>
          <w:sz w:val="28"/>
          <w:szCs w:val="28"/>
          <w:vertAlign w:val="superscript"/>
        </w:rPr>
        <w:t>6</w:t>
      </w:r>
      <w:r w:rsidRPr="00695E6D">
        <w:rPr>
          <w:rFonts w:ascii="Calibri" w:hAnsi="Calibri" w:cs="Calibri"/>
          <w:sz w:val="28"/>
          <w:szCs w:val="28"/>
        </w:rPr>
        <w:t xml:space="preserve"> </w:t>
      </w:r>
    </w:p>
    <w:p w:rsidR="005931BE" w:rsidRPr="00695E6D" w:rsidP="0032377F">
      <w:pPr>
        <w:spacing w:after="120"/>
        <w:rPr>
          <w:rFonts w:ascii="Calibri" w:hAnsi="Calibri" w:cs="Calibri"/>
          <w:sz w:val="28"/>
          <w:szCs w:val="28"/>
        </w:rPr>
      </w:pPr>
    </w:p>
    <w:p w:rsidR="005931BE" w:rsidRPr="00695E6D" w:rsidP="0032377F">
      <w:pPr>
        <w:spacing w:after="120"/>
        <w:rPr>
          <w:rFonts w:ascii="Calibri" w:hAnsi="Calibri" w:cs="Calibri"/>
          <w:sz w:val="28"/>
          <w:szCs w:val="28"/>
        </w:rPr>
      </w:pPr>
      <w:r w:rsidRPr="00695E6D">
        <w:rPr>
          <w:rFonts w:ascii="Calibri" w:hAnsi="Calibri" w:cs="Calibri"/>
          <w:sz w:val="28"/>
          <w:szCs w:val="28"/>
        </w:rPr>
        <w:t>How do inspection and accountability frameworks such as Ofsted, the Office for Students or DfE guidance support or hinder education settings in prioritising mental health provision and should any changes be made?  </w:t>
      </w:r>
    </w:p>
    <w:p w:rsidR="005931BE" w:rsidRPr="00695E6D" w:rsidP="0032377F">
      <w:pPr>
        <w:spacing w:after="120"/>
        <w:rPr>
          <w:rFonts w:ascii="Calibri" w:hAnsi="Calibri" w:cs="Calibri"/>
          <w:sz w:val="28"/>
          <w:szCs w:val="28"/>
        </w:rPr>
      </w:pPr>
      <w:r w:rsidRPr="00695E6D">
        <w:rPr>
          <w:rFonts w:ascii="Calibri" w:eastAsia="Aptos" w:hAnsi="Calibri" w:cs="Calibri"/>
          <w:sz w:val="28"/>
          <w:szCs w:val="28"/>
        </w:rPr>
        <w:t>Our evidence does not directly evaluate inspection or accountability frameworks, but shows that whole school approaches require time, resources, training, and staff capacity to embed effectively.</w:t>
      </w:r>
      <w:r w:rsidRPr="00695E6D">
        <w:rPr>
          <w:rFonts w:ascii="Calibri" w:eastAsia="Aptos" w:hAnsi="Calibri" w:cs="Calibri"/>
          <w:sz w:val="28"/>
          <w:szCs w:val="28"/>
          <w:vertAlign w:val="superscript"/>
        </w:rPr>
        <w:t>1,2,3,4,7</w:t>
      </w:r>
      <w:r w:rsidRPr="00695E6D">
        <w:rPr>
          <w:rFonts w:ascii="Calibri" w:eastAsia="Aptos" w:hAnsi="Calibri" w:cs="Calibri"/>
          <w:sz w:val="28"/>
          <w:szCs w:val="28"/>
        </w:rPr>
        <w:t xml:space="preserve"> Without support, accountability expectations risk adding pressure rather than improving outcomes.</w:t>
      </w:r>
      <w:r w:rsidRPr="00695E6D">
        <w:rPr>
          <w:rFonts w:ascii="Calibri" w:hAnsi="Calibri" w:cs="Calibri"/>
          <w:sz w:val="28"/>
          <w:szCs w:val="28"/>
        </w:rPr>
        <w:t xml:space="preserve"> Pupils and teachers also consistently describe tensions between wellbeing agendas and academic pressures, viewing wellbeing as competing </w:t>
      </w:r>
      <w:r w:rsidRPr="00695E6D">
        <w:rPr>
          <w:rFonts w:ascii="Calibri" w:hAnsi="Calibri" w:cs="Calibri"/>
          <w:sz w:val="28"/>
          <w:szCs w:val="28"/>
        </w:rPr>
        <w:t>with learning priorities.</w:t>
      </w:r>
      <w:r w:rsidRPr="00695E6D">
        <w:rPr>
          <w:rFonts w:ascii="Calibri" w:hAnsi="Calibri" w:cs="Calibri"/>
          <w:sz w:val="28"/>
          <w:szCs w:val="28"/>
          <w:vertAlign w:val="superscript"/>
        </w:rPr>
        <w:t>1,2,4,8</w:t>
      </w:r>
      <w:r w:rsidRPr="00695E6D">
        <w:rPr>
          <w:rFonts w:ascii="Calibri" w:hAnsi="Calibri" w:cs="Calibri"/>
          <w:sz w:val="28"/>
          <w:szCs w:val="28"/>
        </w:rPr>
        <w:t xml:space="preserve"> These contradictions can undermine trust in school mental health provision. Participants linked these issues to systemic drivers, including high-stakes assessments and intense accountability expectations, which shape school priorities and staff capacity and, through emphasis on performance, risk constraining meaningful wellbeing provision.</w:t>
      </w:r>
    </w:p>
    <w:p w:rsidR="005931BE" w:rsidRPr="00695E6D" w:rsidP="0032377F">
      <w:pPr>
        <w:spacing w:after="120"/>
        <w:rPr>
          <w:rFonts w:ascii="Calibri" w:hAnsi="Calibri" w:cs="Calibri"/>
          <w:i/>
          <w:iCs/>
          <w:sz w:val="28"/>
          <w:szCs w:val="28"/>
        </w:rPr>
      </w:pPr>
    </w:p>
    <w:p w:rsidR="005931BE" w:rsidRPr="00695E6D" w:rsidP="002A2FB0">
      <w:pPr>
        <w:spacing w:after="120"/>
        <w:jc w:val="center"/>
        <w:rPr>
          <w:rFonts w:ascii="Calibri" w:hAnsi="Calibri" w:eastAsiaTheme="minorEastAsia" w:cs="Calibri"/>
          <w:sz w:val="28"/>
          <w:szCs w:val="28"/>
        </w:rPr>
      </w:pPr>
      <w:r w:rsidRPr="00695E6D">
        <w:rPr>
          <w:rFonts w:ascii="Calibri" w:hAnsi="Calibri" w:eastAsiaTheme="minorEastAsia" w:cs="Calibri"/>
          <w:sz w:val="28"/>
          <w:szCs w:val="28"/>
        </w:rPr>
        <w:t xml:space="preserve">The role of NHS and specialist mental health services in support and delivery </w:t>
      </w: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What reforms to CAMHS would best support timely, equitable and continued access to specialist mental health care for children and young people?</w:t>
      </w:r>
    </w:p>
    <w:p w:rsidR="005931BE" w:rsidRPr="00695E6D" w:rsidP="1F550FC9">
      <w:pPr>
        <w:spacing w:after="120"/>
        <w:rPr>
          <w:rFonts w:ascii="Calibri" w:eastAsia="Aptos" w:hAnsi="Calibri" w:cs="Calibri"/>
          <w:sz w:val="28"/>
          <w:szCs w:val="28"/>
        </w:rPr>
      </w:pPr>
      <w:r w:rsidRPr="00695E6D">
        <w:rPr>
          <w:rFonts w:ascii="Calibri" w:eastAsia="Aptos" w:hAnsi="Calibri" w:cs="Calibri"/>
          <w:sz w:val="28"/>
          <w:szCs w:val="28"/>
        </w:rPr>
        <w:t>Our evidence suggests that reforms embedding CAMHS within community settings, such as schools, primary care, and local authority services, can improve accessibility and earlier identification of need.</w:t>
      </w:r>
      <w:r>
        <w:rPr>
          <w:rStyle w:val="FootnoteReference"/>
          <w:rFonts w:ascii="Calibri" w:eastAsia="Aptos" w:hAnsi="Calibri" w:cs="Calibri"/>
          <w:sz w:val="28"/>
          <w:szCs w:val="28"/>
        </w:rPr>
        <w:footnoteReference w:id="10"/>
      </w:r>
      <w:r w:rsidRPr="00695E6D">
        <w:rPr>
          <w:rFonts w:ascii="Calibri" w:eastAsia="Aptos" w:hAnsi="Calibri" w:cs="Calibri"/>
          <w:sz w:val="28"/>
          <w:szCs w:val="28"/>
        </w:rPr>
        <w:t xml:space="preserve"> </w:t>
      </w:r>
    </w:p>
    <w:p w:rsidR="005931BE" w:rsidRPr="00695E6D" w:rsidP="0032377F">
      <w:pPr>
        <w:spacing w:after="120"/>
        <w:rPr>
          <w:rFonts w:ascii="Calibri" w:hAnsi="Calibri" w:cs="Calibri"/>
          <w:sz w:val="28"/>
          <w:szCs w:val="28"/>
        </w:rPr>
      </w:pPr>
      <w:r w:rsidRPr="00695E6D">
        <w:rPr>
          <w:rFonts w:ascii="Calibri" w:eastAsia="Aptos" w:hAnsi="Calibri" w:cs="Calibri"/>
          <w:sz w:val="28"/>
          <w:szCs w:val="28"/>
        </w:rPr>
        <w:t>Studies indicate that integrated service pathways and collaborative working across agencies can help reduce fragmentation, enable more continuous support,</w:t>
      </w:r>
      <w:r w:rsidRPr="00695E6D">
        <w:rPr>
          <w:rFonts w:ascii="Calibri" w:eastAsia="Aptos" w:hAnsi="Calibri" w:cs="Calibri"/>
          <w:sz w:val="28"/>
          <w:szCs w:val="28"/>
          <w:vertAlign w:val="superscript"/>
        </w:rPr>
        <w:t>9</w:t>
      </w:r>
      <w:r w:rsidRPr="00695E6D">
        <w:rPr>
          <w:rFonts w:ascii="Calibri" w:eastAsia="Aptos" w:hAnsi="Calibri" w:cs="Calibri"/>
          <w:sz w:val="28"/>
          <w:szCs w:val="28"/>
        </w:rPr>
        <w:t xml:space="preserve"> and offer more flexible, needs-led mental health support.</w:t>
      </w:r>
      <w:r>
        <w:rPr>
          <w:rStyle w:val="FootnoteReference"/>
          <w:rFonts w:ascii="Calibri" w:eastAsia="Aptos" w:hAnsi="Calibri" w:cs="Calibri"/>
          <w:sz w:val="28"/>
          <w:szCs w:val="28"/>
        </w:rPr>
        <w:footnoteReference w:id="11"/>
      </w:r>
      <w:r w:rsidRPr="00695E6D">
        <w:rPr>
          <w:rFonts w:ascii="Calibri" w:eastAsia="Aptos" w:hAnsi="Calibri" w:cs="Calibri"/>
          <w:sz w:val="28"/>
          <w:szCs w:val="28"/>
          <w:vertAlign w:val="superscript"/>
        </w:rPr>
        <w:t>,</w:t>
      </w:r>
      <w:r>
        <w:rPr>
          <w:rStyle w:val="FootnoteReference"/>
          <w:rFonts w:ascii="Calibri" w:eastAsia="Aptos" w:hAnsi="Calibri" w:cs="Calibri"/>
          <w:sz w:val="28"/>
          <w:szCs w:val="28"/>
        </w:rPr>
        <w:footnoteReference w:id="12"/>
      </w:r>
      <w:r w:rsidRPr="00695E6D">
        <w:rPr>
          <w:rFonts w:ascii="Calibri" w:eastAsia="Aptos" w:hAnsi="Calibri" w:cs="Calibri"/>
          <w:sz w:val="28"/>
          <w:szCs w:val="28"/>
        </w:rPr>
        <w:t xml:space="preserve"> However, our research identifies significant barriers to achieving effective integration and collaboration, including limited resources, variable local capacity, and challenges sustaining training impact without organisation support.</w:t>
      </w:r>
      <w:r>
        <w:rPr>
          <w:rStyle w:val="FootnoteReference"/>
          <w:rFonts w:ascii="Calibri" w:eastAsia="Aptos" w:hAnsi="Calibri" w:cs="Calibri"/>
          <w:sz w:val="28"/>
          <w:szCs w:val="28"/>
        </w:rPr>
        <w:footnoteReference w:id="13"/>
      </w:r>
      <w:r w:rsidRPr="00695E6D">
        <w:rPr>
          <w:rFonts w:ascii="Calibri" w:eastAsia="Aptos" w:hAnsi="Calibri" w:cs="Calibri"/>
          <w:sz w:val="28"/>
          <w:szCs w:val="28"/>
        </w:rPr>
        <w:t xml:space="preserve"> Evidence from crisis services highlights inconsistent service provision across locality, contributing to inequitable access, alongside complex and unclear referral pathways, lack of shared understanding among professionals of the wider system and how different services fit within it, and ongoing challenges in cross-service communication and information sharing.</w:t>
      </w:r>
      <w:r w:rsidRPr="00695E6D">
        <w:rPr>
          <w:rFonts w:ascii="Calibri" w:eastAsia="Aptos" w:hAnsi="Calibri" w:cs="Calibri"/>
          <w:sz w:val="28"/>
          <w:szCs w:val="28"/>
          <w:vertAlign w:val="superscript"/>
        </w:rPr>
        <w:t>10,11</w:t>
      </w:r>
      <w:r w:rsidRPr="00695E6D">
        <w:rPr>
          <w:rFonts w:ascii="Calibri" w:eastAsia="Aptos" w:hAnsi="Calibri" w:cs="Calibri"/>
          <w:sz w:val="28"/>
          <w:szCs w:val="28"/>
        </w:rPr>
        <w:t xml:space="preserve">  </w:t>
      </w:r>
    </w:p>
    <w:p w:rsidR="005931BE" w:rsidRPr="00695E6D" w:rsidP="0032377F">
      <w:pPr>
        <w:spacing w:after="120"/>
        <w:rPr>
          <w:rFonts w:ascii="Calibri" w:hAnsi="Calibri" w:cs="Calibri"/>
          <w:sz w:val="28"/>
          <w:szCs w:val="28"/>
        </w:rPr>
      </w:pPr>
      <w:r w:rsidRPr="00695E6D">
        <w:rPr>
          <w:rFonts w:ascii="Calibri" w:eastAsia="Aptos" w:hAnsi="Calibri" w:cs="Calibri"/>
          <w:sz w:val="28"/>
          <w:szCs w:val="28"/>
        </w:rPr>
        <w:t xml:space="preserve">Collectively, these findings suggest that reforms should prioritise community-based delivery, cross-sector collaboration, and sustained workforce development. Expanding accessible, de-medicalised services may support earlier intervention and reduce crisis escalation and repeat presentations. Strengthening links across general practice, education, community services, and CAMHS is critical, alongside improving shared communication and </w:t>
      </w:r>
      <w:r w:rsidRPr="00695E6D">
        <w:rPr>
          <w:rFonts w:ascii="Calibri" w:eastAsia="Aptos" w:hAnsi="Calibri" w:cs="Calibri"/>
          <w:sz w:val="28"/>
          <w:szCs w:val="28"/>
        </w:rPr>
        <w:t xml:space="preserve">information systems, which professionals identified as essential to enabling more integrated, responsive care. </w:t>
      </w:r>
      <w:r w:rsidRPr="00695E6D">
        <w:rPr>
          <w:rFonts w:ascii="Calibri" w:eastAsia="Aptos" w:hAnsi="Calibri" w:cs="Calibri"/>
          <w:sz w:val="28"/>
          <w:szCs w:val="28"/>
          <w:vertAlign w:val="superscript"/>
        </w:rPr>
        <w:t>10,11</w:t>
      </w:r>
      <w:r w:rsidRPr="00695E6D">
        <w:rPr>
          <w:rFonts w:ascii="Calibri" w:eastAsia="Aptos" w:hAnsi="Calibri" w:cs="Calibri"/>
          <w:sz w:val="28"/>
          <w:szCs w:val="28"/>
        </w:rPr>
        <w:t xml:space="preserve">  </w:t>
      </w:r>
    </w:p>
    <w:p w:rsidR="005931BE" w:rsidRPr="00695E6D" w:rsidP="0032377F">
      <w:pPr>
        <w:spacing w:after="120"/>
        <w:rPr>
          <w:rFonts w:ascii="Calibri" w:eastAsia="Aptos" w:hAnsi="Calibri" w:cs="Calibri"/>
          <w:sz w:val="28"/>
          <w:szCs w:val="28"/>
        </w:rPr>
      </w:pPr>
    </w:p>
    <w:p w:rsidR="005931BE" w:rsidRPr="00695E6D" w:rsidP="0032377F">
      <w:pPr>
        <w:spacing w:after="120"/>
        <w:rPr>
          <w:rFonts w:ascii="Calibri" w:hAnsi="Calibri" w:cs="Calibri"/>
          <w:sz w:val="28"/>
          <w:szCs w:val="28"/>
        </w:rPr>
      </w:pPr>
      <w:r w:rsidRPr="00695E6D">
        <w:rPr>
          <w:rFonts w:ascii="Calibri" w:eastAsia="Aptos" w:hAnsi="Calibri" w:cs="Calibri"/>
          <w:sz w:val="28"/>
          <w:szCs w:val="28"/>
        </w:rPr>
        <w:t>What measures are needed to tackle increasing rates of children and young people deteriorating to the point of A&amp;E attendance or acute admission?</w:t>
      </w:r>
    </w:p>
    <w:p w:rsidR="005931BE" w:rsidRPr="00695E6D" w:rsidP="0032377F">
      <w:pPr>
        <w:spacing w:after="120"/>
        <w:rPr>
          <w:rFonts w:ascii="Calibri" w:hAnsi="Calibri" w:cs="Calibri"/>
          <w:sz w:val="28"/>
          <w:szCs w:val="28"/>
        </w:rPr>
      </w:pPr>
      <w:r w:rsidRPr="00695E6D">
        <w:rPr>
          <w:rFonts w:ascii="Calibri" w:eastAsia="Aptos" w:hAnsi="Calibri" w:cs="Calibri"/>
          <w:sz w:val="28"/>
          <w:szCs w:val="28"/>
        </w:rPr>
        <w:t>Our evidence suggests that when crisis systems are difficult to navigate, A&amp;E becomes the most visible and accessible point of support.</w:t>
      </w:r>
      <w:r w:rsidRPr="00695E6D">
        <w:rPr>
          <w:rFonts w:ascii="Calibri" w:eastAsia="Aptos" w:hAnsi="Calibri" w:cs="Calibri"/>
          <w:sz w:val="28"/>
          <w:szCs w:val="28"/>
          <w:vertAlign w:val="superscript"/>
        </w:rPr>
        <w:t>10,</w:t>
      </w:r>
      <w:r w:rsidRPr="00695E6D">
        <w:rPr>
          <w:rFonts w:ascii="Calibri" w:eastAsia="Aptos" w:hAnsi="Calibri" w:cs="Calibri"/>
          <w:sz w:val="28"/>
          <w:szCs w:val="28"/>
          <w:vertAlign w:val="superscript"/>
        </w:rPr>
        <w:t>11</w:t>
      </w:r>
      <w:r w:rsidRPr="00695E6D">
        <w:rPr>
          <w:rFonts w:ascii="Calibri" w:eastAsia="Aptos" w:hAnsi="Calibri" w:cs="Calibri"/>
          <w:sz w:val="28"/>
          <w:szCs w:val="28"/>
        </w:rPr>
        <w:t xml:space="preserve">  Limited</w:t>
      </w:r>
      <w:r w:rsidRPr="00695E6D">
        <w:rPr>
          <w:rFonts w:ascii="Calibri" w:eastAsia="Aptos" w:hAnsi="Calibri" w:cs="Calibri"/>
          <w:sz w:val="28"/>
          <w:szCs w:val="28"/>
        </w:rPr>
        <w:t xml:space="preserve"> out-of-hours provision and complex referral pathways further restrict access to appropriate services, meaning A&amp;E often functions as a default entry point within the system.</w:t>
      </w:r>
      <w:r w:rsidRPr="00695E6D">
        <w:rPr>
          <w:rFonts w:ascii="Calibri" w:eastAsia="Aptos" w:hAnsi="Calibri" w:cs="Calibri"/>
          <w:sz w:val="28"/>
          <w:szCs w:val="28"/>
          <w:vertAlign w:val="superscript"/>
        </w:rPr>
        <w:t xml:space="preserve"> 10,</w:t>
      </w:r>
      <w:r w:rsidRPr="00695E6D">
        <w:rPr>
          <w:rFonts w:ascii="Calibri" w:eastAsia="Aptos" w:hAnsi="Calibri" w:cs="Calibri"/>
          <w:sz w:val="28"/>
          <w:szCs w:val="28"/>
          <w:vertAlign w:val="superscript"/>
        </w:rPr>
        <w:t>11</w:t>
      </w:r>
      <w:r w:rsidRPr="00695E6D">
        <w:rPr>
          <w:rFonts w:ascii="Calibri" w:eastAsia="Aptos" w:hAnsi="Calibri" w:cs="Calibri"/>
          <w:sz w:val="28"/>
          <w:szCs w:val="28"/>
        </w:rPr>
        <w:t xml:space="preserve">  This</w:t>
      </w:r>
      <w:r w:rsidRPr="00695E6D">
        <w:rPr>
          <w:rFonts w:ascii="Calibri" w:eastAsia="Aptos" w:hAnsi="Calibri" w:cs="Calibri"/>
          <w:sz w:val="28"/>
          <w:szCs w:val="28"/>
        </w:rPr>
        <w:t xml:space="preserve"> evidence suggests the need for more accessible and clearly defined routes into crisis support, including improved out-of-hours provision and simplified referral pathways, alongside greater visibility of community-based alternatives to reduce A&amp;E reliance.</w:t>
      </w:r>
    </w:p>
    <w:p w:rsidR="005931BE" w:rsidRPr="00695E6D" w:rsidP="0032377F">
      <w:pPr>
        <w:spacing w:after="120"/>
        <w:rPr>
          <w:rFonts w:ascii="Calibri" w:eastAsia="Aptos" w:hAnsi="Calibri" w:cs="Calibri"/>
          <w:sz w:val="28"/>
          <w:szCs w:val="28"/>
        </w:rPr>
      </w:pP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 xml:space="preserve">How can transitions from acute services back into community mental health services be improved? </w:t>
      </w:r>
    </w:p>
    <w:p w:rsidR="005931BE" w:rsidRPr="00695E6D" w:rsidP="1F550FC9">
      <w:pPr>
        <w:spacing w:after="120"/>
        <w:rPr>
          <w:rFonts w:ascii="Calibri" w:eastAsia="Aptos" w:hAnsi="Calibri" w:cs="Calibri"/>
          <w:sz w:val="28"/>
          <w:szCs w:val="28"/>
        </w:rPr>
      </w:pPr>
      <w:r w:rsidRPr="00695E6D">
        <w:rPr>
          <w:rFonts w:ascii="Calibri" w:eastAsia="Aptos" w:hAnsi="Calibri" w:cs="Calibri"/>
          <w:sz w:val="28"/>
          <w:szCs w:val="28"/>
        </w:rPr>
        <w:t>Evidence from crisis service research at the University of Manchester highlights ongoing challenges in referral processes between services, particularly when transitioning children and young people from acute care back into community support.</w:t>
      </w:r>
      <w:r w:rsidRPr="00695E6D">
        <w:rPr>
          <w:rFonts w:ascii="Calibri" w:eastAsia="Aptos" w:hAnsi="Calibri" w:cs="Calibri"/>
          <w:sz w:val="28"/>
          <w:szCs w:val="28"/>
          <w:vertAlign w:val="superscript"/>
        </w:rPr>
        <w:t xml:space="preserve"> 10,11</w:t>
      </w:r>
      <w:r w:rsidRPr="00695E6D">
        <w:rPr>
          <w:rFonts w:ascii="Calibri" w:eastAsia="Aptos" w:hAnsi="Calibri" w:cs="Calibri"/>
          <w:sz w:val="28"/>
          <w:szCs w:val="28"/>
        </w:rPr>
        <w:t xml:space="preserve">   </w:t>
      </w: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Across a qualitative interview study and a mixed-methods survey of crisis care professionals, professionals reported frustration with unclear, inconsistent, and difficult-to-navigate referral pathways, which can delay access to appropriate follow-up care and disrupt continuity of support.</w:t>
      </w:r>
      <w:r w:rsidRPr="00695E6D">
        <w:rPr>
          <w:rFonts w:ascii="Calibri" w:eastAsia="Aptos" w:hAnsi="Calibri" w:cs="Calibri"/>
          <w:sz w:val="28"/>
          <w:szCs w:val="28"/>
          <w:vertAlign w:val="superscript"/>
        </w:rPr>
        <w:t xml:space="preserve"> 10,11</w:t>
      </w:r>
      <w:r w:rsidRPr="00695E6D">
        <w:rPr>
          <w:rFonts w:ascii="Calibri" w:eastAsia="Aptos" w:hAnsi="Calibri" w:cs="Calibri"/>
          <w:sz w:val="28"/>
          <w:szCs w:val="28"/>
        </w:rPr>
        <w:t xml:space="preserve"> These challenges are compounded by limited shared understanding across services of roles, remit, and how support is provided. Professionals described uncertainty about how young people would be supported once referred on, which reduced confidence in ending care and contributed to cautious or delayed transitions between services.</w:t>
      </w:r>
      <w:r w:rsidRPr="00695E6D">
        <w:rPr>
          <w:rFonts w:ascii="Calibri" w:eastAsia="Aptos" w:hAnsi="Calibri" w:cs="Calibri"/>
          <w:sz w:val="28"/>
          <w:szCs w:val="28"/>
          <w:vertAlign w:val="superscript"/>
        </w:rPr>
        <w:t>10,11</w:t>
      </w:r>
      <w:r w:rsidRPr="00695E6D">
        <w:rPr>
          <w:rFonts w:ascii="Calibri" w:eastAsia="Aptos" w:hAnsi="Calibri" w:cs="Calibri"/>
          <w:sz w:val="28"/>
          <w:szCs w:val="28"/>
        </w:rPr>
        <w:t xml:space="preserve"> Taken together, this evidence suggests the need for clear, consistent, and transparent referral processes, alongside stronger integration between services. Streamlined approaches, such as single points of access or dedicated referral teams, may support more coordinated transitions and improve continuity of care.</w:t>
      </w:r>
    </w:p>
    <w:p w:rsidR="005931BE" w:rsidRPr="00695E6D" w:rsidP="0032377F">
      <w:pPr>
        <w:spacing w:after="120"/>
        <w:rPr>
          <w:rFonts w:ascii="Calibri" w:hAnsi="Calibri" w:cs="Calibri"/>
          <w:sz w:val="28"/>
          <w:szCs w:val="28"/>
        </w:rPr>
      </w:pPr>
    </w:p>
    <w:p w:rsidR="005931BE" w:rsidRPr="00695E6D" w:rsidP="0032377F">
      <w:pPr>
        <w:spacing w:after="120"/>
        <w:rPr>
          <w:rFonts w:ascii="Calibri" w:hAnsi="Calibri" w:cs="Calibri"/>
          <w:sz w:val="28"/>
          <w:szCs w:val="28"/>
        </w:rPr>
      </w:pPr>
      <w:r w:rsidRPr="00695E6D">
        <w:rPr>
          <w:rFonts w:ascii="Calibri" w:eastAsia="Aptos" w:hAnsi="Calibri" w:cs="Calibri"/>
          <w:sz w:val="28"/>
          <w:szCs w:val="28"/>
        </w:rPr>
        <w:t>How should training for primary care staff be improved to support earlier identification and management of mental health needs?</w:t>
      </w:r>
    </w:p>
    <w:p w:rsidR="005931BE" w:rsidRPr="00695E6D" w:rsidP="1F550FC9">
      <w:pPr>
        <w:spacing w:after="120"/>
        <w:rPr>
          <w:rFonts w:ascii="Calibri" w:eastAsia="Aptos" w:hAnsi="Calibri" w:cs="Calibri"/>
          <w:sz w:val="28"/>
          <w:szCs w:val="28"/>
        </w:rPr>
      </w:pPr>
      <w:r w:rsidRPr="00695E6D">
        <w:rPr>
          <w:rFonts w:ascii="Calibri" w:eastAsia="Aptos" w:hAnsi="Calibri" w:cs="Calibri"/>
          <w:sz w:val="28"/>
          <w:szCs w:val="28"/>
        </w:rPr>
        <w:t>Research suggests that training initiatives for a broad workforce can enhance professionals’ confidence in recognising and responding to children and young people’s mental health needs, supporting earlier identification and referral to appropriate services.</w:t>
      </w:r>
      <w:r>
        <w:rPr>
          <w:rStyle w:val="FootnoteReference"/>
          <w:rFonts w:ascii="Calibri" w:eastAsia="Aptos" w:hAnsi="Calibri" w:cs="Calibri"/>
          <w:sz w:val="28"/>
          <w:szCs w:val="28"/>
        </w:rPr>
        <w:footnoteReference w:id="14"/>
      </w:r>
      <w:r w:rsidRPr="00695E6D">
        <w:rPr>
          <w:rFonts w:ascii="Calibri" w:eastAsia="Aptos" w:hAnsi="Calibri" w:cs="Calibri"/>
          <w:sz w:val="28"/>
          <w:szCs w:val="28"/>
          <w:vertAlign w:val="superscript"/>
        </w:rPr>
        <w:t>,</w:t>
      </w:r>
      <w:r>
        <w:rPr>
          <w:rStyle w:val="FootnoteReference"/>
          <w:rFonts w:ascii="Calibri" w:eastAsia="Aptos" w:hAnsi="Calibri" w:cs="Calibri"/>
          <w:sz w:val="28"/>
          <w:szCs w:val="28"/>
        </w:rPr>
        <w:footnoteReference w:id="15"/>
      </w:r>
      <w:r w:rsidRPr="00695E6D">
        <w:rPr>
          <w:rFonts w:ascii="Calibri" w:eastAsia="Aptos" w:hAnsi="Calibri" w:cs="Calibri"/>
          <w:sz w:val="28"/>
          <w:szCs w:val="28"/>
        </w:rPr>
        <w:t xml:space="preserve"> A systematic literature review of the literature found that training programmes have been shown to improve practitioners’ ability to recognise difficulties, engage effectively with children and families, and make appropriate referrals to specialist support.</w:t>
      </w:r>
      <w:r w:rsidRPr="00695E6D">
        <w:rPr>
          <w:rFonts w:ascii="Calibri" w:eastAsia="Aptos" w:hAnsi="Calibri" w:cs="Calibri"/>
          <w:sz w:val="28"/>
          <w:szCs w:val="28"/>
          <w:vertAlign w:val="superscript"/>
        </w:rPr>
        <w:t>13</w:t>
      </w:r>
      <w:r w:rsidRPr="00695E6D">
        <w:rPr>
          <w:rFonts w:ascii="Calibri" w:eastAsia="Aptos" w:hAnsi="Calibri" w:cs="Calibri"/>
          <w:sz w:val="28"/>
          <w:szCs w:val="28"/>
        </w:rPr>
        <w:t xml:space="preserve"> However, interviews with professionals suggested that effective implementation depends on organisational support, including protected time for training and ongoing reinforcement to ensure that learning is embedded in practice.</w:t>
      </w:r>
      <w:r w:rsidRPr="00695E6D">
        <w:rPr>
          <w:rFonts w:ascii="Calibri" w:eastAsia="Aptos" w:hAnsi="Calibri" w:cs="Calibri"/>
          <w:sz w:val="28"/>
          <w:szCs w:val="28"/>
          <w:vertAlign w:val="superscript"/>
        </w:rPr>
        <w:t>14</w:t>
      </w:r>
      <w:r w:rsidRPr="00695E6D">
        <w:rPr>
          <w:rFonts w:ascii="Calibri" w:eastAsia="Aptos" w:hAnsi="Calibri" w:cs="Calibri"/>
          <w:sz w:val="28"/>
          <w:szCs w:val="28"/>
        </w:rPr>
        <w:t xml:space="preserve">  </w:t>
      </w: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A survey with professionals working in crisis services further highlights the importance of training in developing shared understanding across services, with professionals emphasising that greater clarity around service roles and referral pathways can improve communication and increase confidence in referral decisions</w:t>
      </w:r>
      <w:r w:rsidRPr="00695E6D">
        <w:rPr>
          <w:rFonts w:ascii="Calibri" w:eastAsia="Aptos" w:hAnsi="Calibri" w:cs="Calibri"/>
          <w:sz w:val="28"/>
          <w:szCs w:val="28"/>
          <w:vertAlign w:val="superscript"/>
        </w:rPr>
        <w:t>11</w:t>
      </w:r>
      <w:r w:rsidRPr="00695E6D">
        <w:rPr>
          <w:rFonts w:ascii="Calibri" w:eastAsia="Aptos" w:hAnsi="Calibri" w:cs="Calibri"/>
          <w:sz w:val="28"/>
          <w:szCs w:val="28"/>
        </w:rPr>
        <w:t xml:space="preserve"> Overall, this evidence indicates that sustained, practice-oriented training, alongside stronger cross-service understanding and collaboration, can support earlier identification of need and more timely intervention for children and young people.</w:t>
      </w:r>
    </w:p>
    <w:p w:rsidR="005931BE" w:rsidRPr="00695E6D" w:rsidP="0032377F">
      <w:pPr>
        <w:spacing w:after="120"/>
        <w:rPr>
          <w:rFonts w:ascii="Calibri" w:hAnsi="Calibri" w:cs="Calibri"/>
          <w:sz w:val="28"/>
          <w:szCs w:val="28"/>
        </w:rPr>
      </w:pPr>
    </w:p>
    <w:p w:rsidR="005931BE" w:rsidRPr="00695E6D" w:rsidP="00582093">
      <w:pPr>
        <w:spacing w:after="120"/>
        <w:jc w:val="center"/>
        <w:rPr>
          <w:rFonts w:ascii="Calibri" w:eastAsia="Aptos" w:hAnsi="Calibri" w:cs="Calibri"/>
          <w:sz w:val="28"/>
          <w:szCs w:val="28"/>
        </w:rPr>
      </w:pPr>
      <w:r w:rsidRPr="00695E6D">
        <w:rPr>
          <w:rFonts w:ascii="Calibri" w:eastAsia="Aptos" w:hAnsi="Calibri" w:cs="Calibri"/>
          <w:sz w:val="28"/>
          <w:szCs w:val="28"/>
        </w:rPr>
        <w:t>Integration between education, NHS and community provision</w:t>
      </w: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What factors are driving recent trends in children and young people’s mental health, and how have changes in service thresholds influenced both the presentation of need and access to early support?</w:t>
      </w:r>
    </w:p>
    <w:p w:rsidR="005931BE" w:rsidRPr="00695E6D" w:rsidP="0032377F">
      <w:pPr>
        <w:spacing w:after="120"/>
        <w:rPr>
          <w:rFonts w:ascii="Calibri" w:eastAsia="Aptos" w:hAnsi="Calibri" w:cs="Calibri"/>
          <w:sz w:val="28"/>
          <w:szCs w:val="28"/>
          <w:vertAlign w:val="superscript"/>
        </w:rPr>
      </w:pPr>
      <w:r w:rsidRPr="00695E6D">
        <w:rPr>
          <w:rFonts w:ascii="Calibri" w:eastAsia="Aptos" w:hAnsi="Calibri" w:cs="Calibri"/>
          <w:sz w:val="28"/>
          <w:szCs w:val="28"/>
        </w:rPr>
        <w:t xml:space="preserve">A systematic review of the literature and interviews with </w:t>
      </w:r>
      <w:r w:rsidRPr="00695E6D">
        <w:rPr>
          <w:rFonts w:ascii="Calibri" w:eastAsia="Aptos" w:hAnsi="Calibri" w:cs="Calibri"/>
          <w:sz w:val="28"/>
          <w:szCs w:val="28"/>
        </w:rPr>
        <w:t>professionals  indicated</w:t>
      </w:r>
      <w:r w:rsidRPr="00695E6D">
        <w:rPr>
          <w:rFonts w:ascii="Calibri" w:eastAsia="Aptos" w:hAnsi="Calibri" w:cs="Calibri"/>
          <w:sz w:val="28"/>
          <w:szCs w:val="28"/>
        </w:rPr>
        <w:t xml:space="preserve"> that recent trends in children and young people’s mental health are driven by a range of interacting social, economic, and developmental factors, rather than a single cause. Findings point to multisystemic drivers, including worsening sleep quality, economic precarity and affordability pressures, reductions in children’s and youth services, and patterns of digital technology use.</w:t>
      </w:r>
      <w:r>
        <w:rPr>
          <w:rStyle w:val="FootnoteReference"/>
          <w:rFonts w:ascii="Calibri" w:eastAsia="Aptos" w:hAnsi="Calibri" w:cs="Calibri"/>
          <w:sz w:val="28"/>
          <w:szCs w:val="28"/>
        </w:rPr>
        <w:footnoteReference w:id="16"/>
      </w:r>
      <w:r w:rsidRPr="00695E6D">
        <w:rPr>
          <w:rFonts w:ascii="Calibri" w:eastAsia="Aptos" w:hAnsi="Calibri" w:cs="Calibri"/>
          <w:sz w:val="28"/>
          <w:szCs w:val="28"/>
        </w:rPr>
        <w:t xml:space="preserve"> Despite widespread concern about academic pressure, the most robust </w:t>
      </w:r>
      <w:r w:rsidRPr="00695E6D">
        <w:rPr>
          <w:rFonts w:ascii="Calibri" w:eastAsia="Aptos" w:hAnsi="Calibri" w:cs="Calibri"/>
          <w:sz w:val="28"/>
          <w:szCs w:val="28"/>
        </w:rPr>
        <w:t>available data does not suggest that higher levels than in previous years; however, a marked decline in happiness at school since 2021 warrants attention.</w:t>
      </w:r>
      <w:r w:rsidRPr="00695E6D">
        <w:rPr>
          <w:rFonts w:ascii="Calibri" w:eastAsia="Aptos" w:hAnsi="Calibri" w:cs="Calibri"/>
          <w:sz w:val="28"/>
          <w:szCs w:val="28"/>
          <w:vertAlign w:val="superscript"/>
        </w:rPr>
        <w:t>15</w:t>
      </w: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Qualitative evidence highlights how these pressures are experienced and understood by young people themselves. Adolescent girls, for example, described low mood and anxiety as increasingly “normalised” within their peer groups, pointing to worsening trends as shaped by gendered expectations, relational pressures, and comparison within social media contexts.</w:t>
      </w:r>
      <w:r w:rsidRPr="00695E6D">
        <w:rPr>
          <w:rFonts w:ascii="Calibri" w:eastAsia="Aptos" w:hAnsi="Calibri" w:cs="Calibri"/>
          <w:sz w:val="28"/>
          <w:szCs w:val="28"/>
          <w:vertAlign w:val="superscript"/>
        </w:rPr>
        <w:t>5</w:t>
      </w:r>
      <w:r w:rsidRPr="00695E6D">
        <w:rPr>
          <w:rFonts w:ascii="Calibri" w:eastAsia="Aptos" w:hAnsi="Calibri" w:cs="Calibri"/>
          <w:sz w:val="28"/>
          <w:szCs w:val="28"/>
        </w:rPr>
        <w:t xml:space="preserve"> </w:t>
      </w: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What evidence is there that effective delivery of mental health support for children and young people in education settings and open-access provision reduces demand on CAMHS and acute NHS services?</w:t>
      </w:r>
    </w:p>
    <w:p w:rsidR="005931BE" w:rsidRPr="00695E6D" w:rsidP="72A9A0C6">
      <w:pPr>
        <w:spacing w:after="120" w:line="259" w:lineRule="auto"/>
        <w:rPr>
          <w:rFonts w:ascii="Calibri" w:eastAsia="Aptos" w:hAnsi="Calibri" w:cs="Calibri"/>
          <w:sz w:val="28"/>
          <w:szCs w:val="28"/>
        </w:rPr>
      </w:pPr>
      <w:r w:rsidRPr="00695E6D">
        <w:rPr>
          <w:rFonts w:ascii="Calibri" w:eastAsia="Aptos" w:hAnsi="Calibri" w:cs="Calibri"/>
          <w:sz w:val="28"/>
          <w:szCs w:val="28"/>
        </w:rPr>
        <w:t>Multiple studies suggests that accessible early support, particularly when it is brief, relational, and easy to engage with, can play an important role in the wider mental health support system for children and young people. For instance, this includes both in-person and digital forms of support, which can help young people feel heard, make sense of their experiences, and, where needed, take further steps towards additional help.</w:t>
      </w:r>
      <w:r>
        <w:rPr>
          <w:rStyle w:val="FootnoteReference"/>
          <w:rFonts w:ascii="Calibri" w:eastAsia="Aptos" w:hAnsi="Calibri" w:cs="Calibri"/>
          <w:sz w:val="28"/>
          <w:szCs w:val="28"/>
        </w:rPr>
        <w:footnoteReference w:id="17"/>
      </w:r>
      <w:r w:rsidRPr="00695E6D">
        <w:rPr>
          <w:rFonts w:ascii="Calibri" w:eastAsia="Aptos" w:hAnsi="Calibri" w:cs="Calibri"/>
          <w:sz w:val="28"/>
          <w:szCs w:val="28"/>
        </w:rPr>
        <w:t xml:space="preserve">  </w:t>
      </w:r>
    </w:p>
    <w:p w:rsidR="005931BE" w:rsidRPr="00695E6D" w:rsidP="1F550FC9">
      <w:pPr>
        <w:spacing w:after="120" w:line="259" w:lineRule="auto"/>
        <w:rPr>
          <w:rFonts w:ascii="Calibri" w:eastAsia="Aptos" w:hAnsi="Calibri" w:cs="Calibri"/>
          <w:sz w:val="28"/>
          <w:szCs w:val="28"/>
        </w:rPr>
      </w:pPr>
      <w:r w:rsidRPr="00695E6D">
        <w:rPr>
          <w:rFonts w:ascii="Calibri" w:eastAsia="Aptos" w:hAnsi="Calibri" w:cs="Calibri"/>
          <w:sz w:val="28"/>
          <w:szCs w:val="28"/>
        </w:rPr>
        <w:t>While not a replacement for specialist services, such approaches may help reduce escalation by providing support earlier and in more accessible ways. This is reinforced by evidence from targeted, community-based provision embedded within education settings. For instance, evaluation of Football Beyond Borders found that integrated voluntary and community sector-school partnerships, such as targeted social and emotional learning programs, can improve wellbeing among vulnerable young people who may be less likely to engage with traditional clinical services.</w:t>
      </w:r>
      <w:r>
        <w:rPr>
          <w:rStyle w:val="FootnoteReference"/>
          <w:rFonts w:ascii="Calibri" w:eastAsia="Aptos" w:hAnsi="Calibri" w:cs="Calibri"/>
          <w:sz w:val="28"/>
          <w:szCs w:val="28"/>
        </w:rPr>
        <w:footnoteReference w:id="18"/>
      </w:r>
      <w:r w:rsidRPr="00695E6D">
        <w:rPr>
          <w:rFonts w:ascii="Calibri" w:eastAsia="Aptos" w:hAnsi="Calibri" w:cs="Calibri"/>
          <w:sz w:val="28"/>
          <w:szCs w:val="28"/>
        </w:rPr>
        <w:t xml:space="preserve"> </w:t>
      </w:r>
    </w:p>
    <w:p w:rsidR="005931BE" w:rsidRPr="00695E6D" w:rsidP="0032377F">
      <w:pPr>
        <w:spacing w:after="120"/>
        <w:rPr>
          <w:rFonts w:ascii="Calibri" w:eastAsia="Aptos" w:hAnsi="Calibri" w:cs="Calibri"/>
          <w:sz w:val="28"/>
          <w:szCs w:val="28"/>
        </w:rPr>
      </w:pP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How effective are current referral pathways between education, community services and NHS services in ensuring timely and appropriate access to mental health support for children and young people?</w:t>
      </w: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 xml:space="preserve">Evidence suggests that current referral pathways do not consistently support timely and appropriate access to mental health support. Identification of need remains variable and highly context-dependent, with many young people </w:t>
      </w:r>
      <w:r w:rsidRPr="00695E6D">
        <w:rPr>
          <w:rFonts w:ascii="Calibri" w:eastAsia="Aptos" w:hAnsi="Calibri" w:cs="Calibri"/>
          <w:sz w:val="28"/>
          <w:szCs w:val="28"/>
        </w:rPr>
        <w:t>accessing support through alternative routes, including online services and moderated forums.</w:t>
      </w:r>
      <w:r>
        <w:rPr>
          <w:rStyle w:val="FootnoteReference"/>
          <w:rFonts w:ascii="Calibri" w:eastAsia="Aptos" w:hAnsi="Calibri" w:cs="Calibri"/>
          <w:sz w:val="28"/>
          <w:szCs w:val="28"/>
        </w:rPr>
        <w:footnoteReference w:id="19"/>
      </w:r>
      <w:r w:rsidRPr="00695E6D">
        <w:rPr>
          <w:rFonts w:ascii="Calibri" w:eastAsia="Aptos" w:hAnsi="Calibri" w:cs="Calibri"/>
          <w:sz w:val="28"/>
          <w:szCs w:val="28"/>
          <w:vertAlign w:val="superscript"/>
        </w:rPr>
        <w:t>,</w:t>
      </w:r>
      <w:r>
        <w:rPr>
          <w:rStyle w:val="FootnoteReference"/>
          <w:rFonts w:ascii="Calibri" w:eastAsia="Aptos" w:hAnsi="Calibri" w:cs="Calibri"/>
          <w:sz w:val="28"/>
          <w:szCs w:val="28"/>
        </w:rPr>
        <w:footnoteReference w:id="20"/>
      </w:r>
      <w:r w:rsidRPr="00695E6D">
        <w:rPr>
          <w:rFonts w:ascii="Calibri" w:eastAsia="Aptos" w:hAnsi="Calibri" w:cs="Calibri"/>
          <w:sz w:val="28"/>
          <w:szCs w:val="28"/>
        </w:rPr>
        <w:t xml:space="preserve"> Findings suggest that when young people are offered flexible, low-barrier opportunities to express what matters to them - in their own words - they often do so earlier and more openly.</w:t>
      </w:r>
      <w:r>
        <w:rPr>
          <w:rStyle w:val="FootnoteReference"/>
          <w:rFonts w:ascii="Calibri" w:eastAsia="Aptos" w:hAnsi="Calibri" w:cs="Calibri"/>
          <w:sz w:val="28"/>
          <w:szCs w:val="28"/>
        </w:rPr>
        <w:footnoteReference w:id="21"/>
      </w:r>
      <w:r w:rsidRPr="00695E6D">
        <w:rPr>
          <w:rFonts w:ascii="Calibri" w:eastAsia="Aptos" w:hAnsi="Calibri" w:cs="Calibri"/>
          <w:sz w:val="28"/>
          <w:szCs w:val="28"/>
        </w:rPr>
        <w:t xml:space="preserve"> However, these expressions are not always recognised within formal systems.</w:t>
      </w: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Many young people are instead sharing their experiences within online spaces, peer networks, and community settings,</w:t>
      </w:r>
      <w:r w:rsidRPr="00695E6D">
        <w:rPr>
          <w:rFonts w:ascii="Calibri" w:eastAsia="Aptos" w:hAnsi="Calibri" w:cs="Calibri"/>
          <w:sz w:val="28"/>
          <w:szCs w:val="28"/>
          <w:vertAlign w:val="superscript"/>
        </w:rPr>
        <w:t>18,</w:t>
      </w:r>
      <w:r>
        <w:rPr>
          <w:rStyle w:val="FootnoteReference"/>
          <w:rFonts w:ascii="Calibri" w:eastAsia="Aptos" w:hAnsi="Calibri" w:cs="Calibri"/>
          <w:sz w:val="28"/>
          <w:szCs w:val="28"/>
        </w:rPr>
        <w:footnoteReference w:id="22"/>
      </w:r>
      <w:r w:rsidRPr="00695E6D">
        <w:rPr>
          <w:rFonts w:ascii="Calibri" w:eastAsia="Aptos" w:hAnsi="Calibri" w:cs="Calibri"/>
          <w:sz w:val="28"/>
          <w:szCs w:val="28"/>
        </w:rPr>
        <w:t xml:space="preserve"> highlighting the importance of understanding help-seeking as something that happens across a wider ecosystem of support, rather than within a single service.</w:t>
      </w:r>
      <w:r w:rsidRPr="00695E6D">
        <w:rPr>
          <w:rFonts w:ascii="Calibri" w:eastAsia="Aptos" w:hAnsi="Calibri" w:cs="Calibri"/>
          <w:sz w:val="28"/>
          <w:szCs w:val="28"/>
          <w:vertAlign w:val="superscript"/>
        </w:rPr>
        <w:t>16</w:t>
      </w:r>
      <w:r w:rsidRPr="00695E6D">
        <w:rPr>
          <w:rFonts w:ascii="Calibri" w:eastAsia="Aptos" w:hAnsi="Calibri" w:cs="Calibri"/>
          <w:sz w:val="28"/>
          <w:szCs w:val="28"/>
        </w:rPr>
        <w:t xml:space="preserve"> Strengthening identification therefore involves not only improving systems within education, but also recognising and connecting to the spaces where young people already feel able to speak.</w:t>
      </w:r>
    </w:p>
    <w:p w:rsidR="005931BE" w:rsidRPr="00695E6D" w:rsidP="0032377F">
      <w:pPr>
        <w:spacing w:after="120"/>
        <w:rPr>
          <w:rFonts w:ascii="Calibri" w:eastAsia="Aptos" w:hAnsi="Calibri" w:cs="Calibri"/>
          <w:sz w:val="28"/>
          <w:szCs w:val="28"/>
        </w:rPr>
      </w:pP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How are online services and digital interventions being used to support young people’s mental health? Is there are strong enough evidence base for the use of these services, and how should they be regulated and deployed?</w:t>
      </w:r>
    </w:p>
    <w:p w:rsidR="005931BE" w:rsidRPr="00695E6D" w:rsidP="0032377F">
      <w:pPr>
        <w:spacing w:after="120"/>
        <w:rPr>
          <w:rFonts w:ascii="Calibri" w:eastAsia="Aptos" w:hAnsi="Calibri" w:cs="Calibri"/>
          <w:sz w:val="28"/>
          <w:szCs w:val="28"/>
        </w:rPr>
      </w:pPr>
      <w:r w:rsidRPr="00695E6D">
        <w:rPr>
          <w:rFonts w:ascii="Calibri" w:eastAsia="Aptos" w:hAnsi="Calibri" w:cs="Calibri"/>
          <w:sz w:val="28"/>
          <w:szCs w:val="28"/>
        </w:rPr>
        <w:t>Multiple studies indicate that online services, including single-session support, structured therapeutic interventions, moderated forums, social media content, and emerging AI-enabled tools, are now a routine part of how many young people seek and encounter support.</w:t>
      </w:r>
      <w:r w:rsidRPr="00695E6D">
        <w:rPr>
          <w:rFonts w:ascii="Calibri" w:eastAsia="Aptos" w:hAnsi="Calibri" w:cs="Calibri"/>
          <w:sz w:val="28"/>
          <w:szCs w:val="28"/>
          <w:vertAlign w:val="superscript"/>
        </w:rPr>
        <w:t>18,20,19,21</w:t>
      </w:r>
      <w:r w:rsidRPr="00695E6D">
        <w:rPr>
          <w:rFonts w:ascii="Calibri" w:eastAsia="Aptos" w:hAnsi="Calibri" w:cs="Calibri"/>
          <w:sz w:val="28"/>
          <w:szCs w:val="28"/>
        </w:rPr>
        <w:t xml:space="preserve"> These approaches can offer immediacy, flexibility, and a sense of control, particularly for those who may not feel ready to access in-person services</w:t>
      </w:r>
      <w:r w:rsidRPr="00695E6D">
        <w:rPr>
          <w:rFonts w:ascii="Calibri" w:eastAsia="Aptos" w:hAnsi="Calibri" w:cs="Calibri"/>
          <w:sz w:val="28"/>
          <w:szCs w:val="28"/>
          <w:vertAlign w:val="superscript"/>
        </w:rPr>
        <w:t>16,20</w:t>
      </w:r>
      <w:r w:rsidRPr="00695E6D">
        <w:rPr>
          <w:rFonts w:ascii="Calibri" w:eastAsia="Aptos" w:hAnsi="Calibri" w:cs="Calibri"/>
          <w:sz w:val="28"/>
          <w:szCs w:val="28"/>
        </w:rPr>
        <w:t xml:space="preserve"> However, their effectiveness depends on how they are designed and implemented. Evidence highlights the importance of appropriate moderation and safeguarding, particularly in peer-based spaces,</w:t>
      </w:r>
      <w:r w:rsidRPr="00695E6D">
        <w:rPr>
          <w:rFonts w:ascii="Calibri" w:eastAsia="Aptos" w:hAnsi="Calibri" w:cs="Calibri"/>
          <w:sz w:val="28"/>
          <w:szCs w:val="28"/>
          <w:vertAlign w:val="superscript"/>
        </w:rPr>
        <w:t>21</w:t>
      </w:r>
      <w:r w:rsidRPr="00695E6D">
        <w:rPr>
          <w:rFonts w:ascii="Calibri" w:eastAsia="Aptos" w:hAnsi="Calibri" w:cs="Calibri"/>
          <w:sz w:val="28"/>
          <w:szCs w:val="28"/>
        </w:rPr>
        <w:t xml:space="preserve"> alongside professionals having sufficient digital understanding and confidence, and clear communication about the scope and limitations of digital support is also essential.</w:t>
      </w:r>
    </w:p>
    <w:p w:rsidR="005931BE" w:rsidRPr="00695E6D" w:rsidP="00124A2B">
      <w:pPr>
        <w:spacing w:after="120"/>
        <w:rPr>
          <w:rFonts w:ascii="Calibri" w:eastAsia="Aptos" w:hAnsi="Calibri" w:cs="Calibri"/>
          <w:sz w:val="28"/>
          <w:szCs w:val="28"/>
        </w:rPr>
      </w:pPr>
      <w:r w:rsidRPr="00695E6D">
        <w:rPr>
          <w:rFonts w:ascii="Calibri" w:eastAsia="Aptos" w:hAnsi="Calibri" w:cs="Calibri"/>
          <w:sz w:val="28"/>
          <w:szCs w:val="28"/>
        </w:rPr>
        <w:t xml:space="preserve"> Our evidence suggests that regulation should focus on ensuring safe, ethical, and transparent practice, particularly in relation to emerging AI-enabled </w:t>
      </w:r>
      <w:r w:rsidRPr="00695E6D">
        <w:rPr>
          <w:rFonts w:ascii="Calibri" w:eastAsia="Aptos" w:hAnsi="Calibri" w:cs="Calibri"/>
          <w:sz w:val="28"/>
          <w:szCs w:val="28"/>
        </w:rPr>
        <w:t>tools,</w:t>
      </w:r>
      <w:r>
        <w:rPr>
          <w:rStyle w:val="FootnoteReference"/>
          <w:rFonts w:ascii="Calibri" w:eastAsia="Aptos" w:hAnsi="Calibri" w:cs="Calibri"/>
          <w:sz w:val="28"/>
          <w:szCs w:val="28"/>
        </w:rPr>
        <w:footnoteReference w:id="23"/>
      </w:r>
      <w:r w:rsidRPr="00695E6D">
        <w:rPr>
          <w:rFonts w:ascii="Calibri" w:eastAsia="Aptos" w:hAnsi="Calibri" w:cs="Calibri"/>
          <w:sz w:val="28"/>
          <w:szCs w:val="28"/>
        </w:rPr>
        <w:t xml:space="preserve"> while recognising that digital support forms part of a broader, relational ecosystem rather than a standalone solution.</w:t>
      </w:r>
      <w:r w:rsidRPr="00695E6D">
        <w:rPr>
          <w:rFonts w:ascii="Calibri" w:eastAsia="Aptos" w:hAnsi="Calibri" w:cs="Calibri"/>
          <w:sz w:val="28"/>
          <w:szCs w:val="28"/>
          <w:vertAlign w:val="superscript"/>
        </w:rPr>
        <w:t>16,</w:t>
      </w:r>
      <w:r>
        <w:rPr>
          <w:rStyle w:val="FootnoteReference"/>
          <w:rFonts w:ascii="Calibri" w:eastAsia="Aptos" w:hAnsi="Calibri" w:cs="Calibri"/>
          <w:sz w:val="28"/>
          <w:szCs w:val="28"/>
        </w:rPr>
        <w:footnoteReference w:id="24"/>
      </w:r>
      <w:r w:rsidRPr="00695E6D">
        <w:rPr>
          <w:rFonts w:ascii="Calibri" w:eastAsia="Aptos" w:hAnsi="Calibri" w:cs="Calibri"/>
          <w:sz w:val="28"/>
          <w:szCs w:val="28"/>
        </w:rPr>
        <w:t xml:space="preserve"> </w:t>
      </w:r>
    </w:p>
    <w:p w:rsidR="005931BE" w:rsidRPr="00695E6D" w:rsidP="00124A2B">
      <w:pPr>
        <w:spacing w:after="120"/>
        <w:rPr>
          <w:rFonts w:ascii="Calibri" w:eastAsia="Aptos" w:hAnsi="Calibri" w:cs="Calibri"/>
          <w:sz w:val="28"/>
          <w:szCs w:val="28"/>
        </w:rPr>
      </w:pPr>
    </w:p>
    <w:p w:rsidR="005931BE" w:rsidRPr="00695E6D" w:rsidP="00124A2B">
      <w:pPr>
        <w:spacing w:after="120"/>
        <w:jc w:val="center"/>
        <w:rPr>
          <w:rFonts w:ascii="Calibri" w:hAnsi="Calibri" w:cs="Calibri"/>
          <w:sz w:val="28"/>
          <w:szCs w:val="28"/>
        </w:rPr>
      </w:pPr>
      <w:r w:rsidRPr="00695E6D">
        <w:rPr>
          <w:rFonts w:ascii="Calibri" w:hAnsi="Calibri" w:cs="Calibri"/>
          <w:sz w:val="28"/>
          <w:szCs w:val="28"/>
        </w:rPr>
        <w:t xml:space="preserve">Funding </w:t>
      </w:r>
    </w:p>
    <w:p w:rsidR="005931BE" w:rsidRPr="00695E6D" w:rsidP="00124A2B">
      <w:pPr>
        <w:spacing w:before="240" w:after="240"/>
        <w:rPr>
          <w:rFonts w:ascii="Calibri" w:eastAsia="Aptos" w:hAnsi="Calibri" w:cs="Calibri"/>
          <w:sz w:val="28"/>
          <w:szCs w:val="28"/>
        </w:rPr>
      </w:pPr>
      <w:r w:rsidRPr="00695E6D">
        <w:rPr>
          <w:rFonts w:ascii="Calibri" w:eastAsia="Aptos" w:hAnsi="Calibri" w:cs="Calibri"/>
          <w:sz w:val="28"/>
          <w:szCs w:val="28"/>
        </w:rPr>
        <w:t>The evidence we draw on includes work funded by the National Institute for Health and Care Research (NIHR), the National Institute for Health and Care Excellence (NICE) the Youth Sport Trust (YST), and the Youth Futures Foundation (YFF).  The views expressed are those of the authors and not necessarily those of NIHR, NICE, YST, or the YFF.</w:t>
      </w:r>
    </w:p>
    <w:p w:rsidR="00C743E9" w:rsidRPr="00695E6D" w:rsidP="00124A2B">
      <w:pPr>
        <w:spacing w:before="240" w:after="240"/>
        <w:rPr>
          <w:rFonts w:ascii="Calibri" w:eastAsia="Aptos" w:hAnsi="Calibri" w:cs="Calibri"/>
          <w:sz w:val="28"/>
          <w:szCs w:val="28"/>
        </w:rPr>
      </w:pPr>
    </w:p>
    <w:p w:rsidR="00C743E9" w:rsidRPr="00695E6D" w:rsidP="00124A2B">
      <w:pPr>
        <w:spacing w:before="240" w:after="240"/>
        <w:rPr>
          <w:rFonts w:ascii="Calibri" w:eastAsia="Aptos" w:hAnsi="Calibri" w:cs="Calibri"/>
          <w:sz w:val="28"/>
          <w:szCs w:val="28"/>
        </w:rPr>
      </w:pPr>
    </w:p>
    <w:p w:rsidR="00C743E9" w:rsidRPr="00695E6D" w:rsidP="00124A2B">
      <w:pPr>
        <w:spacing w:before="240" w:after="240"/>
        <w:rPr>
          <w:rFonts w:ascii="Calibri" w:eastAsia="Aptos" w:hAnsi="Calibri" w:cs="Calibri"/>
          <w:sz w:val="28"/>
          <w:szCs w:val="28"/>
        </w:rPr>
      </w:pPr>
    </w:p>
    <w:p w:rsidR="00C743E9" w:rsidRPr="00695E6D" w:rsidP="00124A2B">
      <w:pPr>
        <w:spacing w:before="240" w:after="240"/>
        <w:rPr>
          <w:rFonts w:ascii="Calibri" w:hAnsi="Calibri" w:cs="Calibri"/>
          <w:i/>
          <w:iCs/>
          <w:sz w:val="28"/>
          <w:szCs w:val="28"/>
        </w:rPr>
      </w:pPr>
      <w:r>
        <w:rPr>
          <w:rFonts w:ascii="Calibri" w:eastAsia="Aptos" w:hAnsi="Calibri" w:cs="Calibri"/>
          <w:i/>
          <w:iCs/>
          <w:sz w:val="28"/>
          <w:szCs w:val="28"/>
        </w:rPr>
        <w:t>March</w:t>
      </w:r>
      <w:r w:rsidRPr="00695E6D">
        <w:rPr>
          <w:rFonts w:ascii="Calibri" w:eastAsia="Aptos" w:hAnsi="Calibri" w:cs="Calibri"/>
          <w:i/>
          <w:iCs/>
          <w:sz w:val="28"/>
          <w:szCs w:val="28"/>
        </w:rPr>
        <w:t xml:space="preserve"> 2026</w:t>
      </w:r>
    </w:p>
    <w:p w:rsidR="005931BE" w:rsidRPr="00695E6D" w:rsidP="00F373F1">
      <w:pPr>
        <w:spacing w:after="120"/>
        <w:rPr>
          <w:rFonts w:ascii="Calibri" w:hAnsi="Calibri" w:cs="Calibri"/>
          <w:sz w:val="28"/>
          <w:szCs w:val="28"/>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sans-serif">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51D41" w:rsidP="00F1138E">
      <w:r>
        <w:separator/>
      </w:r>
    </w:p>
  </w:footnote>
  <w:footnote w:type="continuationSeparator" w:id="1">
    <w:p w:rsidR="00E51D41" w:rsidP="00F1138E">
      <w:r>
        <w:continuationSeparator/>
      </w:r>
    </w:p>
  </w:footnote>
  <w:footnote w:id="2">
    <w:p w:rsidR="005931BE" w:rsidRPr="00124A2B" w:rsidP="009D5119">
      <w:pPr>
        <w:pStyle w:val="FootnoteText"/>
        <w:spacing w:after="120"/>
      </w:pPr>
      <w:r w:rsidRPr="00124A2B">
        <w:rPr>
          <w:rStyle w:val="FootnoteReference"/>
        </w:rPr>
        <w:footnoteRef/>
      </w:r>
      <w:r w:rsidRPr="00124A2B">
        <w:t xml:space="preserve"> Demkowicz et al. (2023). Children and young people’s perceptions of what underpins and undermines education-based wellbeing provision. </w:t>
      </w:r>
      <w:r w:rsidRPr="00124A2B">
        <w:rPr>
          <w:i/>
          <w:iCs/>
        </w:rPr>
        <w:t>BMC Public Health</w:t>
      </w:r>
      <w:r w:rsidRPr="00124A2B">
        <w:t xml:space="preserve">. DOI:10.1186/s12889-023-15836-z </w:t>
      </w:r>
    </w:p>
  </w:footnote>
  <w:footnote w:id="3">
    <w:p w:rsidR="005931BE" w:rsidRPr="00124A2B" w:rsidP="009D5119">
      <w:pPr>
        <w:pStyle w:val="FootnoteText"/>
        <w:spacing w:after="120"/>
      </w:pPr>
      <w:r w:rsidRPr="00124A2B">
        <w:rPr>
          <w:rStyle w:val="FootnoteReference"/>
        </w:rPr>
        <w:footnoteRef/>
      </w:r>
      <w:r w:rsidRPr="00124A2B">
        <w:t xml:space="preserve"> Hennessey et al. (2022). </w:t>
      </w:r>
      <w:r w:rsidRPr="00124A2B">
        <w:rPr>
          <w:i/>
          <w:iCs/>
        </w:rPr>
        <w:t xml:space="preserve">Children and young people’s perceptions of social, emotional, and mental wellbeing provision and processes in primary and secondary education: A qualitative exploration to inform NICE guidance. </w:t>
      </w:r>
      <w:r w:rsidRPr="00124A2B">
        <w:t xml:space="preserve">Report for NICE. </w:t>
      </w:r>
      <w:r>
        <w:fldChar w:fldCharType="begin"/>
      </w:r>
      <w:r>
        <w:instrText xml:space="preserve"> HYPERLINK "https://www.nice.org.uk/guidance/gid-ng10125/documents/supporting-documentation-2" </w:instrText>
      </w:r>
      <w:r>
        <w:fldChar w:fldCharType="separate"/>
      </w:r>
      <w:r w:rsidRPr="00124A2B">
        <w:rPr>
          <w:rStyle w:val="Hyperlink"/>
        </w:rPr>
        <w:t>https://www.nice.org.uk/guidance/gid-ng10125/documents/supporting-documentation-2</w:t>
      </w:r>
      <w:r>
        <w:fldChar w:fldCharType="end"/>
      </w:r>
      <w:r w:rsidRPr="00124A2B">
        <w:t xml:space="preserve"> </w:t>
      </w:r>
    </w:p>
  </w:footnote>
  <w:footnote w:id="4">
    <w:p w:rsidR="005931BE" w:rsidRPr="00124A2B" w:rsidP="009D5119">
      <w:pPr>
        <w:pStyle w:val="FootnoteText"/>
        <w:spacing w:after="120"/>
      </w:pPr>
      <w:r w:rsidRPr="00124A2B">
        <w:rPr>
          <w:rStyle w:val="FootnoteReference"/>
        </w:rPr>
        <w:footnoteRef/>
      </w:r>
      <w:r w:rsidRPr="00124A2B">
        <w:t xml:space="preserve"> Hennessey et al. (2023). Embedding a whole school culture for supporting teacher and pupil wellbeing: A Well Schools case study example. </w:t>
      </w:r>
      <w:r w:rsidRPr="00124A2B">
        <w:rPr>
          <w:i/>
          <w:iCs/>
        </w:rPr>
        <w:t xml:space="preserve">Psychology of Education Review. </w:t>
      </w:r>
      <w:r w:rsidRPr="00124A2B">
        <w:t xml:space="preserve">DOI:10.53841/bpsper.2023.47.2.22 </w:t>
      </w:r>
    </w:p>
  </w:footnote>
  <w:footnote w:id="5">
    <w:p w:rsidR="005931BE" w:rsidRPr="00124A2B" w:rsidP="009D5119">
      <w:pPr>
        <w:pStyle w:val="FootnoteText"/>
        <w:spacing w:after="120"/>
      </w:pPr>
      <w:r w:rsidRPr="00124A2B">
        <w:rPr>
          <w:rStyle w:val="FootnoteReference"/>
        </w:rPr>
        <w:footnoteRef/>
      </w:r>
      <w:r w:rsidRPr="00124A2B">
        <w:t xml:space="preserve"> Hennessey et al. (2025). An evaluation of the Well Schools whole school approach to pupil and teacher wellbeing. </w:t>
      </w:r>
      <w:r w:rsidRPr="00124A2B">
        <w:rPr>
          <w:i/>
          <w:iCs/>
        </w:rPr>
        <w:t xml:space="preserve">Frontiers in Education. </w:t>
      </w:r>
      <w:r w:rsidRPr="00124A2B">
        <w:t xml:space="preserve">DOI:10.3389/feduc.2025.1675773 </w:t>
      </w:r>
    </w:p>
  </w:footnote>
  <w:footnote w:id="6">
    <w:p w:rsidR="005931BE" w:rsidRPr="00124A2B" w:rsidP="009D5119">
      <w:pPr>
        <w:pStyle w:val="FootnoteText"/>
        <w:spacing w:after="120"/>
      </w:pPr>
      <w:r w:rsidRPr="00124A2B">
        <w:rPr>
          <w:rStyle w:val="FootnoteReference"/>
        </w:rPr>
        <w:footnoteRef/>
      </w:r>
      <w:r w:rsidRPr="00124A2B">
        <w:t xml:space="preserve"> Demkowicz et al. (2025). Adolescent girls’ explanations of high rates of low mood and anxiety in their population: A co-produced qualitative study. </w:t>
      </w:r>
      <w:r w:rsidRPr="00124A2B">
        <w:rPr>
          <w:i/>
          <w:iCs/>
        </w:rPr>
        <w:t>BMC Women’s Health</w:t>
      </w:r>
      <w:r w:rsidRPr="00124A2B">
        <w:t>. DOI:10.1186/s12905-024-03517-x</w:t>
      </w:r>
    </w:p>
  </w:footnote>
  <w:footnote w:id="7">
    <w:p w:rsidR="005931BE" w:rsidRPr="00124A2B" w:rsidP="009D5119">
      <w:pPr>
        <w:pStyle w:val="FootnoteText"/>
        <w:spacing w:after="120"/>
      </w:pPr>
      <w:r w:rsidRPr="00124A2B">
        <w:rPr>
          <w:rStyle w:val="FootnoteReference"/>
        </w:rPr>
        <w:footnoteRef/>
      </w:r>
      <w:r w:rsidRPr="00124A2B">
        <w:t xml:space="preserve"> Demkowicz et al. (in preparation). Adolescent girls’ perceptions of social support routes for low mood and anxiety. </w:t>
      </w:r>
    </w:p>
  </w:footnote>
  <w:footnote w:id="8">
    <w:p w:rsidR="005931BE" w:rsidRPr="00124A2B" w:rsidP="00D507D0">
      <w:pPr>
        <w:pStyle w:val="FootnoteText"/>
        <w:spacing w:after="120"/>
      </w:pPr>
      <w:r w:rsidRPr="00124A2B">
        <w:rPr>
          <w:rStyle w:val="FootnoteReference"/>
        </w:rPr>
        <w:footnoteRef/>
      </w:r>
      <w:r w:rsidRPr="00124A2B">
        <w:t xml:space="preserve"> Demkowicz &amp; Humphrey. (2019). </w:t>
      </w:r>
      <w:r w:rsidRPr="00124A2B">
        <w:rPr>
          <w:i/>
          <w:iCs/>
        </w:rPr>
        <w:t>HeadStart evidence briefing: Whole school approaches to promoting mental health: What does the evidence say?</w:t>
      </w:r>
      <w:r w:rsidRPr="00124A2B">
        <w:t xml:space="preserve"> Evidence Based Practice Unit. </w:t>
      </w:r>
      <w:r>
        <w:fldChar w:fldCharType="begin"/>
      </w:r>
      <w:r>
        <w:instrText xml:space="preserve"> HYPERLINK "https://www.ucl.ac.uk/evidence-based-practice-unit/sites/evidence-based-practice-unit/files/evidencebriefing5_v1d7_completed_06.01.20.pdf" </w:instrText>
      </w:r>
      <w:r>
        <w:fldChar w:fldCharType="separate"/>
      </w:r>
      <w:r w:rsidRPr="00124A2B">
        <w:rPr>
          <w:rStyle w:val="Hyperlink"/>
        </w:rPr>
        <w:t>https://www.ucl.ac.uk/evidence-based-practice-unit/sites/evidence-based-practice-unit/files/evidencebriefing5_v1d7_completed_06.01.20.pdf</w:t>
      </w:r>
      <w:r>
        <w:fldChar w:fldCharType="end"/>
      </w:r>
      <w:r w:rsidRPr="00124A2B">
        <w:t xml:space="preserve"> </w:t>
      </w:r>
    </w:p>
  </w:footnote>
  <w:footnote w:id="9">
    <w:p w:rsidR="005931BE" w:rsidRPr="00124A2B" w:rsidP="00E82963">
      <w:pPr>
        <w:pStyle w:val="FootnoteText"/>
      </w:pPr>
      <w:r w:rsidRPr="00124A2B">
        <w:rPr>
          <w:rStyle w:val="FootnoteReference"/>
        </w:rPr>
        <w:footnoteRef/>
      </w:r>
      <w:r w:rsidRPr="00124A2B">
        <w:t xml:space="preserve"> Jefferson et al. (in press). Addressing rates of low mood and anxiety among adolescent girls: Co-production of programme theories with adolescent girls and professionals. </w:t>
      </w:r>
      <w:r w:rsidRPr="00124A2B">
        <w:rPr>
          <w:i/>
          <w:iCs/>
        </w:rPr>
        <w:t>NIHR Public Health Research</w:t>
      </w:r>
    </w:p>
    <w:p w:rsidR="005931BE" w:rsidRPr="00124A2B">
      <w:pPr>
        <w:pStyle w:val="FootnoteText"/>
      </w:pPr>
    </w:p>
  </w:footnote>
  <w:footnote w:id="10">
    <w:p w:rsidR="005931BE" w:rsidRPr="00124A2B" w:rsidP="00495CA0">
      <w:pPr>
        <w:pStyle w:val="FootnoteText"/>
        <w:spacing w:after="120"/>
      </w:pPr>
      <w:r w:rsidRPr="00124A2B">
        <w:rPr>
          <w:rStyle w:val="FootnoteReference"/>
        </w:rPr>
        <w:footnoteRef/>
      </w:r>
      <w:r w:rsidRPr="00124A2B">
        <w:t xml:space="preserve"> Banwell et al. (2023). Reformed child and adolescent mental health services in a devolved healthcare system. </w:t>
      </w:r>
      <w:r w:rsidRPr="00124A2B">
        <w:rPr>
          <w:i/>
          <w:iCs/>
        </w:rPr>
        <w:t>Frontiers in Health Services</w:t>
      </w:r>
      <w:r w:rsidRPr="00124A2B">
        <w:t>. DOI:10.3389/frhs.2023.1112544</w:t>
      </w:r>
    </w:p>
  </w:footnote>
  <w:footnote w:id="11">
    <w:p w:rsidR="005931BE" w:rsidRPr="00124A2B" w:rsidP="00495CA0">
      <w:pPr>
        <w:pStyle w:val="FootnoteText"/>
        <w:spacing w:after="120"/>
      </w:pPr>
      <w:r w:rsidRPr="00124A2B">
        <w:rPr>
          <w:rStyle w:val="FootnoteReference"/>
        </w:rPr>
        <w:footnoteRef/>
      </w:r>
      <w:r w:rsidRPr="00124A2B">
        <w:t xml:space="preserve"> Dutton et al. (2023) NHS and third sector collaboration to enhance crisis mental health service provision for young people. </w:t>
      </w:r>
      <w:r w:rsidRPr="00124A2B">
        <w:rPr>
          <w:i/>
          <w:iCs/>
        </w:rPr>
        <w:t xml:space="preserve">BMC Health Services Research. </w:t>
      </w:r>
      <w:r w:rsidRPr="00124A2B">
        <w:t xml:space="preserve">DOI:10.1186/s12913-023-09198-w </w:t>
      </w:r>
    </w:p>
  </w:footnote>
  <w:footnote w:id="12">
    <w:p w:rsidR="005931BE" w:rsidRPr="00124A2B" w:rsidP="00495CA0">
      <w:pPr>
        <w:pStyle w:val="FootnoteText"/>
        <w:spacing w:after="120"/>
      </w:pPr>
      <w:r w:rsidRPr="00124A2B">
        <w:rPr>
          <w:rStyle w:val="FootnoteReference"/>
        </w:rPr>
        <w:footnoteRef/>
      </w:r>
      <w:r w:rsidRPr="00124A2B">
        <w:t xml:space="preserve"> Dutton et al. (2024) How can we improve mental health crisis services for young people? </w:t>
      </w:r>
      <w:r w:rsidRPr="00124A2B">
        <w:rPr>
          <w:i/>
          <w:iCs/>
        </w:rPr>
        <w:t>Discover Health Systems</w:t>
      </w:r>
      <w:r w:rsidRPr="00124A2B">
        <w:t>. DOI: 10.1007/s44250-024-00072-y</w:t>
      </w:r>
    </w:p>
  </w:footnote>
  <w:footnote w:id="13">
    <w:p w:rsidR="005931BE" w:rsidRPr="00124A2B" w:rsidP="00495CA0">
      <w:pPr>
        <w:pStyle w:val="FootnoteText"/>
        <w:spacing w:after="120"/>
      </w:pPr>
      <w:r w:rsidRPr="00124A2B">
        <w:rPr>
          <w:rStyle w:val="FootnoteReference"/>
        </w:rPr>
        <w:footnoteRef/>
      </w:r>
      <w:r w:rsidRPr="00124A2B">
        <w:t xml:space="preserve"> Banwell et al. (2023). Child and adolescent mental health services in a devolved healthcare system. </w:t>
      </w:r>
      <w:r w:rsidRPr="00124A2B">
        <w:rPr>
          <w:i/>
          <w:iCs/>
        </w:rPr>
        <w:t>Health Research Policy and Systems</w:t>
      </w:r>
      <w:r w:rsidRPr="00124A2B">
        <w:t xml:space="preserve">. DOI:10.1186/s12961-023-00970-2 </w:t>
      </w:r>
    </w:p>
    <w:p w:rsidR="005931BE" w:rsidRPr="00124A2B">
      <w:pPr>
        <w:pStyle w:val="FootnoteText"/>
      </w:pPr>
    </w:p>
  </w:footnote>
  <w:footnote w:id="14">
    <w:p w:rsidR="005931BE" w:rsidRPr="00124A2B" w:rsidP="00203FBE">
      <w:pPr>
        <w:pStyle w:val="FootnoteText"/>
        <w:spacing w:after="120"/>
      </w:pPr>
      <w:r w:rsidRPr="00124A2B">
        <w:rPr>
          <w:rStyle w:val="FootnoteReference"/>
        </w:rPr>
        <w:footnoteRef/>
      </w:r>
      <w:r w:rsidRPr="00124A2B">
        <w:t xml:space="preserve"> Banwell et al. (2021). Delivering and implementing child and adolescent mental health training for mental health and allied professionals: A systematic review and qualitative meta-aggregation. </w:t>
      </w:r>
      <w:r w:rsidRPr="00124A2B">
        <w:rPr>
          <w:i/>
          <w:iCs/>
        </w:rPr>
        <w:t>BMC Medical Education.</w:t>
      </w:r>
      <w:r w:rsidRPr="00124A2B">
        <w:t xml:space="preserve"> DOI:10.1186/s12909-021-02530-0 </w:t>
      </w:r>
    </w:p>
  </w:footnote>
  <w:footnote w:id="15">
    <w:p w:rsidR="005931BE" w:rsidRPr="00124A2B" w:rsidP="00203FBE">
      <w:pPr>
        <w:pStyle w:val="FootnoteText"/>
        <w:spacing w:after="120"/>
      </w:pPr>
      <w:r w:rsidRPr="00124A2B">
        <w:rPr>
          <w:rStyle w:val="FootnoteReference"/>
        </w:rPr>
        <w:footnoteRef/>
      </w:r>
      <w:r w:rsidRPr="00124A2B">
        <w:t xml:space="preserve"> Banwell, E., Qualter, P., &amp; Humphrey, N. (2023). Barriers and facilitators to training delivery and subsequent implementation of a localised child and adolescent mental health initiative. </w:t>
      </w:r>
      <w:r w:rsidRPr="00124A2B">
        <w:rPr>
          <w:i/>
          <w:iCs/>
        </w:rPr>
        <w:t>BMC Medical Education.</w:t>
      </w:r>
      <w:r w:rsidRPr="00124A2B">
        <w:t xml:space="preserve"> DOI:10.1186/s12909-023-04238-9</w:t>
      </w:r>
    </w:p>
  </w:footnote>
  <w:footnote w:id="16">
    <w:p w:rsidR="005931BE" w:rsidRPr="00124A2B" w:rsidP="00203FBE">
      <w:pPr>
        <w:pStyle w:val="FootnoteText"/>
        <w:spacing w:after="120"/>
      </w:pPr>
      <w:r w:rsidRPr="00124A2B">
        <w:rPr>
          <w:rStyle w:val="FootnoteReference"/>
        </w:rPr>
        <w:footnoteRef/>
      </w:r>
      <w:r w:rsidRPr="00124A2B">
        <w:t xml:space="preserve"> Pierce et al. (2025). Understanding drivers of recent trends in young people’s mental health. </w:t>
      </w:r>
      <w:r w:rsidRPr="00124A2B">
        <w:rPr>
          <w:i/>
          <w:iCs/>
        </w:rPr>
        <w:t>Youth Futures Foundation.</w:t>
      </w:r>
      <w:r w:rsidRPr="00124A2B">
        <w:t xml:space="preserve"> </w:t>
      </w:r>
      <w:r>
        <w:fldChar w:fldCharType="begin"/>
      </w:r>
      <w:r>
        <w:instrText xml:space="preserve"> HYPERLINK "https://youthfuturesfoundation.org/wp-content/uploads/2025/07/Understanding-drivers-of-recent-trends-in-young-peoples-mental-health-July-2025-final.pdf" </w:instrText>
      </w:r>
      <w:r>
        <w:fldChar w:fldCharType="separate"/>
      </w:r>
      <w:r w:rsidRPr="00124A2B">
        <w:rPr>
          <w:rStyle w:val="Hyperlink"/>
        </w:rPr>
        <w:t>https://youthfuturesfoundation.org/wp-content/uploads/2025/07/Understanding-drivers-of-recent-trends-in-young-peoples-mental-health-July-2025-final.pdf</w:t>
      </w:r>
      <w:r>
        <w:fldChar w:fldCharType="end"/>
      </w:r>
      <w:r w:rsidRPr="00124A2B">
        <w:t xml:space="preserve"> </w:t>
      </w:r>
    </w:p>
  </w:footnote>
  <w:footnote w:id="17">
    <w:p w:rsidR="005931BE" w:rsidRPr="00124A2B">
      <w:pPr>
        <w:pStyle w:val="FootnoteText"/>
      </w:pPr>
      <w:r w:rsidRPr="00124A2B">
        <w:rPr>
          <w:rStyle w:val="FootnoteReference"/>
        </w:rPr>
        <w:footnoteRef/>
      </w:r>
      <w:r w:rsidRPr="00124A2B">
        <w:t xml:space="preserve"> Hanley et al.(2021). A theory of change for online therapy and support services for children and young people. </w:t>
      </w:r>
      <w:r w:rsidRPr="00124A2B">
        <w:rPr>
          <w:i/>
          <w:iCs/>
        </w:rPr>
        <w:t>JMIR Pediatrics and Parenting</w:t>
      </w:r>
      <w:r w:rsidRPr="00124A2B">
        <w:t>. DOI:10/gjg5hw</w:t>
      </w:r>
    </w:p>
  </w:footnote>
  <w:footnote w:id="18">
    <w:p w:rsidR="005931BE" w:rsidRPr="00124A2B">
      <w:pPr>
        <w:pStyle w:val="FootnoteText"/>
      </w:pPr>
      <w:r w:rsidRPr="00124A2B">
        <w:rPr>
          <w:rStyle w:val="FootnoteReference"/>
        </w:rPr>
        <w:footnoteRef/>
      </w:r>
      <w:r w:rsidRPr="00124A2B">
        <w:t xml:space="preserve"> Cheng &amp; Humphrey (2025). Preliminary evaluation of a targeted, school-based social and emotional earning intervention for at risk youth: Football Beyond Borders. </w:t>
      </w:r>
      <w:r w:rsidRPr="00124A2B">
        <w:rPr>
          <w:i/>
          <w:iCs/>
        </w:rPr>
        <w:t>Evaluation Review.</w:t>
      </w:r>
      <w:r w:rsidRPr="00124A2B">
        <w:t> DOI:10.1177/0193841X251329459</w:t>
      </w:r>
    </w:p>
  </w:footnote>
  <w:footnote w:id="19">
    <w:p w:rsidR="005931BE" w:rsidRPr="00124A2B">
      <w:pPr>
        <w:pStyle w:val="FootnoteText"/>
      </w:pPr>
      <w:r w:rsidRPr="00124A2B">
        <w:rPr>
          <w:rStyle w:val="FootnoteReference"/>
        </w:rPr>
        <w:footnoteRef/>
      </w:r>
      <w:r w:rsidRPr="00124A2B">
        <w:t xml:space="preserve"> Banwell et al. (2022). The helpfulness of web-based mental health and well-being forums for providing peer support for young people. </w:t>
      </w:r>
      <w:r w:rsidRPr="00124A2B">
        <w:rPr>
          <w:i/>
          <w:iCs/>
        </w:rPr>
        <w:t xml:space="preserve">JMIR Formative Research. </w:t>
      </w:r>
      <w:r w:rsidRPr="00124A2B">
        <w:t>DOI:10.2196/36432</w:t>
      </w:r>
    </w:p>
  </w:footnote>
  <w:footnote w:id="20">
    <w:p w:rsidR="005931BE" w:rsidRPr="00124A2B">
      <w:pPr>
        <w:pStyle w:val="FootnoteText"/>
      </w:pPr>
      <w:r w:rsidRPr="00124A2B">
        <w:rPr>
          <w:rStyle w:val="FootnoteReference"/>
        </w:rPr>
        <w:footnoteRef/>
      </w:r>
      <w:r w:rsidRPr="00124A2B">
        <w:t xml:space="preserve"> Hanley &amp; Wyatt (2021). A systematic review of higher education students’ experiences of engaging with online therapy. </w:t>
      </w:r>
      <w:r w:rsidRPr="00124A2B">
        <w:rPr>
          <w:i/>
          <w:iCs/>
        </w:rPr>
        <w:t xml:space="preserve">Counselling and Psychotherapy Research. </w:t>
      </w:r>
      <w:r w:rsidRPr="00124A2B">
        <w:t>DOI:10/gk87g3</w:t>
      </w:r>
    </w:p>
  </w:footnote>
  <w:footnote w:id="21">
    <w:p w:rsidR="005931BE" w:rsidRPr="00124A2B">
      <w:pPr>
        <w:pStyle w:val="FootnoteText"/>
      </w:pPr>
      <w:r w:rsidRPr="00124A2B">
        <w:rPr>
          <w:rStyle w:val="FootnoteReference"/>
        </w:rPr>
        <w:footnoteRef/>
      </w:r>
      <w:r w:rsidRPr="00124A2B">
        <w:t xml:space="preserve"> Banwell et al. (2026). The session wants and needs outcome measure for adolescent Web-based therapeutic support: Examining the use of personalised free-text responses. </w:t>
      </w:r>
      <w:r w:rsidRPr="00124A2B">
        <w:rPr>
          <w:i/>
          <w:iCs/>
        </w:rPr>
        <w:t>Mental Health and Digital Technologies.</w:t>
      </w:r>
      <w:r w:rsidRPr="00124A2B">
        <w:t xml:space="preserve"> DOI:10.1108/MHDT-05-2025-0030</w:t>
      </w:r>
    </w:p>
  </w:footnote>
  <w:footnote w:id="22">
    <w:p w:rsidR="005931BE" w:rsidRPr="00124A2B">
      <w:pPr>
        <w:pStyle w:val="FootnoteText"/>
      </w:pPr>
      <w:r w:rsidRPr="00124A2B">
        <w:rPr>
          <w:rStyle w:val="FootnoteReference"/>
        </w:rPr>
        <w:footnoteRef/>
      </w:r>
      <w:r w:rsidRPr="00124A2B">
        <w:t xml:space="preserve"> Hanley et al. (2019). A systematic review exploring how young people use online forums for support around mental health issues. </w:t>
      </w:r>
      <w:r w:rsidRPr="00124A2B">
        <w:rPr>
          <w:i/>
          <w:iCs/>
        </w:rPr>
        <w:t>Journal of Mental Health.</w:t>
      </w:r>
      <w:r w:rsidRPr="00124A2B">
        <w:t xml:space="preserve"> DOI:10.1080/09638237.2019.1630725</w:t>
      </w:r>
    </w:p>
  </w:footnote>
  <w:footnote w:id="23">
    <w:p w:rsidR="005931BE" w:rsidRPr="00124A2B">
      <w:pPr>
        <w:pStyle w:val="FootnoteText"/>
      </w:pPr>
      <w:r w:rsidRPr="00124A2B">
        <w:rPr>
          <w:rStyle w:val="FootnoteReference"/>
        </w:rPr>
        <w:footnoteRef/>
      </w:r>
      <w:r w:rsidRPr="00124A2B">
        <w:t xml:space="preserve"> Hanley (2025). Artificial intelligence and the changing landscape of therapy. </w:t>
      </w:r>
      <w:r w:rsidRPr="00124A2B">
        <w:rPr>
          <w:i/>
          <w:iCs/>
        </w:rPr>
        <w:t>Counselling and Psychotherapy Research.</w:t>
      </w:r>
      <w:r w:rsidRPr="00124A2B">
        <w:t xml:space="preserve"> DOI:10.1002/capr.70056</w:t>
      </w:r>
    </w:p>
  </w:footnote>
  <w:footnote w:id="24">
    <w:p w:rsidR="005931BE">
      <w:pPr>
        <w:pStyle w:val="FootnoteText"/>
      </w:pPr>
      <w:r w:rsidRPr="00124A2B">
        <w:rPr>
          <w:rStyle w:val="FootnoteReference"/>
        </w:rPr>
        <w:footnoteRef/>
      </w:r>
      <w:r w:rsidRPr="00124A2B">
        <w:t xml:space="preserve"> Hanley &amp; Winter (2026). </w:t>
      </w:r>
      <w:r w:rsidRPr="00124A2B">
        <w:rPr>
          <w:i/>
          <w:iCs/>
        </w:rPr>
        <w:t>Key topics in counselling psychology.</w:t>
      </w:r>
      <w:r w:rsidRPr="00124A2B">
        <w:t xml:space="preserve"> Routledge and The British Psychological Society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8F5CEF"/>
    <w:multiLevelType w:val="hybridMultilevel"/>
    <w:tmpl w:val="43242B9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75B2454"/>
    <w:multiLevelType w:val="hybridMultilevel"/>
    <w:tmpl w:val="C108C2F2"/>
    <w:lvl w:ilvl="0">
      <w:start w:val="1"/>
      <w:numFmt w:val="bullet"/>
      <w:lvlText w:val="·"/>
      <w:lvlJc w:val="left"/>
      <w:pPr>
        <w:ind w:left="720" w:hanging="360"/>
      </w:pPr>
      <w:rPr>
        <w:rFonts w:ascii="Arial, sans-serif" w:hAnsi="Arial, sans-serif"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D752E08"/>
    <w:multiLevelType w:val="multilevel"/>
    <w:tmpl w:val="437A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81E24BC"/>
    <w:multiLevelType w:val="hybridMultilevel"/>
    <w:tmpl w:val="4066FD68"/>
    <w:lvl w:ilvl="0">
      <w:start w:val="1"/>
      <w:numFmt w:val="decimal"/>
      <w:lvlText w:val="%1."/>
      <w:lvlJc w:val="left"/>
      <w:pPr>
        <w:ind w:left="360" w:hanging="360"/>
      </w:pPr>
      <w:rPr>
        <w:b w:val="0"/>
        <w:bCs w:val="0"/>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C282D49"/>
    <w:multiLevelType w:val="multilevel"/>
    <w:tmpl w:val="08CCD0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79CE25B7"/>
    <w:multiLevelType w:val="multilevel"/>
    <w:tmpl w:val="3A680F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453E"/>
  </w:style>
  <w:style w:type="paragraph" w:styleId="Heading1">
    <w:name w:val="heading 1"/>
    <w:basedOn w:val="Normal"/>
    <w:next w:val="Normal"/>
    <w:link w:val="Heading1Char"/>
    <w:uiPriority w:val="9"/>
    <w:qFormat/>
    <w:rsid w:val="002545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45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45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5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45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45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5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5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5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5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5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5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5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5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5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5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53E"/>
    <w:rPr>
      <w:rFonts w:eastAsiaTheme="majorEastAsia" w:cstheme="majorBidi"/>
      <w:color w:val="272727" w:themeColor="text1" w:themeTint="D8"/>
    </w:rPr>
  </w:style>
  <w:style w:type="paragraph" w:styleId="Title">
    <w:name w:val="Title"/>
    <w:basedOn w:val="Normal"/>
    <w:next w:val="Normal"/>
    <w:link w:val="TitleChar"/>
    <w:uiPriority w:val="10"/>
    <w:qFormat/>
    <w:rsid w:val="002545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5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5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5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5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453E"/>
    <w:rPr>
      <w:i/>
      <w:iCs/>
      <w:color w:val="404040" w:themeColor="text1" w:themeTint="BF"/>
    </w:rPr>
  </w:style>
  <w:style w:type="paragraph" w:styleId="ListParagraph">
    <w:name w:val="List Paragraph"/>
    <w:basedOn w:val="Normal"/>
    <w:uiPriority w:val="34"/>
    <w:qFormat/>
    <w:rsid w:val="0025453E"/>
    <w:pPr>
      <w:ind w:left="720"/>
      <w:contextualSpacing/>
    </w:pPr>
  </w:style>
  <w:style w:type="character" w:styleId="IntenseEmphasis">
    <w:name w:val="Intense Emphasis"/>
    <w:basedOn w:val="DefaultParagraphFont"/>
    <w:uiPriority w:val="21"/>
    <w:qFormat/>
    <w:rsid w:val="0025453E"/>
    <w:rPr>
      <w:i/>
      <w:iCs/>
      <w:color w:val="0F4761" w:themeColor="accent1" w:themeShade="BF"/>
    </w:rPr>
  </w:style>
  <w:style w:type="paragraph" w:styleId="IntenseQuote">
    <w:name w:val="Intense Quote"/>
    <w:basedOn w:val="Normal"/>
    <w:next w:val="Normal"/>
    <w:link w:val="IntenseQuoteChar"/>
    <w:uiPriority w:val="30"/>
    <w:qFormat/>
    <w:rsid w:val="002545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53E"/>
    <w:rPr>
      <w:i/>
      <w:iCs/>
      <w:color w:val="0F4761" w:themeColor="accent1" w:themeShade="BF"/>
    </w:rPr>
  </w:style>
  <w:style w:type="character" w:styleId="IntenseReference">
    <w:name w:val="Intense Reference"/>
    <w:basedOn w:val="DefaultParagraphFont"/>
    <w:uiPriority w:val="32"/>
    <w:qFormat/>
    <w:rsid w:val="0025453E"/>
    <w:rPr>
      <w:b/>
      <w:bCs/>
      <w:smallCaps/>
      <w:color w:val="0F4761" w:themeColor="accent1" w:themeShade="BF"/>
      <w:spacing w:val="5"/>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F373F1"/>
    <w:rPr>
      <w:color w:val="467886" w:themeColor="hyperlink"/>
      <w:u w:val="single"/>
    </w:rPr>
  </w:style>
  <w:style w:type="character" w:customStyle="1" w:styleId="UnresolvedMention1">
    <w:name w:val="Unresolved Mention1"/>
    <w:basedOn w:val="DefaultParagraphFont"/>
    <w:uiPriority w:val="99"/>
    <w:semiHidden/>
    <w:unhideWhenUsed/>
    <w:rsid w:val="007524AF"/>
    <w:rPr>
      <w:color w:val="605E5C"/>
      <w:shd w:val="clear" w:color="auto" w:fill="E1DFDD"/>
    </w:rPr>
  </w:style>
  <w:style w:type="paragraph" w:styleId="Revision">
    <w:name w:val="Revision"/>
    <w:hidden/>
    <w:uiPriority w:val="99"/>
    <w:semiHidden/>
    <w:rsid w:val="00EE0BEA"/>
  </w:style>
  <w:style w:type="paragraph" w:styleId="Bibliography">
    <w:name w:val="Bibliography"/>
    <w:basedOn w:val="Normal"/>
    <w:next w:val="Normal"/>
    <w:uiPriority w:val="37"/>
    <w:semiHidden/>
    <w:unhideWhenUsed/>
    <w:rsid w:val="00680ED1"/>
  </w:style>
  <w:style w:type="paragraph" w:styleId="FootnoteText">
    <w:name w:val="footnote text"/>
    <w:basedOn w:val="Normal"/>
    <w:link w:val="FootnoteTextChar"/>
    <w:uiPriority w:val="99"/>
    <w:semiHidden/>
    <w:unhideWhenUsed/>
    <w:rsid w:val="00F1138E"/>
    <w:rPr>
      <w:sz w:val="20"/>
      <w:szCs w:val="20"/>
    </w:rPr>
  </w:style>
  <w:style w:type="character" w:customStyle="1" w:styleId="FootnoteTextChar">
    <w:name w:val="Footnote Text Char"/>
    <w:basedOn w:val="DefaultParagraphFont"/>
    <w:link w:val="FootnoteText"/>
    <w:uiPriority w:val="99"/>
    <w:semiHidden/>
    <w:rsid w:val="00F1138E"/>
    <w:rPr>
      <w:sz w:val="20"/>
      <w:szCs w:val="20"/>
    </w:rPr>
  </w:style>
  <w:style w:type="character" w:styleId="FootnoteReference">
    <w:name w:val="footnote reference"/>
    <w:basedOn w:val="DefaultParagraphFont"/>
    <w:uiPriority w:val="99"/>
    <w:semiHidden/>
    <w:unhideWhenUsed/>
    <w:rsid w:val="00F1138E"/>
    <w:rPr>
      <w:vertAlign w:val="superscript"/>
    </w:rPr>
  </w:style>
  <w:style w:type="paragraph" w:styleId="CommentSubject">
    <w:name w:val="annotation subject"/>
    <w:basedOn w:val="CommentText"/>
    <w:next w:val="CommentText"/>
    <w:link w:val="CommentSubjectChar"/>
    <w:uiPriority w:val="99"/>
    <w:semiHidden/>
    <w:unhideWhenUsed/>
    <w:rsid w:val="00881ECD"/>
    <w:rPr>
      <w:b/>
      <w:bCs/>
    </w:rPr>
  </w:style>
  <w:style w:type="character" w:customStyle="1" w:styleId="CommentSubjectChar">
    <w:name w:val="Comment Subject Char"/>
    <w:basedOn w:val="CommentTextChar"/>
    <w:link w:val="CommentSubject"/>
    <w:uiPriority w:val="99"/>
    <w:semiHidden/>
    <w:rsid w:val="00881ECD"/>
    <w:rPr>
      <w:b/>
      <w:bCs/>
      <w:sz w:val="20"/>
      <w:szCs w:val="20"/>
    </w:rPr>
  </w:style>
  <w:style w:type="paragraph" w:styleId="Header">
    <w:name w:val="header"/>
    <w:basedOn w:val="Normal"/>
    <w:link w:val="HeaderChar"/>
    <w:uiPriority w:val="99"/>
    <w:unhideWhenUsed/>
    <w:rsid w:val="001A4A5C"/>
    <w:pPr>
      <w:tabs>
        <w:tab w:val="center" w:pos="4513"/>
        <w:tab w:val="right" w:pos="9026"/>
      </w:tabs>
    </w:pPr>
  </w:style>
  <w:style w:type="character" w:customStyle="1" w:styleId="HeaderChar">
    <w:name w:val="Header Char"/>
    <w:basedOn w:val="DefaultParagraphFont"/>
    <w:link w:val="Header"/>
    <w:uiPriority w:val="99"/>
    <w:rsid w:val="001A4A5C"/>
  </w:style>
  <w:style w:type="paragraph" w:styleId="Footer">
    <w:name w:val="footer"/>
    <w:basedOn w:val="Normal"/>
    <w:link w:val="FooterChar"/>
    <w:uiPriority w:val="99"/>
    <w:unhideWhenUsed/>
    <w:rsid w:val="001A4A5C"/>
    <w:pPr>
      <w:tabs>
        <w:tab w:val="center" w:pos="4513"/>
        <w:tab w:val="right" w:pos="9026"/>
      </w:tabs>
    </w:pPr>
  </w:style>
  <w:style w:type="character" w:customStyle="1" w:styleId="FooterChar">
    <w:name w:val="Footer Char"/>
    <w:basedOn w:val="DefaultParagraphFont"/>
    <w:link w:val="Footer"/>
    <w:uiPriority w:val="99"/>
    <w:rsid w:val="001A4A5C"/>
  </w:style>
  <w:style w:type="character" w:customStyle="1" w:styleId="Mention1">
    <w:name w:val="Mention1"/>
    <w:basedOn w:val="DefaultParagraphFont"/>
    <w:uiPriority w:val="99"/>
    <w:unhideWhenUsed/>
    <w:rsid w:val="00D338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477D-F602-44C9-A78C-863BE53ACF57}">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CYM0148</dc:title>
  <cp:revision>0</cp:revision>
</cp:coreProperties>
</file>