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274E0" w:rsidRPr="002C55F8" w:rsidP="002C55F8">
      <w:pPr>
        <w:jc w:val="center"/>
        <w:rPr>
          <w:rFonts w:ascii="Arial Nova Light" w:eastAsia="Arial Nova Light" w:hAnsi="Arial Nova Light" w:cs="Arial Nova Light"/>
        </w:rPr>
      </w:pPr>
    </w:p>
    <w:p w:rsidR="002C55F8" w:rsidRPr="002837C5" w:rsidP="002C55F8">
      <w:pPr>
        <w:jc w:val="center"/>
        <w:rPr>
          <w:rFonts w:ascii="Arial Nova Light" w:eastAsia="Arial Nova Light" w:hAnsi="Arial Nova Light" w:cs="Arial Nova Light"/>
          <w:b/>
          <w:bCs/>
        </w:rPr>
      </w:pPr>
      <w:r w:rsidRPr="002837C5">
        <w:rPr>
          <w:rFonts w:ascii="Arial Nova Light" w:eastAsia="Arial Nova Light" w:hAnsi="Arial Nova Light" w:cs="Arial Nova Light"/>
          <w:b/>
          <w:bCs/>
        </w:rPr>
        <w:t>Written evidence submitted by the Chemical Industries Association (CIA) (REM0029)</w:t>
      </w:r>
    </w:p>
    <w:p w:rsidR="00F274E0" w:rsidRPr="002C55F8" w:rsidP="0726A232">
      <w:pPr>
        <w:rPr>
          <w:rFonts w:ascii="Arial" w:eastAsia="Arial" w:hAnsi="Arial" w:cs="Arial"/>
          <w:sz w:val="26"/>
          <w:szCs w:val="26"/>
        </w:rPr>
      </w:pPr>
      <w:r w:rsidRPr="002C55F8">
        <w:rPr>
          <w:rFonts w:ascii="Arial" w:eastAsia="Arial" w:hAnsi="Arial" w:cs="Arial"/>
          <w:sz w:val="26"/>
          <w:szCs w:val="26"/>
        </w:rPr>
        <w:t>CIA Response to call for evidence on Progressive v’s wholesale reform</w:t>
      </w:r>
    </w:p>
    <w:p w:rsidR="00F274E0" w:rsidP="0726A232">
      <w:pPr>
        <w:spacing w:line="360" w:lineRule="auto"/>
        <w:rPr>
          <w:rFonts w:ascii="Arial Nova Light" w:eastAsia="Arial Nova Light" w:hAnsi="Arial Nova Light" w:cs="Arial Nova Light"/>
        </w:rPr>
      </w:pPr>
      <w:r w:rsidRPr="00F50407">
        <w:rPr>
          <w:rFonts w:ascii="Arial Nova Light" w:eastAsia="Arial Nova Light" w:hAnsi="Arial Nova Light" w:cs="Arial Nova Light"/>
        </w:rPr>
        <w:t>The Chemical Industries Association (CIA) represents the UK chemical industry, advocating for policies that support growth, innovation and competitiveness. As the UK’s largest manufacturing exporter with annual exports exceeding £54 billion and a workforce of over 151,000 people, supporting more than 500,000 jobs nationwide, chemical businesses are at the heart of the nation’s economic, environmental and social ambitions. The wider UK chemical industry generates £65.5 billion in turnover, contributes £21.8 billion GVA, and underpins essential supply chains across the economy, making it one of the country’s most critical industrial sectors</w:t>
      </w:r>
      <w:r>
        <w:rPr>
          <w:rFonts w:ascii="Arial Nova Light" w:eastAsia="Arial Nova Light" w:hAnsi="Arial Nova Light" w:cs="Arial Nova Light"/>
        </w:rPr>
        <w:t>.</w:t>
      </w:r>
      <w:r w:rsidRPr="0726A232">
        <w:rPr>
          <w:rFonts w:ascii="Arial Nova Light" w:eastAsia="Arial Nova Light" w:hAnsi="Arial Nova Light" w:cs="Arial Nova Light"/>
        </w:rPr>
        <w:t xml:space="preserve"> </w:t>
      </w:r>
    </w:p>
    <w:p w:rsidR="00F274E0" w:rsidRPr="002C55F8" w:rsidP="00142239">
      <w:pPr>
        <w:rPr>
          <w:rFonts w:ascii="Calibri Light" w:hAnsi="Calibri Light" w:cs="Calibri Light"/>
          <w:sz w:val="26"/>
          <w:szCs w:val="26"/>
        </w:rPr>
      </w:pPr>
      <w:r w:rsidRPr="002C55F8">
        <w:rPr>
          <w:rFonts w:ascii="Arial" w:eastAsia="Arial" w:hAnsi="Arial" w:cs="Arial"/>
          <w:sz w:val="26"/>
          <w:szCs w:val="26"/>
        </w:rPr>
        <w:t>Reformed National Pricing</w:t>
      </w:r>
      <w:r w:rsidRPr="002C55F8">
        <w:rPr>
          <w:rFonts w:ascii="Calibri Light" w:hAnsi="Calibri Light" w:cs="Calibri Light"/>
          <w:sz w:val="26"/>
          <w:szCs w:val="26"/>
        </w:rPr>
        <w:t xml:space="preserve"> </w:t>
      </w:r>
    </w:p>
    <w:p w:rsidR="00F274E0" w:rsidRPr="006C0C54" w:rsidP="000034A1">
      <w:pPr>
        <w:spacing w:before="100" w:beforeAutospacing="1" w:after="100" w:afterAutospacing="1"/>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We understand that the decision to retain a national wholesale price reflects legitimate concerns regarding:</w:t>
      </w:r>
    </w:p>
    <w:p w:rsidR="00F274E0" w:rsidRPr="006C0C54" w:rsidP="000034A1">
      <w:pPr>
        <w:numPr>
          <w:ilvl w:val="0"/>
          <w:numId w:val="2"/>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Investor confidence</w:t>
      </w:r>
    </w:p>
    <w:p w:rsidR="00F274E0" w:rsidRPr="006C0C54" w:rsidP="000034A1">
      <w:pPr>
        <w:numPr>
          <w:ilvl w:val="0"/>
          <w:numId w:val="2"/>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Financing costs for low-carbon projects</w:t>
      </w:r>
    </w:p>
    <w:p w:rsidR="00F274E0" w:rsidRPr="006C0C54" w:rsidP="000034A1">
      <w:pPr>
        <w:numPr>
          <w:ilvl w:val="0"/>
          <w:numId w:val="2"/>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Complexity of implementation</w:t>
      </w:r>
    </w:p>
    <w:p w:rsidR="00F274E0" w:rsidRPr="006C0C54" w:rsidP="000034A1">
      <w:pPr>
        <w:numPr>
          <w:ilvl w:val="0"/>
          <w:numId w:val="2"/>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Consumer protection</w:t>
      </w:r>
    </w:p>
    <w:p w:rsidR="00F274E0" w:rsidRPr="006C0C54" w:rsidP="000034A1">
      <w:pPr>
        <w:numPr>
          <w:ilvl w:val="0"/>
          <w:numId w:val="2"/>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Regional economic disparities</w:t>
      </w:r>
    </w:p>
    <w:p w:rsidR="00F274E0" w:rsidRPr="006C0C54" w:rsidP="000034A1">
      <w:pPr>
        <w:spacing w:before="100" w:beforeAutospacing="1" w:after="100" w:afterAutospacing="1"/>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 xml:space="preserve">It was therefore argued that a </w:t>
      </w:r>
      <w:r>
        <w:rPr>
          <w:rFonts w:ascii="Arial Nova" w:eastAsia="Times New Roman" w:hAnsi="Arial Nova" w:cs="Arial"/>
          <w:color w:val="4D4D4D"/>
          <w:kern w:val="0"/>
          <w:lang w:eastAsia="en-GB"/>
        </w:rPr>
        <w:t>R</w:t>
      </w:r>
      <w:r w:rsidRPr="006C0C54">
        <w:rPr>
          <w:rFonts w:ascii="Arial Nova" w:eastAsia="Times New Roman" w:hAnsi="Arial Nova" w:cs="Arial"/>
          <w:color w:val="4D4D4D"/>
          <w:kern w:val="0"/>
          <w:lang w:eastAsia="en-GB"/>
        </w:rPr>
        <w:t xml:space="preserve">eformed </w:t>
      </w:r>
      <w:r>
        <w:rPr>
          <w:rFonts w:ascii="Arial Nova" w:eastAsia="Times New Roman" w:hAnsi="Arial Nova" w:cs="Arial"/>
          <w:color w:val="4D4D4D"/>
          <w:kern w:val="0"/>
          <w:lang w:eastAsia="en-GB"/>
        </w:rPr>
        <w:t>N</w:t>
      </w:r>
      <w:r w:rsidRPr="006C0C54">
        <w:rPr>
          <w:rFonts w:ascii="Arial Nova" w:eastAsia="Times New Roman" w:hAnsi="Arial Nova" w:cs="Arial"/>
          <w:color w:val="4D4D4D"/>
          <w:kern w:val="0"/>
          <w:lang w:eastAsia="en-GB"/>
        </w:rPr>
        <w:t xml:space="preserve">ational </w:t>
      </w:r>
      <w:r>
        <w:rPr>
          <w:rFonts w:ascii="Arial Nova" w:eastAsia="Times New Roman" w:hAnsi="Arial Nova" w:cs="Arial"/>
          <w:color w:val="4D4D4D"/>
          <w:kern w:val="0"/>
          <w:lang w:eastAsia="en-GB"/>
        </w:rPr>
        <w:t>P</w:t>
      </w:r>
      <w:r w:rsidRPr="006C0C54">
        <w:rPr>
          <w:rFonts w:ascii="Arial Nova" w:eastAsia="Times New Roman" w:hAnsi="Arial Nova" w:cs="Arial"/>
          <w:color w:val="4D4D4D"/>
          <w:kern w:val="0"/>
          <w:lang w:eastAsia="en-GB"/>
        </w:rPr>
        <w:t>ricing framework could deliver improved efficiency without such disruptive effects</w:t>
      </w:r>
      <w:r>
        <w:rPr>
          <w:rFonts w:ascii="Arial Nova" w:eastAsia="Times New Roman" w:hAnsi="Arial Nova" w:cs="Arial"/>
          <w:color w:val="4D4D4D"/>
          <w:kern w:val="0"/>
          <w:lang w:eastAsia="en-GB"/>
        </w:rPr>
        <w:t>; our understanding is that the proposed RNP measures include</w:t>
      </w:r>
      <w:r w:rsidRPr="006C0C54">
        <w:rPr>
          <w:rFonts w:ascii="Arial Nova" w:eastAsia="Times New Roman" w:hAnsi="Arial Nova" w:cs="Arial"/>
          <w:color w:val="4D4D4D"/>
          <w:kern w:val="0"/>
          <w:lang w:eastAsia="en-GB"/>
        </w:rPr>
        <w:t>:</w:t>
      </w:r>
    </w:p>
    <w:p w:rsidR="00F274E0" w:rsidRPr="006C0C54" w:rsidP="000034A1">
      <w:pPr>
        <w:spacing w:before="100" w:beforeAutospacing="1" w:after="100" w:afterAutospacing="1"/>
        <w:rPr>
          <w:rFonts w:ascii="Arial Nova" w:eastAsia="Times New Roman" w:hAnsi="Arial Nova" w:cs="Arial"/>
          <w:color w:val="4D4D4D"/>
          <w:kern w:val="0"/>
          <w:u w:val="single"/>
          <w:lang w:eastAsia="en-GB"/>
        </w:rPr>
      </w:pPr>
      <w:r w:rsidRPr="006C0C54">
        <w:rPr>
          <w:rFonts w:ascii="Arial Nova" w:eastAsia="Times New Roman" w:hAnsi="Arial Nova" w:cs="Arial"/>
          <w:color w:val="4D4D4D"/>
          <w:kern w:val="0"/>
          <w:u w:val="single"/>
          <w:lang w:eastAsia="en-GB"/>
        </w:rPr>
        <w:t>Strategic Spatial Energy Plan (SSEP)</w:t>
      </w:r>
    </w:p>
    <w:p w:rsidR="00F274E0" w:rsidRPr="006C0C54" w:rsidP="000034A1">
      <w:pPr>
        <w:numPr>
          <w:ilvl w:val="0"/>
          <w:numId w:val="3"/>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Map where generation, storage, networks and hydrogen should be built</w:t>
      </w:r>
    </w:p>
    <w:p w:rsidR="00F274E0" w:rsidRPr="006C0C54" w:rsidP="000034A1">
      <w:pPr>
        <w:numPr>
          <w:ilvl w:val="0"/>
          <w:numId w:val="3"/>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Provide a long-term blueprint for the whole energy system</w:t>
      </w:r>
    </w:p>
    <w:p w:rsidR="00F274E0" w:rsidRPr="006C0C54" w:rsidP="000034A1">
      <w:pPr>
        <w:numPr>
          <w:ilvl w:val="0"/>
          <w:numId w:val="3"/>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Guide planning, seabed leasing, grid build, and connections</w:t>
      </w:r>
    </w:p>
    <w:p w:rsidR="00F274E0" w:rsidRPr="006C0C54" w:rsidP="000034A1">
      <w:pPr>
        <w:numPr>
          <w:ilvl w:val="0"/>
          <w:numId w:val="3"/>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Send “stronger locational investment signals” before projects are built</w:t>
      </w:r>
    </w:p>
    <w:p w:rsidR="00F274E0" w:rsidRPr="006C0C54" w:rsidP="000034A1">
      <w:pPr>
        <w:spacing w:before="100" w:beforeAutospacing="1" w:after="100" w:afterAutospacing="1"/>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This suggests that Government now propose centralised ‘planning’ will help solve the fundamental problem that renewables</w:t>
      </w:r>
      <w:r>
        <w:rPr>
          <w:rFonts w:ascii="Arial Nova" w:eastAsia="Times New Roman" w:hAnsi="Arial Nova" w:cs="Arial"/>
          <w:color w:val="4D4D4D"/>
          <w:kern w:val="0"/>
          <w:lang w:eastAsia="en-GB"/>
        </w:rPr>
        <w:t xml:space="preserve"> have, in some cases, been </w:t>
      </w:r>
      <w:r w:rsidRPr="006C0C54">
        <w:rPr>
          <w:rFonts w:ascii="Arial Nova" w:eastAsia="Times New Roman" w:hAnsi="Arial Nova" w:cs="Arial"/>
          <w:color w:val="4D4D4D"/>
          <w:kern w:val="0"/>
          <w:lang w:eastAsia="en-GB"/>
        </w:rPr>
        <w:t>built in the wrong place</w:t>
      </w:r>
      <w:r>
        <w:rPr>
          <w:rFonts w:ascii="Arial Nova" w:eastAsia="Times New Roman" w:hAnsi="Arial Nova" w:cs="Arial"/>
          <w:color w:val="4D4D4D"/>
          <w:kern w:val="0"/>
          <w:lang w:eastAsia="en-GB"/>
        </w:rPr>
        <w:t>s</w:t>
      </w:r>
      <w:r w:rsidRPr="006C0C54">
        <w:rPr>
          <w:rFonts w:ascii="Arial Nova" w:eastAsia="Times New Roman" w:hAnsi="Arial Nova" w:cs="Arial"/>
          <w:color w:val="4D4D4D"/>
          <w:kern w:val="0"/>
          <w:lang w:eastAsia="en-GB"/>
        </w:rPr>
        <w:t xml:space="preserve"> relative to demand and grid capacity.  Whilst Government states the SSEP will “spatially optimise the energy system” across land and sea, it is hard to understand how a central planning process can ‘direct’ future market led investment which, by necessity, takes account of a range of factors to determine locational investment decisions including the cost and availability of land, planning and consenting frameworks, timescales and levels of local resistance, plus the availability of other resources including wind, solar gain, skills and experience etc. </w:t>
      </w:r>
    </w:p>
    <w:p w:rsidR="00F274E0" w:rsidRPr="006C0C54" w:rsidP="000034A1">
      <w:pPr>
        <w:spacing w:before="100" w:beforeAutospacing="1" w:after="100" w:afterAutospacing="1"/>
        <w:outlineLvl w:val="2"/>
        <w:rPr>
          <w:rFonts w:ascii="Arial Nova" w:eastAsia="Times New Roman" w:hAnsi="Arial Nova" w:cs="Arial"/>
          <w:b/>
          <w:bCs/>
          <w:color w:val="000000"/>
          <w:kern w:val="0"/>
          <w:lang w:eastAsia="en-GB"/>
        </w:rPr>
      </w:pPr>
      <w:r w:rsidRPr="006C0C54">
        <w:rPr>
          <w:rFonts w:ascii="Arial Nova" w:eastAsia="Times New Roman" w:hAnsi="Arial Nova" w:cs="Arial"/>
          <w:b/>
          <w:bCs/>
          <w:color w:val="000000"/>
          <w:kern w:val="0"/>
          <w:lang w:eastAsia="en-GB"/>
        </w:rPr>
        <w:t>Reform of TNUoS and connection charges</w:t>
      </w:r>
    </w:p>
    <w:p w:rsidR="00F274E0" w:rsidRPr="006C0C54" w:rsidP="000034A1">
      <w:pPr>
        <w:spacing w:before="100" w:beforeAutospacing="1" w:after="100" w:afterAutospacing="1"/>
        <w:rPr>
          <w:rFonts w:ascii="Arial Nova" w:eastAsia="Times New Roman" w:hAnsi="Arial Nova" w:cs="Arial"/>
          <w:color w:val="000000"/>
          <w:kern w:val="0"/>
          <w:lang w:eastAsia="en-GB"/>
        </w:rPr>
      </w:pPr>
      <w:r w:rsidRPr="006C0C54">
        <w:rPr>
          <w:rFonts w:ascii="Arial Nova" w:eastAsia="Times New Roman" w:hAnsi="Arial Nova" w:cs="Arial"/>
          <w:color w:val="000000"/>
          <w:kern w:val="0"/>
          <w:lang w:eastAsia="en-GB"/>
        </w:rPr>
        <w:t>We understand that reform of these network charges, amongst others, will become the main locational signal instead of wholesale commodity prices that would be derived by locational markets.</w:t>
      </w:r>
    </w:p>
    <w:p w:rsidR="00F274E0" w:rsidRPr="006C0C54" w:rsidP="000034A1">
      <w:pPr>
        <w:spacing w:before="100" w:beforeAutospacing="1" w:after="100" w:afterAutospacing="1"/>
        <w:rPr>
          <w:rFonts w:ascii="Arial Nova" w:eastAsia="Times New Roman" w:hAnsi="Arial Nova" w:cs="Arial"/>
          <w:color w:val="000000"/>
          <w:kern w:val="0"/>
          <w:lang w:eastAsia="en-GB"/>
        </w:rPr>
      </w:pPr>
      <w:r w:rsidRPr="006C0C54">
        <w:rPr>
          <w:rFonts w:ascii="Arial Nova" w:eastAsia="Times New Roman" w:hAnsi="Arial Nova" w:cs="Arial"/>
          <w:color w:val="000000"/>
          <w:kern w:val="0"/>
          <w:lang w:eastAsia="en-GB"/>
        </w:rPr>
        <w:t>Planned objectives include:</w:t>
      </w:r>
    </w:p>
    <w:p w:rsidR="00F274E0" w:rsidRPr="006C0C54" w:rsidP="000034A1">
      <w:pPr>
        <w:numPr>
          <w:ilvl w:val="0"/>
          <w:numId w:val="4"/>
        </w:numPr>
        <w:spacing w:before="100" w:beforeAutospacing="1" w:after="100" w:afterAutospacing="1" w:line="240" w:lineRule="auto"/>
        <w:rPr>
          <w:rFonts w:ascii="Arial Nova" w:eastAsia="Times New Roman" w:hAnsi="Arial Nova" w:cs="Arial"/>
          <w:color w:val="000000"/>
          <w:kern w:val="0"/>
          <w:lang w:eastAsia="en-GB"/>
        </w:rPr>
      </w:pPr>
      <w:r w:rsidRPr="006C0C54">
        <w:rPr>
          <w:rFonts w:ascii="Arial Nova" w:eastAsia="Times New Roman" w:hAnsi="Arial Nova" w:cs="Arial"/>
          <w:color w:val="000000"/>
          <w:kern w:val="0"/>
          <w:lang w:eastAsia="en-GB"/>
        </w:rPr>
        <w:t>Making transmission charges more predictable</w:t>
      </w:r>
    </w:p>
    <w:p w:rsidR="00F274E0" w:rsidRPr="006C0C54" w:rsidP="000034A1">
      <w:pPr>
        <w:numPr>
          <w:ilvl w:val="0"/>
          <w:numId w:val="4"/>
        </w:numPr>
        <w:spacing w:before="100" w:beforeAutospacing="1" w:after="100" w:afterAutospacing="1" w:line="240" w:lineRule="auto"/>
        <w:rPr>
          <w:rFonts w:ascii="Arial Nova" w:eastAsia="Times New Roman" w:hAnsi="Arial Nova" w:cs="Arial"/>
          <w:color w:val="000000"/>
          <w:kern w:val="0"/>
          <w:lang w:eastAsia="en-GB"/>
        </w:rPr>
      </w:pPr>
      <w:r w:rsidRPr="006C0C54">
        <w:rPr>
          <w:rFonts w:ascii="Arial Nova" w:eastAsia="Times New Roman" w:hAnsi="Arial Nova" w:cs="Arial"/>
          <w:color w:val="000000"/>
          <w:kern w:val="0"/>
          <w:lang w:eastAsia="en-GB"/>
        </w:rPr>
        <w:t>Reflecting long-term system costs of siting decisions</w:t>
      </w:r>
    </w:p>
    <w:p w:rsidR="00F274E0" w:rsidRPr="006C0C54" w:rsidP="000034A1">
      <w:pPr>
        <w:numPr>
          <w:ilvl w:val="0"/>
          <w:numId w:val="4"/>
        </w:numPr>
        <w:spacing w:before="100" w:beforeAutospacing="1" w:after="100" w:afterAutospacing="1" w:line="240" w:lineRule="auto"/>
        <w:rPr>
          <w:rFonts w:ascii="Arial Nova" w:eastAsia="Times New Roman" w:hAnsi="Arial Nova" w:cs="Arial"/>
          <w:color w:val="000000"/>
          <w:kern w:val="0"/>
          <w:lang w:eastAsia="en-GB"/>
        </w:rPr>
      </w:pPr>
      <w:r w:rsidRPr="006C0C54">
        <w:rPr>
          <w:rFonts w:ascii="Arial Nova" w:eastAsia="Times New Roman" w:hAnsi="Arial Nova" w:cs="Arial"/>
          <w:color w:val="000000"/>
          <w:kern w:val="0"/>
          <w:lang w:eastAsia="en-GB"/>
        </w:rPr>
        <w:t>Incentivising projects in areas of system need – (both supply and demand side projects)</w:t>
      </w:r>
    </w:p>
    <w:p w:rsidR="00F274E0" w:rsidRPr="006C0C54" w:rsidP="000034A1">
      <w:pPr>
        <w:numPr>
          <w:ilvl w:val="0"/>
          <w:numId w:val="4"/>
        </w:numPr>
        <w:spacing w:before="100" w:beforeAutospacing="1" w:after="100" w:afterAutospacing="1" w:line="240" w:lineRule="auto"/>
        <w:rPr>
          <w:rFonts w:ascii="Arial Nova" w:eastAsia="Times New Roman" w:hAnsi="Arial Nova" w:cs="Arial"/>
          <w:color w:val="000000"/>
          <w:kern w:val="0"/>
          <w:lang w:eastAsia="en-GB"/>
        </w:rPr>
      </w:pPr>
      <w:r w:rsidRPr="006C0C54">
        <w:rPr>
          <w:rFonts w:ascii="Arial Nova" w:eastAsia="Times New Roman" w:hAnsi="Arial Nova" w:cs="Arial"/>
          <w:color w:val="000000"/>
          <w:kern w:val="0"/>
          <w:lang w:eastAsia="en-GB"/>
        </w:rPr>
        <w:t>Reforming connection queues</w:t>
      </w:r>
    </w:p>
    <w:p w:rsidR="00F274E0" w:rsidRPr="006C0C54" w:rsidP="000034A1">
      <w:pPr>
        <w:numPr>
          <w:ilvl w:val="0"/>
          <w:numId w:val="4"/>
        </w:numPr>
        <w:spacing w:before="100" w:beforeAutospacing="1" w:after="100" w:afterAutospacing="1" w:line="240" w:lineRule="auto"/>
        <w:rPr>
          <w:rFonts w:ascii="Arial Nova" w:eastAsia="Times New Roman" w:hAnsi="Arial Nova" w:cs="Arial"/>
          <w:color w:val="000000"/>
          <w:kern w:val="0"/>
          <w:lang w:eastAsia="en-GB"/>
        </w:rPr>
      </w:pPr>
      <w:r w:rsidRPr="006C0C54">
        <w:rPr>
          <w:rFonts w:ascii="Arial Nova" w:eastAsia="Times New Roman" w:hAnsi="Arial Nova" w:cs="Arial"/>
          <w:color w:val="000000"/>
          <w:kern w:val="0"/>
          <w:lang w:eastAsia="en-GB"/>
        </w:rPr>
        <w:t>Aligning generation build with network expansion</w:t>
      </w:r>
    </w:p>
    <w:p w:rsidR="00F274E0" w:rsidRPr="006C0C54" w:rsidP="000034A1">
      <w:pPr>
        <w:spacing w:before="100" w:beforeAutospacing="1" w:after="100" w:afterAutospacing="1"/>
        <w:rPr>
          <w:rFonts w:ascii="Arial Nova" w:eastAsia="Times New Roman" w:hAnsi="Arial Nova" w:cs="Arial"/>
          <w:color w:val="000000"/>
          <w:kern w:val="0"/>
          <w:lang w:eastAsia="en-GB"/>
        </w:rPr>
      </w:pPr>
      <w:r w:rsidRPr="006C0C54">
        <w:rPr>
          <w:rFonts w:ascii="Arial Nova" w:eastAsia="Times New Roman" w:hAnsi="Arial Nova" w:cs="Arial"/>
          <w:color w:val="000000"/>
          <w:kern w:val="0"/>
          <w:lang w:eastAsia="en-GB"/>
        </w:rPr>
        <w:t>It is argued that Government wants investors to see location costs including network charges and operational frameworks </w:t>
      </w:r>
      <w:r w:rsidRPr="006C0C54">
        <w:rPr>
          <w:rFonts w:ascii="Arial Nova" w:eastAsia="Times New Roman" w:hAnsi="Arial Nova" w:cs="Arial"/>
          <w:b/>
          <w:bCs/>
          <w:color w:val="000000"/>
          <w:kern w:val="0"/>
          <w:lang w:eastAsia="en-GB"/>
        </w:rPr>
        <w:t>before committing capital</w:t>
      </w:r>
      <w:r w:rsidRPr="006C0C54">
        <w:rPr>
          <w:rFonts w:ascii="Arial Nova" w:eastAsia="Times New Roman" w:hAnsi="Arial Nova" w:cs="Arial"/>
          <w:color w:val="000000"/>
          <w:kern w:val="0"/>
          <w:lang w:eastAsia="en-GB"/>
        </w:rPr>
        <w:t xml:space="preserve">, not through market prices that emerge and develop relative to prevailing levels of locational supply and demand. However further charging reform, immediately following a programme of the most significant reform of </w:t>
      </w:r>
      <w:r>
        <w:rPr>
          <w:rFonts w:ascii="Arial Nova" w:eastAsia="Times New Roman" w:hAnsi="Arial Nova" w:cs="Arial"/>
          <w:color w:val="000000"/>
          <w:kern w:val="0"/>
          <w:lang w:eastAsia="en-GB"/>
        </w:rPr>
        <w:t xml:space="preserve">Transmission </w:t>
      </w:r>
      <w:r w:rsidRPr="006C0C54">
        <w:rPr>
          <w:rFonts w:ascii="Arial Nova" w:eastAsia="Times New Roman" w:hAnsi="Arial Nova" w:cs="Arial"/>
          <w:color w:val="000000"/>
          <w:kern w:val="0"/>
          <w:lang w:eastAsia="en-GB"/>
        </w:rPr>
        <w:t xml:space="preserve">network charges in decades, is unlikely to happen rapidly, is unlikely to be agile and reflect prevailing circumstances and will take little or no account of existing sunk investment in either generation or consumer demands. </w:t>
      </w:r>
    </w:p>
    <w:p w:rsidR="00F274E0" w:rsidRPr="006C0C54" w:rsidP="000034A1">
      <w:pPr>
        <w:spacing w:before="100" w:beforeAutospacing="1" w:after="100" w:afterAutospacing="1"/>
        <w:rPr>
          <w:rFonts w:ascii="Arial Nova" w:eastAsia="Times New Roman" w:hAnsi="Arial Nova" w:cs="Arial"/>
          <w:color w:val="000000"/>
          <w:kern w:val="0"/>
          <w:lang w:eastAsia="en-GB"/>
        </w:rPr>
      </w:pPr>
      <w:r w:rsidRPr="006C0C54">
        <w:rPr>
          <w:rFonts w:ascii="Arial Nova" w:eastAsia="Times New Roman" w:hAnsi="Arial Nova" w:cs="Arial"/>
          <w:color w:val="000000"/>
          <w:kern w:val="0"/>
          <w:lang w:eastAsia="en-GB"/>
        </w:rPr>
        <w:t xml:space="preserve">Equally it is unclear how reform of charges, yet to be fully defined or quantified, will address the very concerns government raised over locational commodity pricing which had been indicatively modelled and widely published.  </w:t>
      </w:r>
    </w:p>
    <w:p w:rsidR="00F274E0" w:rsidRPr="006C0C54" w:rsidP="000034A1">
      <w:pPr>
        <w:spacing w:before="100" w:beforeAutospacing="1" w:after="100" w:afterAutospacing="1"/>
        <w:rPr>
          <w:rFonts w:ascii="Arial Nova" w:eastAsia="Times New Roman" w:hAnsi="Arial Nova" w:cs="Arial"/>
          <w:b/>
          <w:bCs/>
          <w:color w:val="4D4D4D"/>
          <w:kern w:val="0"/>
          <w:lang w:eastAsia="en-GB"/>
        </w:rPr>
      </w:pPr>
      <w:r w:rsidRPr="006C0C54">
        <w:rPr>
          <w:rFonts w:ascii="Arial Nova" w:eastAsia="Times New Roman" w:hAnsi="Arial Nova" w:cs="Arial"/>
          <w:b/>
          <w:bCs/>
          <w:color w:val="4D4D4D"/>
          <w:kern w:val="0"/>
          <w:lang w:eastAsia="en-GB"/>
        </w:rPr>
        <w:t>Operational reforms to reduce constraints and balancing costs</w:t>
      </w:r>
    </w:p>
    <w:p w:rsidR="00F274E0" w:rsidRPr="006C0C54" w:rsidP="000034A1">
      <w:pPr>
        <w:spacing w:before="100" w:beforeAutospacing="1" w:after="100" w:afterAutospacing="1"/>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Today’s GB system incurs very high constraint payments due to network bottlenecks. RNP aims to reduce these through major reforms to dispatch and balancing.</w:t>
      </w:r>
    </w:p>
    <w:p w:rsidR="00F274E0" w:rsidRPr="006C0C54" w:rsidP="000034A1">
      <w:pPr>
        <w:spacing w:before="100" w:beforeAutospacing="1" w:after="100" w:afterAutospacing="1"/>
        <w:rPr>
          <w:rFonts w:ascii="Arial Nova" w:eastAsia="Times New Roman" w:hAnsi="Arial Nova" w:cs="Arial"/>
          <w:b/>
          <w:bCs/>
          <w:color w:val="4D4D4D"/>
          <w:kern w:val="0"/>
          <w:lang w:eastAsia="en-GB"/>
        </w:rPr>
      </w:pPr>
      <w:r w:rsidRPr="006C0C54">
        <w:rPr>
          <w:rFonts w:ascii="Arial Nova" w:eastAsia="Times New Roman" w:hAnsi="Arial Nova" w:cs="Arial"/>
          <w:b/>
          <w:bCs/>
          <w:color w:val="4D4D4D"/>
          <w:kern w:val="0"/>
          <w:lang w:eastAsia="en-GB"/>
        </w:rPr>
        <w:t>Balancing Mechanism reform</w:t>
      </w:r>
    </w:p>
    <w:p w:rsidR="00F274E0" w:rsidRPr="006C0C54" w:rsidP="000034A1">
      <w:pPr>
        <w:spacing w:before="100" w:beforeAutospacing="1" w:after="100" w:afterAutospacing="1"/>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We understand that potential changes might include:</w:t>
      </w:r>
    </w:p>
    <w:p w:rsidR="00F274E0" w:rsidRPr="006C0C54" w:rsidP="000034A1">
      <w:pPr>
        <w:numPr>
          <w:ilvl w:val="0"/>
          <w:numId w:val="5"/>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Lower participation thresholds (more assets / consumer sites involved)</w:t>
      </w:r>
    </w:p>
    <w:p w:rsidR="00F274E0" w:rsidRPr="006C0C54" w:rsidP="000034A1">
      <w:pPr>
        <w:numPr>
          <w:ilvl w:val="0"/>
          <w:numId w:val="5"/>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Unit-level bidding instead of portfolio bidding</w:t>
      </w:r>
    </w:p>
    <w:p w:rsidR="00F274E0" w:rsidRPr="006C0C54" w:rsidP="000034A1">
      <w:pPr>
        <w:numPr>
          <w:ilvl w:val="0"/>
          <w:numId w:val="5"/>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Alignment of trading deadlines with gate closure</w:t>
      </w:r>
    </w:p>
    <w:p w:rsidR="00F274E0" w:rsidRPr="006C0C54" w:rsidP="000034A1">
      <w:pPr>
        <w:numPr>
          <w:ilvl w:val="0"/>
          <w:numId w:val="5"/>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Requirements for positions to match physical output</w:t>
      </w:r>
    </w:p>
    <w:p w:rsidR="00F274E0" w:rsidRPr="006C0C54" w:rsidP="000034A1">
      <w:pPr>
        <w:numPr>
          <w:ilvl w:val="0"/>
          <w:numId w:val="5"/>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Increased visibility for system operator</w:t>
      </w:r>
    </w:p>
    <w:p w:rsidR="00F274E0" w:rsidRPr="006C0C54" w:rsidP="000034A1">
      <w:pPr>
        <w:spacing w:before="100" w:beforeAutospacing="1" w:after="100" w:afterAutospacing="1"/>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These measures aim to improve real-time coordination and reduce commercial ‘gaming</w:t>
      </w:r>
      <w:r>
        <w:rPr>
          <w:rFonts w:ascii="Arial Nova" w:eastAsia="Times New Roman" w:hAnsi="Arial Nova" w:cs="Arial"/>
          <w:color w:val="4D4D4D"/>
          <w:kern w:val="0"/>
          <w:lang w:eastAsia="en-GB"/>
        </w:rPr>
        <w:t>-</w:t>
      </w:r>
      <w:r w:rsidRPr="006C0C54">
        <w:rPr>
          <w:rFonts w:ascii="Arial Nova" w:eastAsia="Times New Roman" w:hAnsi="Arial Nova" w:cs="Arial"/>
          <w:color w:val="4D4D4D"/>
          <w:kern w:val="0"/>
          <w:lang w:eastAsia="en-GB"/>
        </w:rPr>
        <w:t>opportunities</w:t>
      </w:r>
      <w:r>
        <w:rPr>
          <w:rFonts w:ascii="Arial Nova" w:eastAsia="Times New Roman" w:hAnsi="Arial Nova" w:cs="Arial"/>
          <w:color w:val="4D4D4D"/>
          <w:kern w:val="0"/>
          <w:lang w:eastAsia="en-GB"/>
        </w:rPr>
        <w:t>’</w:t>
      </w:r>
      <w:r w:rsidRPr="006C0C54">
        <w:rPr>
          <w:rFonts w:ascii="Arial Nova" w:eastAsia="Times New Roman" w:hAnsi="Arial Nova" w:cs="Arial"/>
          <w:color w:val="4D4D4D"/>
          <w:kern w:val="0"/>
          <w:lang w:eastAsia="en-GB"/>
        </w:rPr>
        <w:t>.</w:t>
      </w:r>
    </w:p>
    <w:p w:rsidR="00F274E0" w:rsidRPr="006C0C54" w:rsidP="000034A1">
      <w:pPr>
        <w:spacing w:before="100" w:beforeAutospacing="1" w:after="100" w:afterAutospacing="1"/>
        <w:rPr>
          <w:rFonts w:ascii="Arial Nova" w:eastAsia="Times New Roman" w:hAnsi="Arial Nova" w:cs="Arial"/>
          <w:b/>
          <w:bCs/>
          <w:color w:val="4D4D4D"/>
          <w:kern w:val="0"/>
          <w:lang w:eastAsia="en-GB"/>
        </w:rPr>
      </w:pPr>
      <w:r w:rsidRPr="006C0C54">
        <w:rPr>
          <w:rFonts w:ascii="Arial Nova" w:eastAsia="Times New Roman" w:hAnsi="Arial Nova" w:cs="Arial"/>
          <w:b/>
          <w:bCs/>
          <w:color w:val="4D4D4D"/>
          <w:kern w:val="0"/>
          <w:lang w:eastAsia="en-GB"/>
        </w:rPr>
        <w:t>Shorter settlement periods</w:t>
      </w:r>
    </w:p>
    <w:p w:rsidR="00F274E0" w:rsidRPr="006C0C54" w:rsidP="000034A1">
      <w:pPr>
        <w:spacing w:before="100" w:beforeAutospacing="1" w:after="100" w:afterAutospacing="1"/>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We understand a possible move from 30-minute to 5- or 15-minute periods is being considered.</w:t>
      </w:r>
    </w:p>
    <w:p w:rsidR="00F274E0" w:rsidRPr="006C0C54" w:rsidP="000034A1">
      <w:pPr>
        <w:spacing w:before="100" w:beforeAutospacing="1" w:after="100" w:afterAutospacing="1"/>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Purpose:</w:t>
      </w:r>
    </w:p>
    <w:p w:rsidR="00F274E0" w:rsidRPr="006C0C54" w:rsidP="000034A1">
      <w:pPr>
        <w:numPr>
          <w:ilvl w:val="0"/>
          <w:numId w:val="6"/>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Better reflect real system conditions</w:t>
      </w:r>
    </w:p>
    <w:p w:rsidR="00F274E0" w:rsidRPr="006C0C54" w:rsidP="000034A1">
      <w:pPr>
        <w:numPr>
          <w:ilvl w:val="0"/>
          <w:numId w:val="6"/>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Increase value of flexibility (batteries, demand response)</w:t>
      </w:r>
    </w:p>
    <w:p w:rsidR="00F274E0" w:rsidRPr="006C0C54" w:rsidP="000034A1">
      <w:pPr>
        <w:numPr>
          <w:ilvl w:val="0"/>
          <w:numId w:val="6"/>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Reduce imbalance costs</w:t>
      </w:r>
    </w:p>
    <w:p w:rsidR="00F274E0" w:rsidRPr="006C0C54" w:rsidP="000034A1">
      <w:pPr>
        <w:spacing w:before="100" w:beforeAutospacing="1" w:after="100" w:afterAutospacing="1"/>
        <w:rPr>
          <w:rFonts w:ascii="Arial Nova" w:eastAsia="Times New Roman" w:hAnsi="Arial Nova" w:cs="Arial"/>
          <w:b/>
          <w:bCs/>
          <w:color w:val="4D4D4D"/>
          <w:kern w:val="0"/>
          <w:lang w:eastAsia="en-GB"/>
        </w:rPr>
      </w:pPr>
      <w:r w:rsidRPr="006C0C54">
        <w:rPr>
          <w:rFonts w:ascii="Arial Nova" w:eastAsia="Times New Roman" w:hAnsi="Arial Nova" w:cs="Arial"/>
          <w:b/>
          <w:bCs/>
          <w:color w:val="4D4D4D"/>
          <w:kern w:val="0"/>
          <w:lang w:eastAsia="en-GB"/>
        </w:rPr>
        <w:t>C. Improved dispatch and self-balancing</w:t>
      </w:r>
    </w:p>
    <w:p w:rsidR="00F274E0" w:rsidRPr="006C0C54" w:rsidP="000034A1">
      <w:pPr>
        <w:spacing w:before="100" w:beforeAutospacing="1" w:after="100" w:afterAutospacing="1"/>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We understand NESO is exploring:</w:t>
      </w:r>
    </w:p>
    <w:p w:rsidR="00F274E0" w:rsidRPr="006C0C54" w:rsidP="000034A1">
      <w:pPr>
        <w:numPr>
          <w:ilvl w:val="0"/>
          <w:numId w:val="7"/>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Incentives for market participants to balance themselves earlier</w:t>
      </w:r>
    </w:p>
    <w:p w:rsidR="00F274E0" w:rsidRPr="006C0C54" w:rsidP="000034A1">
      <w:pPr>
        <w:numPr>
          <w:ilvl w:val="0"/>
          <w:numId w:val="7"/>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Greater system visibility of positions</w:t>
      </w:r>
    </w:p>
    <w:p w:rsidR="00F274E0" w:rsidRPr="006C0C54" w:rsidP="000034A1">
      <w:pPr>
        <w:numPr>
          <w:ilvl w:val="0"/>
          <w:numId w:val="7"/>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More flexible capacity available for redispatch</w:t>
      </w:r>
    </w:p>
    <w:p w:rsidR="00F274E0" w:rsidRPr="006C0C54" w:rsidP="000034A1">
      <w:pPr>
        <w:spacing w:before="100" w:beforeAutospacing="1" w:after="100" w:afterAutospacing="1"/>
        <w:rPr>
          <w:rFonts w:ascii="Arial Nova" w:eastAsia="Times New Roman" w:hAnsi="Arial Nova" w:cs="Arial"/>
          <w:b/>
          <w:bCs/>
          <w:color w:val="4D4D4D"/>
          <w:kern w:val="0"/>
          <w:lang w:eastAsia="en-GB"/>
        </w:rPr>
      </w:pPr>
      <w:r w:rsidRPr="006C0C54">
        <w:rPr>
          <w:rFonts w:ascii="Arial Nova" w:eastAsia="Times New Roman" w:hAnsi="Arial Nova" w:cs="Arial"/>
          <w:b/>
          <w:bCs/>
          <w:color w:val="4D4D4D"/>
          <w:kern w:val="0"/>
          <w:lang w:eastAsia="en-GB"/>
        </w:rPr>
        <w:t>D. Constraint management reform</w:t>
      </w:r>
    </w:p>
    <w:p w:rsidR="00F274E0" w:rsidRPr="006C0C54" w:rsidP="000034A1">
      <w:pPr>
        <w:spacing w:before="100" w:beforeAutospacing="1" w:after="100" w:afterAutospacing="1"/>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We understand reform might include:</w:t>
      </w:r>
    </w:p>
    <w:p w:rsidR="00F274E0" w:rsidRPr="006C0C54" w:rsidP="000034A1">
      <w:pPr>
        <w:numPr>
          <w:ilvl w:val="0"/>
          <w:numId w:val="8"/>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Incentives to build generation where needed</w:t>
      </w:r>
    </w:p>
    <w:p w:rsidR="00F274E0" w:rsidRPr="006C0C54" w:rsidP="000034A1">
      <w:pPr>
        <w:numPr>
          <w:ilvl w:val="0"/>
          <w:numId w:val="8"/>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Measures to increase electricity flow across network boundaries</w:t>
      </w:r>
    </w:p>
    <w:p w:rsidR="00F274E0" w:rsidRPr="006C0C54" w:rsidP="000034A1">
      <w:pPr>
        <w:numPr>
          <w:ilvl w:val="0"/>
          <w:numId w:val="8"/>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Acceleration of transmission investment</w:t>
      </w:r>
    </w:p>
    <w:p w:rsidR="00F274E0" w:rsidRPr="006C0C54" w:rsidP="000034A1">
      <w:pPr>
        <w:numPr>
          <w:ilvl w:val="0"/>
          <w:numId w:val="8"/>
        </w:numPr>
        <w:spacing w:before="100" w:beforeAutospacing="1" w:after="100" w:afterAutospacing="1" w:line="240" w:lineRule="auto"/>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Constraints Collaboration Project</w:t>
      </w:r>
    </w:p>
    <w:p w:rsidR="00F274E0" w:rsidP="000034A1">
      <w:pPr>
        <w:spacing w:before="100" w:beforeAutospacing="1" w:after="100" w:afterAutospacing="1"/>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The goal is to reduce the volume and cost of redispatch actions whereby renewable supplies, typically wind and PV are constrained off the system, and gas fired generation is paid to make up the implied ‘national’ supply / demand deficit.</w:t>
      </w:r>
    </w:p>
    <w:p w:rsidR="00F274E0">
      <w:pPr>
        <w:rPr>
          <w:rFonts w:ascii="Arial Nova" w:eastAsia="Times New Roman" w:hAnsi="Arial Nova" w:cs="Arial"/>
          <w:color w:val="4D4D4D"/>
          <w:kern w:val="0"/>
          <w:lang w:eastAsia="en-GB"/>
        </w:rPr>
      </w:pPr>
      <w:r>
        <w:rPr>
          <w:rFonts w:ascii="Arial Nova" w:eastAsia="Times New Roman" w:hAnsi="Arial Nova" w:cs="Arial"/>
          <w:color w:val="4D4D4D"/>
          <w:kern w:val="0"/>
          <w:lang w:eastAsia="en-GB"/>
        </w:rPr>
        <w:br w:type="page"/>
      </w:r>
    </w:p>
    <w:p w:rsidR="00F274E0" w:rsidRPr="006C0C54" w:rsidP="000034A1">
      <w:pPr>
        <w:numPr>
          <w:ilvl w:val="0"/>
          <w:numId w:val="1"/>
        </w:numPr>
        <w:spacing w:before="100" w:beforeAutospacing="1" w:after="100" w:afterAutospacing="1" w:line="240" w:lineRule="auto"/>
        <w:rPr>
          <w:rFonts w:ascii="Arial Nova" w:eastAsia="Times New Roman" w:hAnsi="Arial Nova" w:cs="Arial"/>
          <w:b/>
          <w:bCs/>
          <w:color w:val="4D4D4D"/>
          <w:kern w:val="0"/>
          <w:lang w:eastAsia="en-GB"/>
        </w:rPr>
      </w:pPr>
      <w:r w:rsidRPr="006C0C54">
        <w:rPr>
          <w:rFonts w:ascii="Arial Nova" w:eastAsia="Times New Roman" w:hAnsi="Arial Nova" w:cs="Arial"/>
          <w:b/>
          <w:bCs/>
          <w:color w:val="4D4D4D"/>
          <w:kern w:val="0"/>
          <w:lang w:eastAsia="en-GB"/>
        </w:rPr>
        <w:t>Has Government given sufficient thought to what a reformed national pricing model could look like, as compared to the balance of risk and opportunity in a Locational Marginal Pricing model?</w:t>
      </w:r>
    </w:p>
    <w:p w:rsidR="00F274E0" w:rsidRPr="006C0C54" w:rsidP="000034A1">
      <w:pPr>
        <w:spacing w:before="100" w:beforeAutospacing="1" w:after="100" w:afterAutospacing="1"/>
        <w:ind w:left="720"/>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 xml:space="preserve">Notwithstanding, the statements and high-level objectives stated above that we understand make up the basis of RNP, there has been little or no detail provided as to how these proposals might work in practical, operational, regulatory and commercial terms. Given the size and scale of the problems driving the need for reform, alongside the time and resource committed by DESNZ, the energy sector and demand consumers to date, this is wholly unacceptable.  </w:t>
      </w:r>
    </w:p>
    <w:p w:rsidR="00F274E0" w:rsidRPr="00487CD1" w:rsidP="000034A1">
      <w:pPr>
        <w:pStyle w:val="ListParagraph"/>
        <w:numPr>
          <w:ilvl w:val="0"/>
          <w:numId w:val="1"/>
        </w:numPr>
        <w:spacing w:before="100" w:beforeAutospacing="1" w:after="100" w:afterAutospacing="1" w:line="240" w:lineRule="auto"/>
        <w:rPr>
          <w:rFonts w:ascii="Arial Nova" w:eastAsia="Times New Roman" w:hAnsi="Arial Nova" w:cs="Arial"/>
          <w:b/>
          <w:color w:val="4D4D4D"/>
          <w:kern w:val="0"/>
          <w:lang w:eastAsia="en-GB"/>
        </w:rPr>
      </w:pPr>
      <w:r w:rsidRPr="00487CD1">
        <w:rPr>
          <w:rFonts w:ascii="Arial Nova" w:eastAsia="Times New Roman" w:hAnsi="Arial Nova" w:cs="Arial"/>
          <w:b/>
          <w:color w:val="4D4D4D"/>
          <w:kern w:val="0"/>
          <w:lang w:eastAsia="en-GB"/>
        </w:rPr>
        <w:t>Did Government consider the most useful evidence in assessing the impact of different reform options</w:t>
      </w:r>
    </w:p>
    <w:p w:rsidR="00F274E0" w:rsidRPr="006C0C54" w:rsidP="000034A1">
      <w:pPr>
        <w:spacing w:before="100" w:beforeAutospacing="1" w:after="100" w:afterAutospacing="1"/>
        <w:ind w:left="720"/>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 xml:space="preserve">In its </w:t>
      </w:r>
      <w:r>
        <w:fldChar w:fldCharType="begin"/>
      </w:r>
      <w:r>
        <w:instrText xml:space="preserve"> HYPERLINK "https://www.gov.uk/government/publications/review-of-electricity-market-arrangements-rema-summer-update-2025/review-of-electricity-market-arrangements-rema-summer-update-2025-accessible-webpage" \l "chapter-3-implementation-and-next-steps-" </w:instrText>
      </w:r>
      <w:r>
        <w:fldChar w:fldCharType="separate"/>
      </w:r>
      <w:r w:rsidRPr="006C0C54">
        <w:rPr>
          <w:rStyle w:val="Hyperlink"/>
          <w:rFonts w:ascii="Arial Nova" w:eastAsia="Times New Roman" w:hAnsi="Arial Nova" w:cs="Arial"/>
          <w:kern w:val="0"/>
          <w:lang w:eastAsia="en-GB"/>
        </w:rPr>
        <w:t>policy paper about REMA</w:t>
      </w:r>
      <w:r>
        <w:fldChar w:fldCharType="end"/>
      </w:r>
      <w:r w:rsidRPr="006C0C54">
        <w:rPr>
          <w:rFonts w:ascii="Arial Nova" w:eastAsia="Times New Roman" w:hAnsi="Arial Nova" w:cs="Arial"/>
          <w:color w:val="4D4D4D"/>
          <w:kern w:val="0"/>
          <w:lang w:eastAsia="en-GB"/>
        </w:rPr>
        <w:t xml:space="preserve"> published in July 2025, DESNZ said that it will “publish the final REMA analysis later this year, including full cost benefit analysis (CBA) of the different wholesale market reform options”. </w:t>
      </w:r>
    </w:p>
    <w:p w:rsidR="00F274E0" w:rsidRPr="006C0C54" w:rsidP="000034A1">
      <w:pPr>
        <w:ind w:left="720"/>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To the best of our knowledge, the final REMA analysis has yet to be published which supports or view that any meaningful level of detail around the alternative reformed national pricing model remains lacking, rendering a CBA largely impossible.</w:t>
      </w:r>
    </w:p>
    <w:p w:rsidR="00F274E0" w:rsidRPr="006C0C54" w:rsidP="000034A1">
      <w:pPr>
        <w:numPr>
          <w:ilvl w:val="0"/>
          <w:numId w:val="1"/>
        </w:numPr>
        <w:spacing w:before="100" w:beforeAutospacing="1" w:after="100" w:afterAutospacing="1" w:line="240" w:lineRule="auto"/>
        <w:rPr>
          <w:rFonts w:ascii="Arial Nova" w:eastAsia="Times New Roman" w:hAnsi="Arial Nova" w:cs="Arial"/>
          <w:b/>
          <w:bCs/>
          <w:color w:val="4D4D4D"/>
          <w:kern w:val="0"/>
          <w:lang w:eastAsia="en-GB"/>
        </w:rPr>
      </w:pPr>
      <w:r w:rsidRPr="006C0C54">
        <w:rPr>
          <w:rFonts w:ascii="Arial Nova" w:eastAsia="Times New Roman" w:hAnsi="Arial Nova" w:cs="Arial"/>
          <w:b/>
          <w:bCs/>
          <w:color w:val="4D4D4D"/>
          <w:kern w:val="0"/>
          <w:lang w:eastAsia="en-GB"/>
        </w:rPr>
        <w:t>How do various options for market reform impact achieving zero carbon electricity generation and wider net zero targets?</w:t>
      </w:r>
    </w:p>
    <w:p w:rsidR="00F274E0" w:rsidRPr="006C0C54" w:rsidP="000034A1">
      <w:pPr>
        <w:spacing w:before="100" w:beforeAutospacing="1" w:after="100" w:afterAutospacing="1"/>
        <w:ind w:left="720"/>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 xml:space="preserve">Without further detail to support the RNP proposals it is too early to say whether or how they might impact our drive to achieving zero carbon electricity generation and wider net zero targets. </w:t>
      </w:r>
    </w:p>
    <w:p w:rsidR="00F274E0" w:rsidRPr="006C0C54" w:rsidP="000034A1">
      <w:pPr>
        <w:numPr>
          <w:ilvl w:val="0"/>
          <w:numId w:val="1"/>
        </w:numPr>
        <w:spacing w:before="100" w:beforeAutospacing="1" w:after="100" w:afterAutospacing="1" w:line="240" w:lineRule="auto"/>
        <w:rPr>
          <w:rFonts w:ascii="Arial Nova" w:eastAsia="Times New Roman" w:hAnsi="Arial Nova" w:cs="Arial"/>
          <w:b/>
          <w:bCs/>
          <w:color w:val="4D4D4D"/>
          <w:kern w:val="0"/>
          <w:lang w:eastAsia="en-GB"/>
        </w:rPr>
      </w:pPr>
      <w:r w:rsidRPr="006C0C54">
        <w:rPr>
          <w:rFonts w:ascii="Arial Nova" w:eastAsia="Times New Roman" w:hAnsi="Arial Nova" w:cs="Arial"/>
          <w:b/>
          <w:bCs/>
          <w:color w:val="4D4D4D"/>
          <w:kern w:val="0"/>
          <w:lang w:eastAsia="en-GB"/>
        </w:rPr>
        <w:t>Is there still a case for wholesale reforms towards a locational pricing model within the context of the government’s 2030 clean electricity mission and energy security aims?</w:t>
      </w:r>
    </w:p>
    <w:p w:rsidR="00F274E0" w:rsidRPr="006C0C54" w:rsidP="000034A1">
      <w:pPr>
        <w:ind w:left="720"/>
        <w:rPr>
          <w:rFonts w:ascii="Arial Nova" w:hAnsi="Arial Nova"/>
        </w:rPr>
      </w:pPr>
      <w:r w:rsidRPr="006C0C54">
        <w:rPr>
          <w:rFonts w:ascii="Arial Nova" w:eastAsia="Times New Roman" w:hAnsi="Arial Nova" w:cs="Arial"/>
          <w:color w:val="4D4D4D"/>
          <w:kern w:val="0"/>
          <w:lang w:eastAsia="en-GB"/>
        </w:rPr>
        <w:t>Notwithstanding the arguments that have been presented by government,</w:t>
      </w:r>
      <w:r w:rsidRPr="006C0C54">
        <w:rPr>
          <w:rFonts w:ascii="Arial Nova" w:hAnsi="Arial Nova"/>
        </w:rPr>
        <w:t xml:space="preserve"> </w:t>
      </w:r>
      <w:r w:rsidRPr="006C0C54">
        <w:rPr>
          <w:rFonts w:ascii="Arial Nova" w:eastAsia="Times New Roman" w:hAnsi="Arial Nova" w:cs="Arial"/>
          <w:color w:val="4D4D4D"/>
          <w:kern w:val="0"/>
          <w:lang w:eastAsia="en-GB"/>
        </w:rPr>
        <w:t xml:space="preserve">we believe there remains a case for expedient wholesale market reforms that move towards a locational pricing model. </w:t>
      </w:r>
    </w:p>
    <w:p w:rsidR="00F274E0" w:rsidRPr="006C0C54" w:rsidP="000034A1">
      <w:pPr>
        <w:numPr>
          <w:ilvl w:val="0"/>
          <w:numId w:val="1"/>
        </w:numPr>
        <w:spacing w:before="100" w:beforeAutospacing="1" w:after="100" w:afterAutospacing="1" w:line="240" w:lineRule="auto"/>
        <w:rPr>
          <w:rFonts w:ascii="Arial Nova" w:eastAsia="Times New Roman" w:hAnsi="Arial Nova" w:cs="Arial"/>
          <w:b/>
          <w:bCs/>
          <w:color w:val="4D4D4D"/>
          <w:kern w:val="0"/>
          <w:lang w:eastAsia="en-GB"/>
        </w:rPr>
      </w:pPr>
      <w:r w:rsidRPr="006C0C54">
        <w:rPr>
          <w:rFonts w:ascii="Arial Nova" w:eastAsia="Times New Roman" w:hAnsi="Arial Nova" w:cs="Arial"/>
          <w:b/>
          <w:bCs/>
          <w:color w:val="4D4D4D"/>
          <w:kern w:val="0"/>
          <w:lang w:eastAsia="en-GB"/>
        </w:rPr>
        <w:t>How does the government intend to incentivise the energy sector to accelerate development and generation of clean power within its planned market reforms?</w:t>
      </w:r>
    </w:p>
    <w:p w:rsidR="00F274E0" w:rsidRPr="002D6C97" w:rsidP="002D6C97">
      <w:pPr>
        <w:spacing w:before="100" w:beforeAutospacing="1" w:after="100" w:afterAutospacing="1"/>
        <w:ind w:left="720"/>
        <w:rPr>
          <w:rFonts w:ascii="Arial Nova" w:eastAsia="Times New Roman" w:hAnsi="Arial Nova" w:cs="Arial"/>
          <w:color w:val="4D4D4D"/>
          <w:kern w:val="0"/>
          <w:lang w:eastAsia="en-GB"/>
        </w:rPr>
      </w:pPr>
      <w:r w:rsidRPr="006C0C54">
        <w:rPr>
          <w:rFonts w:ascii="Arial Nova" w:eastAsia="Times New Roman" w:hAnsi="Arial Nova" w:cs="Arial"/>
          <w:color w:val="4D4D4D"/>
          <w:kern w:val="0"/>
          <w:lang w:eastAsia="en-GB"/>
        </w:rPr>
        <w:t>Beyond the prevailing CfD mechanism designed to provide long term price certainty for renewable generators, and given the extent of uncertainty and lack of clarity around RNP proposals it is not clear how the government intend to incentivise the energy sector to accelerate development and generation of clean power.</w:t>
      </w:r>
    </w:p>
    <w:p w:rsidR="00F274E0" w:rsidRPr="002460FD" w:rsidP="4E33581B">
      <w:pPr>
        <w:tabs>
          <w:tab w:val="left" w:pos="1740"/>
        </w:tabs>
        <w:rPr>
          <w:rFonts w:ascii="Arial Nova Light" w:eastAsia="Arial Nova Light" w:hAnsi="Arial Nova Light" w:cs="Arial Nova Light"/>
          <w:b/>
          <w:bCs/>
          <w:sz w:val="24"/>
          <w:szCs w:val="24"/>
        </w:rPr>
      </w:pPr>
      <w:r w:rsidRPr="4E33581B">
        <w:rPr>
          <w:rFonts w:ascii="Arial Nova Light" w:eastAsia="Arial Nova Light" w:hAnsi="Arial Nova Light" w:cs="Arial Nova Light"/>
          <w:b/>
          <w:bCs/>
          <w:sz w:val="24"/>
          <w:szCs w:val="24"/>
        </w:rPr>
        <w:t>About the CIA</w:t>
      </w:r>
    </w:p>
    <w:p w:rsidR="00F274E0" w:rsidP="4E33581B">
      <w:pPr>
        <w:tabs>
          <w:tab w:val="left" w:pos="1740"/>
        </w:tabs>
        <w:rPr>
          <w:rFonts w:ascii="Arial Nova Light" w:eastAsia="Arial Nova Light" w:hAnsi="Arial Nova Light" w:cs="Arial Nova Light"/>
        </w:rPr>
      </w:pPr>
      <w:r w:rsidRPr="4E33581B">
        <w:rPr>
          <w:rFonts w:ascii="Arial Nova Light" w:eastAsia="Arial Nova Light" w:hAnsi="Arial Nova Light" w:cs="Arial Nova Light"/>
        </w:rPr>
        <w:t>The Chemical Industries Association (CIA) is the organisation that represents chemical and pharmaceutical businesses throughout the UK. Our activities are split between lobbying and provision of advice and services. Our policy agenda stretches across the economy and competitiveness; our products and the way we work; health, safety &amp; environment and employment issues. We represent all sizes of chemical and pharmaceutical businesses, of which approximately 70% are overseas headquartered. This illustrates the increasingly international nature of the industry.</w:t>
      </w:r>
    </w:p>
    <w:p w:rsidR="002C55F8" w:rsidRPr="002C55F8" w:rsidP="4E33581B">
      <w:pPr>
        <w:tabs>
          <w:tab w:val="left" w:pos="1740"/>
        </w:tabs>
        <w:rPr>
          <w:rFonts w:ascii="Arial Nova Light" w:eastAsia="Arial Nova Light" w:hAnsi="Arial Nova Light" w:cs="Arial Nova Light"/>
          <w:i/>
          <w:iCs/>
        </w:rPr>
      </w:pPr>
      <w:r w:rsidRPr="002C55F8">
        <w:rPr>
          <w:rFonts w:ascii="Arial Nova Light" w:eastAsia="Arial Nova Light" w:hAnsi="Arial Nova Light" w:cs="Arial Nova Light"/>
          <w:i/>
          <w:iCs/>
        </w:rPr>
        <w:t>March 2026</w:t>
      </w:r>
    </w:p>
    <w:p w:rsidR="00F274E0" w:rsidRPr="002460FD" w:rsidP="000C4E1F">
      <w:pPr>
        <w:tabs>
          <w:tab w:val="left" w:pos="1740"/>
        </w:tabs>
        <w:rPr>
          <w:rFonts w:ascii="Calibri Light" w:hAnsi="Calibri Light" w:cs="Calibri Light"/>
          <w:sz w:val="24"/>
          <w:szCs w:val="24"/>
        </w:rPr>
      </w:pPr>
    </w:p>
    <w:p w:rsidR="00F274E0" w:rsidRPr="002460FD">
      <w:pPr>
        <w:tabs>
          <w:tab w:val="left" w:pos="1740"/>
        </w:tabs>
        <w:rPr>
          <w:rFonts w:ascii="Calibri Light" w:hAnsi="Calibri Light" w:cs="Calibri Light"/>
          <w:sz w:val="24"/>
          <w:szCs w:val="24"/>
        </w:rPr>
      </w:pPr>
    </w:p>
    <w:sectPr w:rsidSect="00DD0FC8">
      <w:pgSz w:w="11906" w:h="16838"/>
      <w:pgMar w:top="1440" w:right="1440" w:bottom="1440" w:left="1440" w:header="794" w:footer="5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203499"/>
    <w:multiLevelType w:val="multilevel"/>
    <w:tmpl w:val="1474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297389"/>
    <w:multiLevelType w:val="multilevel"/>
    <w:tmpl w:val="AF4C8AE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3650AE"/>
    <w:multiLevelType w:val="multilevel"/>
    <w:tmpl w:val="E37A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151F78"/>
    <w:multiLevelType w:val="multilevel"/>
    <w:tmpl w:val="0DD8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8F5200"/>
    <w:multiLevelType w:val="multilevel"/>
    <w:tmpl w:val="24B23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F6403A"/>
    <w:multiLevelType w:val="multilevel"/>
    <w:tmpl w:val="5824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2327C0"/>
    <w:multiLevelType w:val="multilevel"/>
    <w:tmpl w:val="6866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E637B5"/>
    <w:multiLevelType w:val="multilevel"/>
    <w:tmpl w:val="D580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7"/>
  </w:num>
  <w:num w:numId="4">
    <w:abstractNumId w:val="6"/>
  </w:num>
  <w:num w:numId="5">
    <w:abstractNumId w:val="2"/>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2B62"/>
  </w:style>
  <w:style w:type="paragraph" w:styleId="Heading1">
    <w:name w:val="heading 1"/>
    <w:basedOn w:val="Normal"/>
    <w:next w:val="Normal"/>
    <w:link w:val="Heading1Char"/>
    <w:uiPriority w:val="9"/>
    <w:qFormat/>
    <w:rsid w:val="00DD0F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0F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0F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0F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0F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0F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0F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0F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0F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F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0F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0F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0F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0F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0F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0F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0F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0FC8"/>
    <w:rPr>
      <w:rFonts w:eastAsiaTheme="majorEastAsia" w:cstheme="majorBidi"/>
      <w:color w:val="272727" w:themeColor="text1" w:themeTint="D8"/>
    </w:rPr>
  </w:style>
  <w:style w:type="paragraph" w:styleId="Title">
    <w:name w:val="Title"/>
    <w:basedOn w:val="Normal"/>
    <w:next w:val="Normal"/>
    <w:link w:val="TitleChar"/>
    <w:uiPriority w:val="10"/>
    <w:qFormat/>
    <w:rsid w:val="00DD0F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0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0F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0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0FC8"/>
    <w:pPr>
      <w:spacing w:before="160"/>
      <w:jc w:val="center"/>
    </w:pPr>
    <w:rPr>
      <w:i/>
      <w:iCs/>
      <w:color w:val="404040" w:themeColor="text1" w:themeTint="BF"/>
    </w:rPr>
  </w:style>
  <w:style w:type="character" w:customStyle="1" w:styleId="QuoteChar">
    <w:name w:val="Quote Char"/>
    <w:basedOn w:val="DefaultParagraphFont"/>
    <w:link w:val="Quote"/>
    <w:uiPriority w:val="29"/>
    <w:rsid w:val="00DD0FC8"/>
    <w:rPr>
      <w:i/>
      <w:iCs/>
      <w:color w:val="404040" w:themeColor="text1" w:themeTint="BF"/>
    </w:rPr>
  </w:style>
  <w:style w:type="paragraph" w:styleId="ListParagraph">
    <w:name w:val="List Paragraph"/>
    <w:basedOn w:val="Normal"/>
    <w:uiPriority w:val="34"/>
    <w:qFormat/>
    <w:rsid w:val="00DD0FC8"/>
    <w:pPr>
      <w:ind w:left="720"/>
      <w:contextualSpacing/>
    </w:pPr>
  </w:style>
  <w:style w:type="character" w:styleId="IntenseEmphasis">
    <w:name w:val="Intense Emphasis"/>
    <w:basedOn w:val="DefaultParagraphFont"/>
    <w:uiPriority w:val="21"/>
    <w:qFormat/>
    <w:rsid w:val="00DD0FC8"/>
    <w:rPr>
      <w:i/>
      <w:iCs/>
      <w:color w:val="2F5496" w:themeColor="accent1" w:themeShade="BF"/>
    </w:rPr>
  </w:style>
  <w:style w:type="paragraph" w:styleId="IntenseQuote">
    <w:name w:val="Intense Quote"/>
    <w:basedOn w:val="Normal"/>
    <w:next w:val="Normal"/>
    <w:link w:val="IntenseQuoteChar"/>
    <w:uiPriority w:val="30"/>
    <w:qFormat/>
    <w:rsid w:val="00DD0F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0FC8"/>
    <w:rPr>
      <w:i/>
      <w:iCs/>
      <w:color w:val="2F5496" w:themeColor="accent1" w:themeShade="BF"/>
    </w:rPr>
  </w:style>
  <w:style w:type="character" w:styleId="IntenseReference">
    <w:name w:val="Intense Reference"/>
    <w:basedOn w:val="DefaultParagraphFont"/>
    <w:uiPriority w:val="32"/>
    <w:qFormat/>
    <w:rsid w:val="00DD0FC8"/>
    <w:rPr>
      <w:b/>
      <w:bCs/>
      <w:smallCaps/>
      <w:color w:val="2F5496" w:themeColor="accent1" w:themeShade="BF"/>
      <w:spacing w:val="5"/>
    </w:rPr>
  </w:style>
  <w:style w:type="paragraph" w:styleId="NormalWeb">
    <w:name w:val="Normal (Web)"/>
    <w:basedOn w:val="Normal"/>
    <w:uiPriority w:val="99"/>
    <w:semiHidden/>
    <w:unhideWhenUsed/>
    <w:rsid w:val="00DD0FC8"/>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Header">
    <w:name w:val="header"/>
    <w:basedOn w:val="Normal"/>
    <w:link w:val="HeaderChar"/>
    <w:uiPriority w:val="99"/>
    <w:unhideWhenUsed/>
    <w:rsid w:val="00DD0F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FC8"/>
  </w:style>
  <w:style w:type="paragraph" w:styleId="Footer">
    <w:name w:val="footer"/>
    <w:basedOn w:val="Normal"/>
    <w:link w:val="FooterChar"/>
    <w:uiPriority w:val="99"/>
    <w:unhideWhenUsed/>
    <w:rsid w:val="00DD0F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FC8"/>
  </w:style>
  <w:style w:type="table" w:customStyle="1" w:styleId="TableGrid2">
    <w:name w:val="Table Grid2"/>
    <w:basedOn w:val="TableNormal"/>
    <w:next w:val="TableGrid"/>
    <w:uiPriority w:val="39"/>
    <w:rsid w:val="00DD0FC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D0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469C4"/>
    <w:rPr>
      <w:color w:val="666666"/>
    </w:rPr>
  </w:style>
  <w:style w:type="character" w:styleId="Hyperlink">
    <w:name w:val="Hyperlink"/>
    <w:basedOn w:val="DefaultParagraphFont"/>
    <w:uiPriority w:val="99"/>
    <w:unhideWhenUsed/>
    <w:rsid w:val="000034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2F57CF0B0D4B45BB0E7D9377853AD7" ma:contentTypeVersion="18" ma:contentTypeDescription="Create a new document." ma:contentTypeScope="" ma:versionID="25b550de9cd34b0f5dad2b75d0b86aae">
  <xsd:schema xmlns:xsd="http://www.w3.org/2001/XMLSchema" xmlns:xs="http://www.w3.org/2001/XMLSchema" xmlns:p="http://schemas.microsoft.com/office/2006/metadata/properties" xmlns:ns2="a09cf9b5-eddf-445b-9443-49e2cf59e84c" xmlns:ns3="8fca4d85-dc94-44b6-a2af-43ab10308c69" targetNamespace="http://schemas.microsoft.com/office/2006/metadata/properties" ma:root="true" ma:fieldsID="49b8ea3c376e2c59d3ef36b1e8a6b234" ns2:_="" ns3:_="">
    <xsd:import namespace="a09cf9b5-eddf-445b-9443-49e2cf59e84c"/>
    <xsd:import namespace="8fca4d85-dc94-44b6-a2af-43ab10308c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cf9b5-eddf-445b-9443-49e2cf59e8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cd88703-6731-4b96-84c2-584e927c16a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ca4d85-dc94-44b6-a2af-43ab10308c6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af8d8b-a851-4884-ab24-c652420d4a27}" ma:internalName="TaxCatchAll" ma:showField="CatchAllData" ma:web="8fca4d85-dc94-44b6-a2af-43ab10308c6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9cf9b5-eddf-445b-9443-49e2cf59e84c">
      <Terms xmlns="http://schemas.microsoft.com/office/infopath/2007/PartnerControls"/>
    </lcf76f155ced4ddcb4097134ff3c332f>
    <TaxCatchAll xmlns="8fca4d85-dc94-44b6-a2af-43ab10308c69" xsi:nil="true"/>
  </documentManagement>
</p:properties>
</file>

<file path=customXml/itemProps1.xml><?xml version="1.0" encoding="utf-8"?>
<ds:datastoreItem xmlns:ds="http://schemas.openxmlformats.org/officeDocument/2006/customXml" ds:itemID="{4BC9A976-2309-4524-A26C-5F7B48980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cf9b5-eddf-445b-9443-49e2cf59e84c"/>
    <ds:schemaRef ds:uri="8fca4d85-dc94-44b6-a2af-43ab10308c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3614B3-5E73-4138-968D-F67D0D3BA0DF}">
  <ds:schemaRefs>
    <ds:schemaRef ds:uri="http://schemas.microsoft.com/sharepoint/v3/contenttype/forms"/>
  </ds:schemaRefs>
</ds:datastoreItem>
</file>

<file path=customXml/itemProps3.xml><?xml version="1.0" encoding="utf-8"?>
<ds:datastoreItem xmlns:ds="http://schemas.openxmlformats.org/officeDocument/2006/customXml" ds:itemID="{1979F939-F17C-4C36-94E4-074150C0CF05}">
  <ds:schemaRefs>
    <ds:schemaRef ds:uri="http://schemas.microsoft.com/office/2006/metadata/properties"/>
    <ds:schemaRef ds:uri="http://schemas.microsoft.com/office/infopath/2007/PartnerControls"/>
    <ds:schemaRef ds:uri="a09cf9b5-eddf-445b-9443-49e2cf59e84c"/>
    <ds:schemaRef ds:uri="8fca4d85-dc94-44b6-a2af-43ab10308c69"/>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REM0029</dc:title>
  <cp:revision>0</cp:revision>
</cp:coreProperties>
</file>