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E4203" w:rsidRPr="00B74F2E" w:rsidP="000E4203">
      <w:pPr>
        <w:rPr>
          <w:rFonts w:ascii="Calibri" w:hAnsi="Calibri" w:cs="Calibri"/>
          <w:b/>
          <w:bCs/>
          <w:sz w:val="22"/>
          <w:szCs w:val="22"/>
        </w:rPr>
      </w:pPr>
    </w:p>
    <w:p w:rsidR="000E4203" w:rsidRPr="00B74F2E" w:rsidP="000E4203">
      <w:pPr>
        <w:jc w:val="center"/>
        <w:rPr>
          <w:rFonts w:ascii="Calibri" w:hAnsi="Calibri" w:cs="Calibri"/>
          <w:sz w:val="32"/>
          <w:szCs w:val="32"/>
        </w:rPr>
      </w:pPr>
      <w:r w:rsidRPr="00B74F2E">
        <w:rPr>
          <w:rFonts w:ascii="Calibri" w:hAnsi="Calibri" w:cs="Calibri"/>
          <w:sz w:val="32"/>
          <w:szCs w:val="32"/>
        </w:rPr>
        <w:t>Written Evidence Submitted by Common Sense Policy Group (CYM0147)</w:t>
      </w:r>
    </w:p>
    <w:p w:rsidR="000E4203" w:rsidRPr="00B74F2E" w:rsidP="00FF301E">
      <w:pPr>
        <w:rPr>
          <w:rFonts w:ascii="Calibri" w:hAnsi="Calibri" w:cs="Calibri"/>
          <w:b/>
          <w:bCs/>
          <w:sz w:val="22"/>
          <w:szCs w:val="22"/>
        </w:rPr>
      </w:pPr>
    </w:p>
    <w:p w:rsidR="000E4203" w:rsidRPr="00B74F2E" w:rsidP="00FF301E">
      <w:pPr>
        <w:rPr>
          <w:rFonts w:ascii="Calibri" w:hAnsi="Calibri" w:cs="Calibri"/>
          <w:b/>
          <w:bCs/>
          <w:sz w:val="22"/>
          <w:szCs w:val="22"/>
        </w:rPr>
      </w:pPr>
    </w:p>
    <w:p w:rsidR="000E4203" w:rsidRPr="00B74F2E" w:rsidP="00FF301E">
      <w:pPr>
        <w:rPr>
          <w:rFonts w:ascii="Calibri" w:hAnsi="Calibri" w:cs="Calibri"/>
          <w:b/>
          <w:bCs/>
          <w:sz w:val="22"/>
          <w:szCs w:val="22"/>
        </w:rPr>
      </w:pPr>
    </w:p>
    <w:p w:rsidR="000E4203" w:rsidRPr="00B74F2E" w:rsidP="00FF301E">
      <w:pPr>
        <w:rPr>
          <w:rFonts w:ascii="Calibri" w:hAnsi="Calibri" w:cs="Calibri"/>
          <w:b/>
          <w:bCs/>
          <w:sz w:val="22"/>
          <w:szCs w:val="22"/>
        </w:rPr>
      </w:pPr>
    </w:p>
    <w:p w:rsidR="003B7220" w:rsidRPr="00B74F2E" w:rsidP="00FF301E">
      <w:pPr>
        <w:rPr>
          <w:rFonts w:ascii="Calibri" w:hAnsi="Calibri" w:cs="Calibri"/>
          <w:b/>
          <w:bCs/>
          <w:sz w:val="22"/>
          <w:szCs w:val="22"/>
        </w:rPr>
      </w:pPr>
      <w:r w:rsidRPr="00B74F2E">
        <w:rPr>
          <w:rFonts w:ascii="Calibri" w:hAnsi="Calibri" w:cs="Calibri"/>
          <w:b/>
          <w:bCs/>
          <w:sz w:val="22"/>
          <w:szCs w:val="22"/>
        </w:rPr>
        <w:t>Upstream cash-based interventions are key to addressing mental health among children and young people</w:t>
      </w:r>
    </w:p>
    <w:p w:rsidR="003B7220" w:rsidRPr="00B74F2E" w:rsidP="00FF301E">
      <w:pPr>
        <w:rPr>
          <w:rFonts w:ascii="Calibri" w:hAnsi="Calibri" w:cs="Calibri"/>
          <w:b/>
          <w:bCs/>
          <w:sz w:val="22"/>
          <w:szCs w:val="22"/>
        </w:rPr>
      </w:pPr>
      <w:r w:rsidRPr="00B74F2E">
        <w:rPr>
          <w:rFonts w:ascii="Calibri" w:hAnsi="Calibri" w:cs="Calibri"/>
          <w:b/>
          <w:bCs/>
          <w:sz w:val="22"/>
          <w:szCs w:val="22"/>
        </w:rPr>
        <w:t>Written evidence submitted by the Common Sense Policy Group to the Education Committee &amp; Health and Social Care Committee Inquiry into Children and Young People's Mental Health</w:t>
      </w:r>
    </w:p>
    <w:p w:rsidR="003B7220" w:rsidRPr="00B74F2E" w:rsidP="67349F94">
      <w:pPr>
        <w:rPr>
          <w:rFonts w:ascii="Calibri" w:hAnsi="Calibri" w:cs="Calibri"/>
          <w:sz w:val="22"/>
          <w:szCs w:val="22"/>
        </w:rPr>
      </w:pPr>
      <w:r w:rsidRPr="00B74F2E">
        <w:rPr>
          <w:rFonts w:ascii="Calibri" w:hAnsi="Calibri" w:cs="Calibri"/>
          <w:sz w:val="22"/>
          <w:szCs w:val="22"/>
        </w:rPr>
        <w:t>Anna Thew,</w:t>
      </w:r>
      <w:r>
        <w:rPr>
          <w:rFonts w:ascii="Calibri" w:hAnsi="Calibri" w:cs="Calibri"/>
          <w:sz w:val="22"/>
          <w:szCs w:val="22"/>
          <w:vertAlign w:val="superscript"/>
        </w:rPr>
        <w:footnoteReference w:id="2"/>
      </w:r>
      <w:r w:rsidRPr="00B74F2E">
        <w:rPr>
          <w:rFonts w:ascii="Calibri" w:hAnsi="Calibri" w:cs="Calibri"/>
          <w:sz w:val="22"/>
          <w:szCs w:val="22"/>
        </w:rPr>
        <w:t xml:space="preserve"> Professor Elliott Johnson</w:t>
      </w:r>
      <w:r w:rsidRPr="00B74F2E">
        <w:rPr>
          <w:rFonts w:ascii="Calibri" w:hAnsi="Calibri" w:cs="Calibri"/>
          <w:sz w:val="22"/>
          <w:szCs w:val="22"/>
          <w:vertAlign w:val="superscript"/>
        </w:rPr>
        <w:t xml:space="preserve"> </w:t>
      </w:r>
      <w:r>
        <w:rPr>
          <w:rFonts w:ascii="Calibri" w:hAnsi="Calibri" w:cs="Calibri"/>
          <w:sz w:val="22"/>
          <w:szCs w:val="22"/>
          <w:vertAlign w:val="superscript"/>
        </w:rPr>
        <w:footnoteReference w:id="3"/>
      </w:r>
      <w:r w:rsidRPr="00B74F2E">
        <w:rPr>
          <w:rFonts w:ascii="Calibri" w:hAnsi="Calibri" w:cs="Calibri"/>
          <w:sz w:val="22"/>
          <w:szCs w:val="22"/>
        </w:rPr>
        <w:t>, Professor Howard Reed</w:t>
      </w:r>
      <w:r>
        <w:rPr>
          <w:rStyle w:val="FootnoteReference"/>
          <w:rFonts w:ascii="Calibri" w:hAnsi="Calibri" w:cs="Calibri"/>
          <w:sz w:val="22"/>
          <w:szCs w:val="22"/>
        </w:rPr>
        <w:footnoteReference w:id="4"/>
      </w:r>
      <w:r w:rsidRPr="00B74F2E">
        <w:rPr>
          <w:rFonts w:ascii="Calibri" w:hAnsi="Calibri" w:cs="Calibri"/>
          <w:sz w:val="22"/>
          <w:szCs w:val="22"/>
        </w:rPr>
        <w:t xml:space="preserve"> Prof Matthew Johnson</w:t>
      </w:r>
      <w:r>
        <w:rPr>
          <w:rFonts w:ascii="Calibri" w:hAnsi="Calibri" w:cs="Calibri"/>
          <w:sz w:val="22"/>
          <w:szCs w:val="22"/>
          <w:vertAlign w:val="superscript"/>
        </w:rPr>
        <w:footnoteReference w:id="5"/>
      </w:r>
      <w:r w:rsidRPr="00B74F2E">
        <w:rPr>
          <w:rFonts w:ascii="Calibri" w:hAnsi="Calibri" w:cs="Calibri"/>
          <w:sz w:val="22"/>
          <w:szCs w:val="22"/>
        </w:rPr>
        <w:t xml:space="preserve">, on behalf of the Common Sense Policy Group </w:t>
      </w:r>
    </w:p>
    <w:p w:rsidR="003B7220" w:rsidRPr="00B74F2E" w:rsidP="00115F99">
      <w:pPr>
        <w:rPr>
          <w:rFonts w:ascii="Calibri" w:hAnsi="Calibri" w:eastAsiaTheme="majorEastAsia" w:cs="Calibri"/>
          <w:sz w:val="22"/>
          <w:szCs w:val="22"/>
        </w:rPr>
      </w:pPr>
      <w:r w:rsidRPr="00B74F2E">
        <w:rPr>
          <w:rFonts w:ascii="Calibri" w:hAnsi="Calibri" w:cs="Calibri"/>
          <w:sz w:val="22"/>
          <w:szCs w:val="22"/>
        </w:rPr>
        <w:t>The Common Sense Policy Group (</w:t>
      </w:r>
      <w:r>
        <w:fldChar w:fldCharType="begin"/>
      </w:r>
      <w:r>
        <w:instrText xml:space="preserve"> HYPERLINK "https://commonsensepolicygroup.com/" </w:instrText>
      </w:r>
      <w:r>
        <w:fldChar w:fldCharType="separate"/>
      </w:r>
      <w:r w:rsidRPr="00B74F2E">
        <w:rPr>
          <w:rStyle w:val="Hyperlink"/>
          <w:rFonts w:ascii="Calibri" w:hAnsi="Calibri" w:cs="Calibri"/>
          <w:color w:val="auto"/>
          <w:sz w:val="22"/>
          <w:szCs w:val="22"/>
        </w:rPr>
        <w:t>https://commonsensepolicygroup.com/</w:t>
      </w:r>
      <w:r>
        <w:fldChar w:fldCharType="end"/>
      </w:r>
      <w:r w:rsidRPr="00B74F2E">
        <w:rPr>
          <w:rFonts w:ascii="Calibri" w:hAnsi="Calibri" w:cs="Calibri"/>
          <w:sz w:val="22"/>
          <w:szCs w:val="22"/>
        </w:rPr>
        <w:t>) is a think tank which develops feasible, affordable and popular redistributive policies based on research undertaken by a core team of academics based at the university of Northumbria.</w:t>
      </w:r>
      <w:r w:rsidRPr="00B74F2E">
        <w:rPr>
          <w:rFonts w:ascii="Calibri" w:hAnsi="Calibri" w:cs="Calibri"/>
          <w:sz w:val="22"/>
          <w:szCs w:val="22"/>
        </w:rPr>
        <w:br/>
      </w:r>
      <w:r w:rsidRPr="00B74F2E">
        <w:rPr>
          <w:rStyle w:val="Heading5Char"/>
          <w:rFonts w:ascii="Calibri" w:hAnsi="Calibri" w:cs="Calibri"/>
          <w:color w:val="auto"/>
          <w:sz w:val="22"/>
          <w:szCs w:val="22"/>
        </w:rPr>
        <w:br/>
        <w:t xml:space="preserve">Introduction: </w:t>
      </w:r>
      <w:r w:rsidRPr="00B74F2E">
        <w:rPr>
          <w:rFonts w:ascii="Calibri" w:hAnsi="Calibri" w:eastAsiaTheme="majorEastAsia" w:cs="Calibri"/>
          <w:sz w:val="22"/>
          <w:szCs w:val="22"/>
        </w:rPr>
        <w:t>What factors are driving recent trends in children and young people’s mental health?</w:t>
      </w:r>
      <w:r w:rsidRPr="00B74F2E">
        <w:rPr>
          <w:rFonts w:ascii="Calibri" w:hAnsi="Calibri" w:eastAsiaTheme="majorEastAsia" w:cs="Calibri"/>
          <w:sz w:val="22"/>
          <w:szCs w:val="22"/>
        </w:rPr>
        <w:br/>
      </w:r>
      <w:r w:rsidRPr="00B74F2E">
        <w:rPr>
          <w:rFonts w:ascii="Calibri" w:hAnsi="Calibri" w:eastAsiaTheme="majorEastAsia" w:cs="Calibri"/>
          <w:sz w:val="22"/>
          <w:szCs w:val="22"/>
        </w:rPr>
        <w:br/>
      </w:r>
      <w:r w:rsidRPr="00B74F2E">
        <w:rPr>
          <w:rFonts w:ascii="Calibri" w:hAnsi="Calibri" w:cs="Calibri"/>
          <w:sz w:val="22"/>
          <w:szCs w:val="22"/>
        </w:rPr>
        <w:t xml:space="preserve">Mental health conditions have slowly been increasing among young people in the UK. Between 2012-13 and 2022-23, incidences of mental health conditions for under 25s rose by 10 percentage points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{"citationID":"Zj16BQKb","properties":{"formattedCitation":"(Stark et al., 2024)","plainCitation":"(Stark et al., 2024)","noteIndex":0},"citationItems":[{"id":992,"uris":["http://zotero.org/users/16482178/items/SN5WUF33"],"itemData":{"id":992,"type":"article-journal","abstract":"Common Sense Policy Group reports published during 2025","DOI":"10.17605/OSF.IO/FX35W","language":"en","license":"Creative Commons Attribution Non Commercial 4.0 International","publisher":"OSF","source":"DOI.org (Datacite)","title":"Count the Costs: A Common Sense Update for the 2025 Spring Statement","URL":"https://osf.io/fx35w/","author":[{"family":"Stark","given":"Graham"},{"family":"Johnson","given":"Elliott"},{"family":"Johnson","given":"Matthew T."},{"family":"Thew","given":"Anna Frances"},{"family":"Reed","given":"Howard"},{"family":"Nettle","given":"Daniel"}],"contributor":[{"literal":"Center for Open Science"}],"accessed":{"date-parts":[["2026",3,24]]},"issued":{"date-parts":[["2024"]]}}}],"schema":"https://github.com/citation-style-language/schema/raw/master/csl-citation.json"}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(Stark et al., 2024)</w:t>
      </w:r>
      <w:r w:rsidRPr="00B74F2E">
        <w:rPr>
          <w:rFonts w:ascii="Calibri" w:hAnsi="Calibri" w:cs="Calibri"/>
          <w:sz w:val="22"/>
          <w:szCs w:val="22"/>
        </w:rPr>
        <w:fldChar w:fldCharType="end"/>
      </w:r>
      <w:r w:rsidRPr="00B74F2E">
        <w:rPr>
          <w:rFonts w:ascii="Calibri" w:hAnsi="Calibri" w:cs="Calibri"/>
          <w:sz w:val="22"/>
          <w:szCs w:val="22"/>
        </w:rPr>
        <w:t xml:space="preserve">. A meta-analysis of 11 high-income countries indicated that one in eight children have mental disorders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{"citationID":"Cy0GiqBp","properties":{"formattedCitation":"(Barican et al., 2022)","plainCitation":"(Barican et al., 2022)","noteIndex":0},"citationItems":[{"id":988,"uris":["http://zotero.org/users/16482178/items/UI4FU3GJ"],"itemData":{"id":988,"type":"article-journal","abstract":"Question Mental disorders typically start in childhood and persist, causing high individual and collective burdens. To inform policymaking to address children’s mental health in high-income countries we aimed to identify updated data on disorder prevalence.Methods We identified epidemiological studies reporting mental disorder prevalence in representative samples of children aged 18 years or younger—including a range of disorders and ages and assessing impairment (searching January 1990 through February 2021). We extracted associated service-use data where studies assessed this. We conducted meta-analyses using a random effects logistic model (using R metafor package).Findings Fourteen studies in 11 countries met inclusion criteria, published from 2003 to 2020 with a pooled sample of 61 545 children aged 4–18 years, including eight reporting service use. (All data were collected pre-COVID-19.) Overall prevalence of any childhood mental disorder was 12.7% (95% CI 10.1% to 15.9%; I 2=99.1%). Significant heterogeneity pertained to diagnostic measurement and study location. Anxiety (5.2%), attention-deficit/hyperactivity (3.7%), oppositional defiant (3.3%), substance use (2.3%), conduct (1.3%) and depressive (1.3%) disorders were the most common. Among children with mental disorders, only 44.2% (95% CI 37.6% to 50.9%) received any services for these conditions.Conclusions An estimated one in eight children have mental disorders at any given time, causing symptoms and impairment, therefore requiring treatment. Yet even in high-income countries, most children with mental disorders are not receiving services for these conditions. We discuss the implications, particularly the need to substantially increase public investments in effective interventions. We also discuss the policy urgency, given the emerging increases in childhood mental health problems since the onset of the COVID-19 pandemic (PROSPERO CRD42020157262).","container-title":"Evidence Based Mental Health","DOI":"10.1136/ebmental-2021-300277","ISSN":"1468-960X","issue":"1","journalAbbreviation":"Evid Based Mental Health","language":"en","license":"This is an open access article distributed in accordance with the Creative Commons Attribution Non Commercial (CC BY-NC 4.0) license","PMID":"10.1136/ebmental-2021-300277","publisher":"BMJ Publishing Group Ltd, Royal College of Psychiatrists and British Psychological Society","source":"mentalhealth.bmj.com","title":"Prevalence of childhood mental disorders in high-income countries: a systematic review and meta-analysis to inform policymaking","title-short":"Prevalence of childhood mental disorders in high-income countries","URL":"https://mentalhealth.bmj.com/content/25/1/36","volume":"25","author":[{"family":"Barican","given":"Jenny Lou"},{"family":"Yung","given":"Donna"},{"family":"Schwartz","given":"Christine"},{"family":"Zheng","given":"Yufei"},{"family":"Georgiades","given":"Katholiki"},{"family":"Waddell","given":"Charlotte"}],"accessed":{"date-parts":[["2026",3,24]]},"issued":{"date-parts":[["2022",1,20]]}}}],"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(Barican et al., 2022)</w:t>
      </w:r>
      <w:r w:rsidRPr="00B74F2E">
        <w:rPr>
          <w:rFonts w:ascii="Calibri" w:hAnsi="Calibri" w:cs="Calibri"/>
          <w:sz w:val="22"/>
          <w:szCs w:val="22"/>
        </w:rPr>
        <w:fldChar w:fldCharType="end"/>
      </w:r>
      <w:r w:rsidRPr="00B74F2E">
        <w:rPr>
          <w:rFonts w:ascii="Calibri" w:hAnsi="Calibri" w:cs="Calibri"/>
          <w:sz w:val="22"/>
          <w:szCs w:val="22"/>
        </w:rPr>
        <w:t xml:space="preserve">. So far, the approach to addressing children and young people’s mental health has centred on expanding services. Rising demand and under-funded services are leaving thousands of young people without the support they need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{"citationID":"iN3t4B85","properties":{"formattedCitation":"(Fashina-Ayilara &amp; Byrne, 2025)","plainCitation":"(Fashina-Ayilara &amp; Byrne, 2025)","noteIndex":0},"citationItems":[{"id":1035,"uris":["http://zotero.org/users/16482178/items/TA7NT285"],"itemData":{"id":1035,"type":"webpage","publisher":"Mind","title":"Care Before Crisis: report on young people's mental health","URL":"https://www.mind.org.uk/news-campaigns/campaigns/children-and-young-peoples-mental-health/care-before-crisis-our-report-on-young-peoples-mental-health/","author":[{"family":"Fashina-Ayilara","given":"Tula"},{"family":"Byrne","given":"Gemma"}],"accessed":{"date-parts":[["2026",3,26]]},"issued":{"date-parts":[["2025",10]]}}}],"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(Fashina-Ayilara &amp; Byrne, 2025)</w:t>
      </w:r>
      <w:r w:rsidRPr="00B74F2E">
        <w:rPr>
          <w:rFonts w:ascii="Calibri" w:hAnsi="Calibri" w:cs="Calibri"/>
          <w:sz w:val="22"/>
          <w:szCs w:val="22"/>
        </w:rPr>
        <w:fldChar w:fldCharType="end"/>
      </w:r>
      <w:r w:rsidRPr="00B74F2E">
        <w:rPr>
          <w:rFonts w:ascii="Calibri" w:hAnsi="Calibri" w:cs="Calibri"/>
          <w:sz w:val="22"/>
          <w:szCs w:val="22"/>
        </w:rPr>
        <w:t xml:space="preserve">. In addition to service provision, there is a growing focus on the underlying causes of poor mental health in children and young people and how to best prevent mental health problems from worsening. It is argued that a series of crises from austerity, the Covid-19 pandemic and cost of living pressures may have contributed to a significant rise in childhood mental health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{"citationID":"28PoAbvo","properties":{"formattedCitation":"(Ma et al., 2021; Thomson &amp; Katikireddi, 2018)","plainCitation":"(Ma et al., 2021; Thomson &amp; Katikireddi, 2018)","dontUpdate":true,"noteIndex":0},"citationItems":[{"id":996,"uris":["http://zotero.org/users/16482178/items/NP235KBA"],"itemData":{"id":996,"type":"article-journal","abstract":"Background\nThis systematic review and meta-analysis examined the prevalence of depression, anxiety, sleep disorders, and posttraumatic stress symptoms among children and adolescents during global COVID-19 pandemic in 2019 to 2020, and the potential modifying effects of age and gender.\nMethods\nA literature search was conducted in PubMed, Web of Science, PsycINFO, and two Chinese academic databases (China National Knowledge Infrastructure and Wanfang) for studies published from December 2019 to September 2020 that reported the prevalence of above mental health problems among children and adolescents. Random-effects meta-analyses were used to estimate the pooled prevalence.\nResults\nTwenty-three studies (21 cross-sectional studies and 2 longitudinal studies) from two countries (i.e., China and Turkey) with 57,927 children and adolescents were identified. Depression, anxiety, sleep disorders, and posttraumatic stress symptoms were assessed in 12, 13, 2, and 2 studies, respectively. Meta-analysis of results from these studies showed that the pooled prevalence of depression, anxiety, sleep disorders, and posttraumatic stress symptoms were 29% (95%CI: 17%, 40%), 26% (95%CI: 16%, 35%), 44% (95%CI: 21%, 68%), and 48% (95%CI: -0.25, 1.21), respectively. The subgroup meta-analysis revealed that adolescents and females exhibited higher prevalence of depression and anxiety compared to children and males, respectively.\nLimitations\nAll studies in meta-analysis were from China limited the generalizability of our findings.\nConclusions\nEarly evidence highlights the high prevalence of mental health problems among children and adolescents during the COVID-19 pandemic, especially among female and adolescents. Studies investigating the mental health of children and adolescents from countries other than China are urgently needed.","container-title":"Journal of Affective Disorders","DOI":"10.1016/j.jad.2021.06.021","ISSN":"0165-0327","journalAbbreviation":"Journal of Affective Disorders","page":"78-89","source":"ScienceDirect","title":"Prevalence of mental health problems among children and adolescents during the COVID-19 pandemic: A systematic review and meta-analysis","title-short":"Prevalence of mental health problems among children and adolescents during the COVID-19 pandemic","volume":"293","author":[{"family":"Ma","given":"Lu"},{"family":"Mazidi","given":"Mohsen"},{"family":"Li","given":"Ke"},{"family":"Li","given":"Yixuan"},{"family":"Chen","given":"Shiqi"},{"family":"Kirwan","given":"Richard"},{"family":"Zhou","given":"Haixia"},{"family":"Yan","given":"Na"},{"family":"Rahman","given":"Atif"},{"family":"Wang","given":"Weidong"},{"family":"Wang","given":"Youfa"}],"issued":{"date-parts":[["2021",10,1]]}}},{"id":993,"uris":["http://zotero.org/users/16482178/items/67NPZ8ZX"],"itemData":{"id":993,"type":"article-journal","abstract":"Those born in the United Kingdom post-1979 have been described as a ‘jilted generation’, materially disadvantaged by economic and social policy; however, it is unclear whether this resulted in their experiencing poorer mental health than previous cohorts. Following the 2008 recession, UK austerity reforms associated with worsening mental health also disproportionately impacted those of younger working-age. This study aimed to identify any historic cohort changes in population mental health, and whether austerity widened generational inequalities. Repeat cross-sectional data from the Health Survey for England (1991–2014) were used to calculate prevalence of psychopathology for those of younger and older working-age (16–30 and 31–64 years) and retirement-age (65+ years), measured by General Health Questionnaire-12 (GHQ) score ≥ 4 (caseness). Descriptive age-period-cohort analysis was performed for 15-year birth cohorts, including the jilted generation (born 1976-90). Logistic regression tested differences in outcome between groups. Age-specific GHQ caseness between successive birth cohorts did not significantly change for men, and significantly improved between 2.8% (95% CI 0.1%–5.5%) and 4.4% (95% CI 2.2%–6.7%) for women. Secondary analysis adjusting for education partially explained this improvement. Following the recession, GHQ caseness worsened in men of younger and older working-age by 3.7% (95% CI 1.2%–6.2%) and 3.5% (95% CI 2.1%–5.0%) respectively before returning to baseline during austerity. All women experienced non-significant increases post-recession, but trends diverged during austerity with caseness worsening by 2.3% (95% CI 1.0%–3.6%) for older working-age women versus 3.7% (95% CI 1.3%–6.2%) for younger working-age women. Those of retirement-age experienced little change throughout. In summary, mental health has historically improved between successive cohorts, including for the jilted generation. However, the 2008 recession and subsequent austerity could be most impacting those of younger working-age, particularly women, to create a new cohort effect. Policymakers should consider the differential impact economic and social policy may have across society by age.","container-title":"Social Science &amp; Medicine","DOI":"10.1016/j.socscimed.2018.08.034","ISSN":"0277-9536","journalAbbreviation":"Social Science &amp; Medicine","page":"133-143","source":"ScienceDirect","title":"Mental health and the jilted generation: Using age-period-cohort analysis to assess differential trends in young people's mental health following the Great Recession and austerity in England","title-short":"Mental health and the jilted generation","volume":"214","author":[{"family":"Thomson","given":"Rachel M."},{"family":"Katikireddi","given":"Srinivasa Vittal"}],"issued":{"date-parts":[["2018",10,1]]}}}],"schema":"https://github.com/citation-style-language/schema/raw/master/csl-citation.json"}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(Ma et al., 2021; Thomson &amp; Katikireddi, 2018; )</w:t>
      </w:r>
      <w:r w:rsidRPr="00B74F2E">
        <w:rPr>
          <w:rFonts w:ascii="Calibri" w:hAnsi="Calibri" w:cs="Calibri"/>
          <w:sz w:val="22"/>
          <w:szCs w:val="22"/>
        </w:rPr>
        <w:fldChar w:fldCharType="end"/>
      </w:r>
      <w:r w:rsidRPr="00B74F2E">
        <w:rPr>
          <w:rFonts w:ascii="Calibri" w:hAnsi="Calibri" w:cs="Calibri"/>
          <w:sz w:val="22"/>
          <w:szCs w:val="22"/>
        </w:rPr>
        <w:t xml:space="preserve">. In particular, substantial body of evidence demonstrates that mental health conditions, in particular, anxiety and depression, are shaped by social determinants including income, education, social capital and opportunity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{"citationID":"1atQXHcJ","properties":{"formattedCitation":"(Kromydas et al., 2021; Parra-Mujica et al., 2023; Thomson et al., 2022)","plainCitation":"(Kromydas et al., 2021; Parra-Mujica et al., 2023; Thomson et al., 2022)","noteIndex":0},"citationItems":[{"id":1010,"uris":["http://zotero.org/users/16482178/items/8IFBXUD3"],"itemData":{"id":1010,"type":"article-journal","abstract":"Background\nThe relative importance of income, poverty and unemployment status for mental health is unclear, and understanding this has implications for income and welfare policy design. We aimed to assess the association between changes in these exposures and mental health.\nMethods\nWe measured effects of three transition exposures between waves of the UK Household Longitudinal Study from 2010/11–2019/20 (n=38,697, obs=173,859): income decreases/increases, moving in/out of poverty, and job losses/gains. The outcome was General Health Questionnaire (GHQ), which measures likelihood of common mental disorder (CMD) as a continuous (GHQ-36) and binary measure (score ≥4 = case). We used fixed-effects linear and linear probability models to adjust for time invariant and time-varying confounders. To investigate effect modification, we stratified analyses by age, sex and highest education.\nResults\nA 10% income decrease/increase was associated with a 0.02% increase (95% CI 0.00, 0.04) and 0.01% reduction (95% CI -0.03, 0.02) in likelihood of CMD respectively. Effect sizes were larger for moving into poverty (+1.8% [0.2, 3.5]), out of poverty (−1.8%, [-3.2, −0.3]), job loss (+15.8%, [13.6, 18.0]) and job gain (−11.4%, [-14.4, −8.4]). The effect of new poverty was greater for women (+2.3% [0.8, 3.9] versus +1.2% [-1.1, 3.5] for men) but the opposite was true for job loss (+17.8% [14.4, 21.2] for men versus +13.5% [9.8, 17.2] for women). There were no clear differences by age, but those with least education experienced the largest effects from poverty transitions, especially moving out of poverty (−2.9%, [-5.7, −0.0]).\nConclusions\nMoving into unemployment was most strongly associated with CMD, with poverty also important but income effects generally much smaller. Men appear most sensitive to employment transitions, but poverty may have larger impacts on women and those with least education. As the COVID-19 pandemic recedes, minimising unemployment as well as poverty is crucial for population mental health.","container-title":"SSM - Population Health","DOI":"10.1016/j.ssmph.2021.100909","ISSN":"2352-8273","journalAbbreviation":"SSM - Population Health","page":"100909","source":"ScienceDirect","title":"Which is most important for mental health: Money, poverty, or paid work? A fixed-effects analysis of the UK Household Longitudinal Study","title-short":"Which is most important for mental health","volume":"15","author":[{"family":"Kromydas","given":"Theocharis"},{"family":"Thomson","given":"Rachel M."},{"family":"Pulford","given":"Andrew"},{"family":"Green","given":"Michael J."},{"family":"Katikireddi","given":"S. Vittal"}],"issued":{"date-parts":[["2021",9,1]]}}},{"id":1005,"uris":["http://zotero.org/users/16482178/items/DUQ79Y6L"],"itemData":{"id":1005,"type":"article-journal","abstract":"A substantial body of evidence suggests that young people, including those at the crucial transition points between 16 and 24, now face severe mental health challenges. In this article, we analyse data from 10 waves of a major UK longitudinal household cohort study, Understanding Society, to examine the relationship between income and anxiety and depression among 16- to 24-year-olds. Using random effects logistic regression (Model 1) allowing for whether the individual was depressed in the previous period as well as sex, age, ethnicity, whether the individual was born in the UK, region, rurality, highest qualification, marital status, employment status and attrition, we find a significant and inversely monotonic adjusted association between average net equivalised household income quintiles and clinical threshold levels of depressive symptoms SF-12 Mental Component Summary (MCS score ≤45.6). This means that being in a higher income group is associated with a reduced likelihood of clinically significant depressive symptoms, allowing for observable confounding variables. Using a ‘within-between’ model (Model 2), we find that apart from among those with the very highest incomes, increases in average net equivalised household income over the course of childhood and adolescence are significantly associated with reduced symptoms of anxiety and depression as measured by a higher SF-12 MCS score. Compared with previous reviews, the data presented here provides an estimate of the magnitude of effect that helps facilitate microsimulation modelling of impact on anxiety and depression from changes in socioeconomic circumstances. This enables a more detailed and complete understanding of the types of socioeconomic intervention that might begin to address some of the causes of youth mental health problems.","container-title":"PLOS ONE","DOI":"10.1371/journal.pone.0279845","ISSN":"1932-6203","issue":"2","journalAbbreviation":"PLOS ONE","language":"en","page":"e0279845","publisher":"Public Library of Science","source":"PLoS Journals","title":"Understanding the relationship between income and mental health among 16- to 24-year-olds: Analysis of 10 waves (2009–2020) of Understanding Society to enable modelling of income interventions","title-short":"Understanding the relationship between income and mental health among 16- to 24-year-olds","volume":"18","author":[{"family":"Parra-Mujica","given":"Fiorella"},{"family":"Johnson","given":"Elliott"},{"family":"Reed","given":"Howard"},{"family":"Cookson","given":"Richard"},{"family":"Johnson","given":"Matthew"}],"issued":{"date-parts":[["2023",2,28]]}}},{"id":1007,"uris":["http://zotero.org/users/16482178/items/HI8VVBBV"],"itemData":{"id":1007,"type":"article-journal","abstract":"Background\nLower incomes are associated with poorer mental health and wellbeing, but the extent to which income has a causal effect is debated. We aimed to synthesise evidence from studies measuring the impact of changes in individual and household income on mental health and wellbeing outcomes in working-age adults (aged 16–64 years).\nMethods\nFor this systematic review and meta-analysis, we searched MEDLINE, Embase, Web of Science, PsycINFO, ASSIA, EconLit, and RePEc on Feb 5, 2020, for randomised controlled trials (RCTs) and quantitative non-randomised studies. We had no date limits for our search. We included English-language studies measuring effects of individual or household income change on any mental health or wellbeing outcome. We used Cochrane risk of bias (RoB) tools. We conducted three-level random-effects meta-analyses, and explored heterogeneity using meta-regression and stratified analyses. Synthesis without meta-analysis was based on effect direction. Critical RoB studies were excluded from primary analyses. Certainty of evidence was assessed using Grading of Recommendations Assessment, Development and Evaluation (GRADE). This study is registered with PROSPERO, CRD42020168379.\nFindings\nOf 16 521 citations screened, 136 were narratively synthesised (12·5% RCTs) and 86 meta-analysed. RoB was high: 30·1% were rated critical and 47·1% serious or high. A binary income increase lifting individuals out of poverty was associated with 0·13 SD improvement in mental health measures (95% CI 0·07 to 0·20; n=42 128; 18 studies), considerably larger than other income increases (0·01 SD improvement, 0·002 to 0·019; n=216 509, 14 studies). For wellbeing, increases out of poverty were associated with 0·38 SD improvement (0·09 to 0·66; n=101 350, 8 studies) versus 0·16 for other income increases (0·07 to 0·25; n=62 619, 11 studies). Income decreases from any source were associated with 0·21 SD worsening of mental health measures (–0·30 to –0·13; n=227 804, 11 studies). Effect sizes were larger in low-income and middle-income settings and in higher RoB studies. Heterogeneity was high (I2=79–87%). GRADE certainty was low or very low.\nInterpretation\nIncome changes probably impact mental health, particularly where they move individuals out of poverty, although effect sizes are modest and certainty low. Effects are larger for wellbeing outcomes, and potentially for income losses. To best support population mental health, welfare policies need to reach the most socioeconomically disadvantaged.\nFunding\nWellcome Trust, Medical Research Council, Chief Scientist Office, and European Research Council.","container-title":"The Lancet Public Health","DOI":"10.1016/S2468-2667(22)00058-5","ISSN":"2468-2667","issue":"6","journalAbbreviation":"The Lancet Public Health","page":"e515-e528","source":"ScienceDirect","title":"How do income changes impact on mental health and wellbeing for working-age adults? A systematic review and meta-analysis","title-short":"How do income changes impact on mental health and wellbeing for working-age adults?","volume":"7","author":[{"family":"Thomson","given":"Rachel M"},{"family":"Igelström","given":"Erik"},{"family":"Purba","given":"Amrit Kaur"},{"family":"Shimonovich","given":"Michal"},{"family":"Thomson","given":"Hilary"},{"family":"McCartney","given":"Gerry"},{"family":"Reeves","given":"Aaron"},{"family":"Leyland","given":"Alastair"},{"family":"Pearce","given":"Anna"},{"family":"Katikireddi","given":"S Vittal"}],"issued":{"date-parts":[["2022",6,1]]}}}],"schema":"https://github.com/citation-style-language/schema/raw/master/csl-citation.json"}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 xml:space="preserve">(Kromydas et al., 2021; Parra-Mujica et </w:t>
      </w:r>
      <w:r w:rsidRPr="00B74F2E">
        <w:rPr>
          <w:rFonts w:ascii="Calibri" w:hAnsi="Calibri" w:cs="Calibri"/>
          <w:sz w:val="22"/>
        </w:rPr>
        <w:t>al., 2023; Thomson et al., 2022)</w:t>
      </w:r>
      <w:r w:rsidRPr="00B74F2E">
        <w:rPr>
          <w:rFonts w:ascii="Calibri" w:hAnsi="Calibri" w:cs="Calibri"/>
          <w:sz w:val="22"/>
          <w:szCs w:val="22"/>
        </w:rPr>
        <w:fldChar w:fldCharType="end"/>
      </w:r>
      <w:r w:rsidRPr="00B74F2E">
        <w:rPr>
          <w:rFonts w:ascii="Calibri" w:hAnsi="Calibri" w:cs="Calibri"/>
          <w:sz w:val="22"/>
          <w:szCs w:val="22"/>
        </w:rPr>
        <w:t xml:space="preserve">. Indeed the likelihood of children and young people experiencing clinically significant anxiety and depression increases consistently as household income decreases, with each lower income group reporting higher rates of symptoms than the income group above it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{"citationID":"svb3prL1","properties":{"formattedCitation":"(Chen et al., 2023)","plainCitation":"(Chen et al., 2023)","noteIndex":0},"citationItems":[{"id":1003,"uris":["http://zotero.org/users/16482178/items/MWYMGLCE"],"itemData":{"id":1003,"type":"article-journal","abstract":"Objective Universal Basic Income (UBI)—a largely unconditional, regular payment to all adults to support basic needs—has been proposed as a policy to increase the size and security of household incomes and promote mental health. We aimed to quantify its long-term impact on mental health among young people in England.\n\nMethods We produced a discrete-time dynamic stochastic microsimulation that models a close-to-reality open cohort of synthetic individuals (2010–2030) based on data from Office for National Statistics and Understanding Society. Three UBI scheme scenarios were simulated: Scheme 1—Starter (per week): £41 per child; £63 per adult over 18 and under 65; £190 per adult aged 65+; Scheme 2—Intermediate (per week): £63 per child; £145 per adult under 65; £190 per adult aged 65+; Scheme 3—Minimum Income Standard level (per week): £95 per child; £230 per adult under 65; £230 per adult aged 65+. We reported cases of anxiety and depression prevented or postponed and cost savings. Estimates are rounded to the second significant digit.\n\nResults Scheme 1 could prevent or postpone 200 000 (95% uncertainty interval: 180 000 to 210 000) cases of anxiety and depression from 2010 to 2030. This would increase to 420 000(400 000 to 440 000) for Scheme 2 and 550 000(520 000 to 570 000) for Scheme 3. Assuming that 50% of the cases are diagnosed and treated, Scheme 1 could save £330 million (£280 million to £390 million) to National Health Service (NHS) and personal social services (PSS), over the same period, with Scheme 2 (£710 million (£640 million to £790 million)) or Scheme 3 (£930 million (£850 million to £1000 million)) producing more considerable savings. Overall, total cost savings (including NHS, PSS and patients’ related costs) would range from £1.5 billion (£1.2 billion to £1.8 billion) for Scheme 1 to £4.2 billion (£3.7 billion to £4.6 billion) for Scheme 3.\n\nConclusion Our modelling suggests that UBI could substantially benefit young people’s mental health, producing substantial health-related cost savings.\n\nThis is a modelling study that generated no new empirical data. Understanding Society is available through the UK data service (&lt;https://ukdataservice.ac.uk/&gt;).","DOI":"10.1136/bmjopen-2023-075831","language":"en","license":"© Author(s) (or their employer(s)) 2023. Re-use permitted under CC BY. Published by BMJ.. https://creativecommons.org/licenses/by/4.0/This is an open access article distributed in accordance with the Creative Commons Attribution 4.0 Unported (CC BY 4.0) license, which permits others to copy, redistribute, remix, transform and build upon this work for any purpose, provided the original work is properly cited, a link to the licence is given, and indication of whether changes were made. See: https://creativecommons.org/licenses/by/4.0/.","publisher":"British Medical Journal Publishing Group","section":"Mental health","source":"bmjopen.bmj.com","title":"Quantifying the mental health and economic impacts of prospective Universal Basic Income schemes among young people in the UK: a microsimulation modelling study","title-short":"Quantifying the mental health and economic impacts of prospective Universal Basic Income schemes among young people in the UK","URL":"https://bmjopen.bmj.com/content/13/10/e075831.long","author":[{"family":"Chen","given":"Tao"},{"family":"Reed","given":"Howard"},{"family":"Parra-Mujica","given":"Fiorella"},{"family":"Johnson","given":"Elliott Aidan"},{"family":"Johnson","given":"Matthew"},{"family":"O'Flaherty","given":"Martin"},{"family":"Collins","given":"Brendan"},{"family":"Kypridemos","given":"Chris"}],"accessed":{"date-parts":[["2026",3,24]]},"issued":{"date-parts":[["2023",10,1]]}}}],"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(Chen et al., 2023)</w:t>
      </w:r>
      <w:r w:rsidRPr="00B74F2E">
        <w:rPr>
          <w:rFonts w:ascii="Calibri" w:hAnsi="Calibri" w:cs="Calibri"/>
          <w:sz w:val="22"/>
          <w:szCs w:val="22"/>
        </w:rPr>
        <w:fldChar w:fldCharType="end"/>
      </w:r>
      <w:r w:rsidRPr="00B74F2E">
        <w:rPr>
          <w:rFonts w:ascii="Calibri" w:hAnsi="Calibri" w:cs="Calibri"/>
          <w:sz w:val="22"/>
          <w:szCs w:val="22"/>
        </w:rPr>
        <w:t xml:space="preserve">. This reflects the financial strain experienced across whole households after essential costs have been covered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{"citationID":"WCBlCdRi","properties":{"formattedCitation":"(Johnson et al., 2022; Nettle et al., 2024; Villadsen et al., 2024)","plainCitation":"(Johnson et al., 2022; Nettle et al., 2024; Villadsen et al., 2024)","noteIndex":0},"citationItems":[{"id":243,"uris":["http://zotero.org/groups/5881371/items/QZ6HXEIC"],"itemData":{"id":243,"type":"report","publisher":"The RSA","publisher-place":"London","title":"Levelling the mental health gradient among young people: How Universal Basic Income can address the crisis in anxiety and depression: Interim Report","URL":"https://www.thersa.org/reports/universal-basic-income-anxiety-depression-mental-health-crisis-interim-report","author":[{"family":"Johnson","given":"Elliott"},{"family":"Villadsen","given":"Aase"},{"family":"Parra-Mujica","given":"Fiorella"},{"family":"Webster","given":"Hannah"},{"family":"Thorold","given":"Riley"},{"family":"Morrison","given":"James"},{"family":"Cooke","given":"Jamie"},{"family":"Mathers","given":"Alice"},{"family":"Reed","given":"Howard"},{"family":"Lansley","given":"Stewart"},{"family":"Chen","given":"Tao"},{"family":"Kypridemos","given":"Chris"},{"family":"O'Flaherty","given":"Martin"},{"family":"Nettle","given":"Daniel"},{"family":"Cookson","given":"Richard"},{"family":"Pickett","given":"Kate E."},{"family":"Johnson","given":"Matthew"}],"accessed":{"date-parts":[["2023",2,26]]},"issued":{"date-parts":[["2022",7]]}}},{"id":199,"uris":["http://zotero.org/groups/5881371/items/CZ8PJ9YR"],"itemData":{"id":199,"type":"article-journal","abstract":"Abstract\n            \n              Poverty is associated with psychological variables such as increased anxiety, increased depression, steeper time discounting and greater risk aversion. However, less is known about whether short‐term changes in financial circumstances are coupled to immediate psychological responses. We present data from the Changing Cost of Living study, in which panels of adults in France (\n              n\n               = 232) and the UK (\n              n\n               = 240) completed financial and psychological surveys every month for a year (September 2022–August 2023). We found the expected overall socioeconomic gradients in anxiety, depression and time discounting. In addition, monthly fluctuations in financial situation were associated with fluctuations in depression, anxiety and risk preference. Increases in essential costs, considered separately from fluctuations in income, had an immediate impact on depression. Social support, the instrumental and emotional assistance derivable from one's social network, buffered the effects of short‐term financial fluctuations on depression and time discounting, but did not mitigate the overall gradients. We conclude that declines in income or increases in the cost of living have immediate and measurable psychological impacts, which must be borne in mind in the formulation and evaluation of social policy.","container-title":"Social Policy &amp; Administration","DOI":"10.1111/spol.13065","ISSN":"0144-5596, 1467-9515","journalAbbreviation":"Soc Policy Adm","language":"en","page":"spol.13065","source":"DOI.org (Crossref)","title":"Short‐term changes in financial situation have immediate mental health consequences: Implications for social policy","title-short":"Short‐term changes in financial situation have immediate mental health consequences","author":[{"family":"Nettle","given":"Daniel"},{"family":"Chevallier","given":"Coralie"},{"family":"De Courson","given":"Benoît"},{"family":"Johnson","given":"Elliott A."},{"family":"Johnson","given":"Matthew T."},{"family":"Pickett","given":"Kate E."}],"issued":{"date-parts":[["2024",7,21]]}}},{"id":208,"uris":["http://zotero.org/groups/5881371/items/QMRZZC6L"],"itemData":{"id":208,"type":"article-journal","abstract":"UK adolescents and young adults are facing increasing rates of mental health problems and extremely difficult economic circumstances. There is strong evidence that interventions to increase income during adolescence can mitigate conditions such as anxiety and depression. However, policymakers lack quantified risk differences in the probability of mental illness between different income groups by which to establish the prospective scale of mitigation. Here, we estimate risk differences using two longitudinal cohort studies: Millennium Cohort Study (cohort members born between 2000 and 2002) and Next Steps (born 1989–1990). We quantify the association between income and risk of depression at age 14, serious mental illness at age 17, and non-psychotic mental illness at age 25. We also conduct sensitivity analysis using numerous other markers of socioeconomic (SES) status. We estimate that those living in the poorest quintile group of households have a greater probability of mental health problems than the richest at ages 14, 17, and 25. We find that other markers of SES status—subjective financial strain, cohort member assessed wealth relative to friends, occupational class, and education—display steeper associations with mental health symptoms relative to associations between mental health symptoms and income. Our findings are likely to be conservative underestimates since they are likely to be attenuated by well-known and large measurement errors in both mental health problems and living standards during adolescence.","container-title":"Journal of Prevention and Health Promotion","DOI":"10.1177/26320770231204993","ISSN":"2632-0770, 2632-0789","issue":"1","journalAbbreviation":"Journal of Prevention and Health Promotion","language":"en","note":"number: 1","page":"153-181","source":"DOI.org (Crossref)","title":"How Far Can Interventions to Increase Income Improve Adolescent Mental Health? Evidence From the UK Millennium Cohort Study and Next Steps","title-short":"How Far Can Interventions to Increase Income Improve Adolescent Mental Health?","volume":"5","author":[{"family":"Villadsen","given":"Aase"},{"family":"Johnson","given":"Elliott Aidan"},{"family":"Cookson","given":"Richard"},{"family":"Johnson","given":"Matthew Thomas"}],"issued":{"date-parts":[["2024",1]]}}}],"schema":"https://github.com/citation-style-language/schema/raw/master/csl-citation.json"}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(Johnson et al., 2022; Nettle et al., 2024; Villadsen et al., 2024)</w:t>
      </w:r>
      <w:r w:rsidRPr="00B74F2E">
        <w:rPr>
          <w:rFonts w:ascii="Calibri" w:hAnsi="Calibri" w:cs="Calibri"/>
          <w:sz w:val="22"/>
          <w:szCs w:val="22"/>
        </w:rPr>
        <w:fldChar w:fldCharType="end"/>
      </w:r>
      <w:r w:rsidRPr="00B74F2E">
        <w:rPr>
          <w:rFonts w:ascii="Calibri" w:hAnsi="Calibri" w:cs="Calibri"/>
          <w:sz w:val="22"/>
          <w:szCs w:val="22"/>
        </w:rPr>
        <w:t>. Tackling children and young people’s mental ill health therefore requires addressing its economic causes, something that education, community provision and the NHS, however well resourced, cannot do alone.</w:t>
      </w:r>
    </w:p>
    <w:p w:rsidR="003B7220" w:rsidRPr="00B74F2E" w:rsidP="00B40D04">
      <w:pPr>
        <w:rPr>
          <w:rFonts w:ascii="Calibri" w:hAnsi="Calibri" w:cs="Calibri"/>
          <w:sz w:val="22"/>
          <w:szCs w:val="22"/>
        </w:rPr>
      </w:pPr>
      <w:r w:rsidRPr="00B74F2E">
        <w:rPr>
          <w:rFonts w:ascii="Calibri" w:hAnsi="Calibri" w:eastAsiaTheme="majorEastAsia" w:cs="Calibri"/>
          <w:sz w:val="22"/>
          <w:szCs w:val="22"/>
        </w:rPr>
        <w:t>The role of education, community settings, and NHS mental health services in support and delivery</w:t>
      </w:r>
    </w:p>
    <w:p w:rsidR="003B7220" w:rsidRPr="00B74F2E" w:rsidP="00ED37ED">
      <w:pPr>
        <w:rPr>
          <w:rFonts w:ascii="Calibri" w:hAnsi="Calibri" w:cs="Calibri"/>
          <w:sz w:val="22"/>
          <w:szCs w:val="22"/>
        </w:rPr>
      </w:pPr>
      <w:r w:rsidRPr="00B74F2E">
        <w:rPr>
          <w:rFonts w:ascii="Calibri" w:hAnsi="Calibri" w:cs="Calibri"/>
          <w:sz w:val="22"/>
          <w:szCs w:val="22"/>
        </w:rPr>
        <w:t>Education, community support NHS mental health services</w:t>
      </w:r>
      <w:r w:rsidRPr="00B74F2E">
        <w:rPr>
          <w:rFonts w:ascii="Calibri" w:hAnsi="Calibri" w:eastAsiaTheme="majorEastAsia" w:cs="Calibri"/>
          <w:sz w:val="20"/>
          <w:szCs w:val="20"/>
        </w:rPr>
        <w:t xml:space="preserve"> </w:t>
      </w:r>
      <w:r w:rsidRPr="00B74F2E">
        <w:rPr>
          <w:rFonts w:ascii="Calibri" w:hAnsi="Calibri" w:cs="Calibri"/>
          <w:sz w:val="22"/>
          <w:szCs w:val="22"/>
        </w:rPr>
        <w:t>play a crucial role in responding to young people’s mental health needs, but these services are consistently under</w:t>
      </w:r>
      <w:r w:rsidRPr="00B74F2E">
        <w:rPr>
          <w:rFonts w:ascii="Calibri" w:hAnsi="Calibri" w:cs="Calibri"/>
          <w:sz w:val="22"/>
          <w:szCs w:val="22"/>
        </w:rPr>
        <w:noBreakHyphen/>
        <w:t xml:space="preserve">resourced, underfunded, and overstretched. Between 2010-11 and 2023-24, Local Authority expenditure on youth services in England fell by 73% in real terms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{"citationID":"z6zRfJug","properties":{"formattedCitation":"(YMCA, 2025)","plainCitation":"(YMCA, 2025)","noteIndex":0},"citationItems":[{"id":1041,"uris":["http://zotero.org/users/16482178/items/67MWF6MT"],"itemData":{"id":1041,"type":"post-weblog","container-title":"YMCA England and Wales","title":"Beyond the Brink","URL":"https://ymca.org.uk/beyond-the-brink/","author":[{"family":"YMCA","given":""}],"accessed":{"date-parts":[["2026",3,26]]},"issued":{"date-parts":[["2025",1]]}}}],"schema":"https://github.com/citation-style-language/schema/raw/master/csl-citation.json"}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(YMCA, 2025)</w:t>
      </w:r>
      <w:r w:rsidRPr="00B74F2E">
        <w:rPr>
          <w:rFonts w:ascii="Calibri" w:hAnsi="Calibri" w:cs="Calibri"/>
          <w:sz w:val="22"/>
          <w:szCs w:val="22"/>
        </w:rPr>
        <w:fldChar w:fldCharType="end"/>
      </w:r>
      <w:r w:rsidRPr="00B74F2E">
        <w:rPr>
          <w:rFonts w:ascii="Calibri" w:hAnsi="Calibri" w:cs="Calibri"/>
          <w:sz w:val="22"/>
          <w:szCs w:val="22"/>
        </w:rPr>
        <w:t xml:space="preserve">, resulting in the closure of youth centres and early intervention programmes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{"citationID":"KOP3ncRr","properties":{"formattedCitation":"(Fashina-Ayilara &amp; Byrne, 2025)","plainCitation":"(Fashina-Ayilara &amp; Byrne, 2025)","noteIndex":0},"citationItems":[{"id":1035,"uris":["http://zotero.org/users/16482178/items/TA7NT285"],"itemData":{"id":1035,"type":"webpage","publisher":"Mind","title":"Care Before Crisis: report on young people's mental health","URL":"https://www.mind.org.uk/news-campaigns/campaigns/children-and-young-peoples-mental-health/care-before-crisis-our-report-on-young-peoples-mental-health/","author":[{"family":"Fashina-Ayilara","given":"Tula"},{"family":"Byrne","given":"Gemma"}],"accessed":{"date-parts":[["2026",3,26]]},"issued":{"date-parts":[["2025",10]]}}}],"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(Fashina-Ayilara &amp; Byrne, 2025)</w:t>
      </w:r>
      <w:r w:rsidRPr="00B74F2E">
        <w:rPr>
          <w:rFonts w:ascii="Calibri" w:hAnsi="Calibri" w:cs="Calibri"/>
          <w:sz w:val="22"/>
          <w:szCs w:val="22"/>
        </w:rPr>
        <w:fldChar w:fldCharType="end"/>
      </w:r>
      <w:r w:rsidRPr="00B74F2E">
        <w:rPr>
          <w:rFonts w:ascii="Calibri" w:hAnsi="Calibri" w:cs="Calibri"/>
          <w:sz w:val="22"/>
          <w:szCs w:val="22"/>
        </w:rPr>
        <w:t xml:space="preserve">. The number of children and young people seeking emergency care has reached record levels. Between 2012 and 2022, admissions to acute medical wards in England for mental health concerns among children and young people increased by 65%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{"citationID":"iGkkbOIV","properties":{"formattedCitation":"(Ward et al., 2025)","plainCitation":"(Ward et al., 2025)","noteIndex":0},"citationItems":[{"id":1051,"uris":["http://zotero.org/users/16482178/items/G4FRE6YL"],"itemData":{"id":1051,"type":"article-journal","container-title":"The Lancet Child &amp; Adolescent Health","DOI":"10.1016/S2352-4642(24)00333-X","ISSN":"2352-4642, 2352-4650","issue":"2","journalAbbreviation":"The Lancet Child &amp; Adolescent Health","language":"English","page":"112-120","PMID":"39855751","publisher":"Elsevier","source":"www.thelancet.com","title":"Admission to acute medical wards for mental health concerns among children and young people in England from 2012 to 2022: a cohort study","title-short":"Admission to acute medical wards for mental health concerns among children and young people in England from 2012 to 2022","volume":"9","author":[{"family":"Ward","given":"Joseph L."},{"family":"Vázquez-Vázquez","given":"Adriana"},{"family":"Phillips","given":"Kirsty"},{"family":"Settle","given":"Kate"},{"family":"Pilvar","given":"Hanifa"},{"family":"Cornaglia","given":"Francesca"},{"family":"Gibson","given":"Faith"},{"family":"Nicholls","given":"Dasha"},{"family":"Roland","given":"Damian"},{"family":"Mathews","given":"Gabrielle"},{"family":"Roberts","given":"Helen"},{"family":"Viner","given":"Russell M."},{"family":"Hudson","given":"Lee D."}],"issued":{"date-parts":[["2025",2,1]]}}}],"schema":"https://github.com/citation-style-language/schema/raw/master/csl-citation.json"}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(Ward et al., 2025)</w:t>
      </w:r>
      <w:r w:rsidRPr="00B74F2E">
        <w:rPr>
          <w:rFonts w:ascii="Calibri" w:hAnsi="Calibri" w:cs="Calibri"/>
          <w:sz w:val="22"/>
          <w:szCs w:val="22"/>
        </w:rPr>
        <w:fldChar w:fldCharType="end"/>
      </w:r>
      <w:r w:rsidRPr="00B74F2E">
        <w:rPr>
          <w:rFonts w:ascii="Calibri" w:hAnsi="Calibri" w:cs="Calibri"/>
          <w:sz w:val="22"/>
          <w:szCs w:val="22"/>
        </w:rPr>
        <w:t xml:space="preserve">. A lack of early intervention has also pushed issues onto schools and other community settings where children’s stress and unmet needs manifest as mental health issues, safeguarding concerns and behavioural challenges. Findings from the National Foundation for Educational Research suggest that financial pressures on families are contributing to greater mental health and wellbeing needs among pupils and report that senior leaders in secondary schools serving more disadvantaged communities agree that the rising cost of living has also fuelled increases in safeguarding concerns, behaviour issues and absenteeism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{"citationID":"m9kQvbiw","properties":{"formattedCitation":"(Lucas et al., 2023)","plainCitation":"(Lucas et al., 2023)","noteIndex":0},"citationItems":[{"id":1044,"uris":["http://zotero.org/users/16482178/items/JDWV7M8I"],"itemData":{"id":1044,"type":"article-journal","language":"en","source":"Zotero","title":"Cost-of-living crisis: Impact on schools","author":[{"family":"Lucas","given":"Megan"},{"family":"Classick","given":"Rachel"},{"family":"Skipp","given":"Amy"},{"family":"Julius","given":"Jenna"}],"issued":{"date-parts":[["2023",9,21]]}}}],"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(Lucas et al., 2023)</w:t>
      </w:r>
      <w:r w:rsidRPr="00B74F2E">
        <w:rPr>
          <w:rFonts w:ascii="Calibri" w:hAnsi="Calibri" w:cs="Calibri"/>
          <w:sz w:val="22"/>
          <w:szCs w:val="22"/>
        </w:rPr>
        <w:fldChar w:fldCharType="end"/>
      </w:r>
      <w:r w:rsidRPr="00B74F2E">
        <w:rPr>
          <w:rFonts w:ascii="Calibri" w:hAnsi="Calibri" w:cs="Calibri"/>
          <w:sz w:val="22"/>
          <w:szCs w:val="22"/>
        </w:rPr>
        <w:t xml:space="preserve">. </w:t>
      </w:r>
      <w:r w:rsidRPr="00B74F2E">
        <w:rPr>
          <w:rFonts w:ascii="Calibri" w:hAnsi="Calibri" w:cs="Calibri"/>
          <w:sz w:val="22"/>
          <w:szCs w:val="22"/>
        </w:rPr>
        <w:br/>
      </w:r>
      <w:r w:rsidRPr="00B74F2E">
        <w:rPr>
          <w:rFonts w:ascii="Calibri" w:hAnsi="Calibri" w:cs="Calibri"/>
          <w:sz w:val="22"/>
          <w:szCs w:val="22"/>
        </w:rPr>
        <w:br/>
        <w:t xml:space="preserve">Relying on education as a frontline response to young people’s mental health needs is increasingly ineffective, inefficient and unfair, placing unsustainable pressure on services while doing nothing to address the underlying causes. Without addressing the structural economic conditions facing young people, demand on acute services is likely to continue rising regardless of improvements to service provision. </w:t>
      </w:r>
    </w:p>
    <w:p w:rsidR="003B7220" w:rsidRPr="00B74F2E" w:rsidP="00ED37ED">
      <w:pPr>
        <w:rPr>
          <w:rFonts w:ascii="Calibri" w:hAnsi="Calibri" w:cs="Calibri"/>
          <w:sz w:val="22"/>
          <w:szCs w:val="22"/>
        </w:rPr>
      </w:pPr>
      <w:r w:rsidRPr="00B74F2E">
        <w:rPr>
          <w:rStyle w:val="Heading5Char"/>
          <w:rFonts w:ascii="Calibri" w:hAnsi="Calibri" w:cs="Calibri"/>
          <w:color w:val="auto"/>
          <w:sz w:val="22"/>
          <w:szCs w:val="22"/>
        </w:rPr>
        <w:t>How effective are current early</w:t>
      </w:r>
      <w:r w:rsidRPr="00B74F2E">
        <w:rPr>
          <w:rStyle w:val="Heading5Char"/>
          <w:rFonts w:ascii="Calibri" w:hAnsi="Calibri" w:cs="Calibri"/>
          <w:color w:val="auto"/>
          <w:sz w:val="22"/>
          <w:szCs w:val="22"/>
        </w:rPr>
        <w:noBreakHyphen/>
        <w:t>intervention models across health and education, in identifying mental health concerns in children and young people at the earliest possible stage?</w:t>
      </w:r>
      <w:r w:rsidRPr="00B74F2E">
        <w:rPr>
          <w:rFonts w:ascii="Calibri" w:hAnsi="Calibri" w:cs="Calibri"/>
          <w:sz w:val="20"/>
          <w:szCs w:val="20"/>
        </w:rPr>
        <w:t> </w:t>
      </w:r>
      <w:r w:rsidRPr="00B74F2E">
        <w:rPr>
          <w:rFonts w:ascii="Calibri" w:hAnsi="Calibri" w:cs="Calibri"/>
          <w:sz w:val="22"/>
          <w:szCs w:val="22"/>
        </w:rPr>
        <w:br/>
      </w:r>
      <w:r w:rsidRPr="00B74F2E">
        <w:rPr>
          <w:rFonts w:ascii="Calibri" w:hAnsi="Calibri" w:cs="Calibri"/>
          <w:sz w:val="22"/>
          <w:szCs w:val="22"/>
        </w:rPr>
        <w:br/>
        <w:t>There are early</w:t>
      </w:r>
      <w:r w:rsidRPr="00B74F2E">
        <w:rPr>
          <w:rFonts w:ascii="Cambria Math" w:hAnsi="Cambria Math" w:cs="Cambria Math"/>
          <w:sz w:val="22"/>
          <w:szCs w:val="22"/>
        </w:rPr>
        <w:t>‑</w:t>
      </w:r>
      <w:r w:rsidRPr="00B74F2E">
        <w:rPr>
          <w:rFonts w:ascii="Calibri" w:hAnsi="Calibri" w:cs="Calibri"/>
          <w:sz w:val="22"/>
          <w:szCs w:val="22"/>
        </w:rPr>
        <w:t xml:space="preserve">intervention services that have proven effective in reducing service pressure by supporting young people before their needs escalate to the point of requiring clinical care downstream. However, access to these services remains inconsistent across the country and successive governments have failed to invest in expanding early support on a national scale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{"citationID":"JYZD0TTm","properties":{"formattedCitation":"(Fashina-Ayilara &amp; Byrne, 2025)","plainCitation":"(Fashina-Ayilara &amp; Byrne, 2025)","noteIndex":0},"citationItems":[{"id":1035,"uris":["http://zotero.org/users/16482178/items/TA7NT285"],"itemData":{"id":1035,"type":"webpage","publisher":"Mind","title":"Care Before Crisis: report on young people's mental health","URL":"https://www.mind.org.uk/news-campaigns/campaigns/children-and-young-peoples-mental-health/care-before-crisis-our-report-on-young-peoples-mental-health/","author":[{"family":"Fashina-Ayilara","given":"Tula"},{"family":"Byrne","given":"Gemma"}],"accessed":{"date-parts":[["2026",3,26]]},"issued":{"date-parts":[["2025",10]]}}}],"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(Fashina-Ayilara &amp; Byrne, 2025)</w:t>
      </w:r>
      <w:r w:rsidRPr="00B74F2E">
        <w:rPr>
          <w:rFonts w:ascii="Calibri" w:hAnsi="Calibri" w:cs="Calibri"/>
          <w:sz w:val="22"/>
          <w:szCs w:val="22"/>
        </w:rPr>
        <w:fldChar w:fldCharType="end"/>
      </w:r>
      <w:r w:rsidRPr="00B74F2E">
        <w:rPr>
          <w:rFonts w:ascii="Calibri" w:hAnsi="Calibri" w:cs="Calibri"/>
          <w:sz w:val="22"/>
          <w:szCs w:val="22"/>
        </w:rPr>
        <w:t>. Basic income,</w:t>
      </w:r>
      <w:r w:rsidRPr="00B74F2E">
        <w:rPr>
          <w:rFonts w:ascii="Calibri" w:hAnsi="Calibri" w:cs="Calibri"/>
        </w:rPr>
        <w:t xml:space="preserve"> </w:t>
      </w:r>
      <w:r w:rsidRPr="00B74F2E">
        <w:rPr>
          <w:rFonts w:ascii="Calibri" w:hAnsi="Calibri" w:cs="Calibri"/>
          <w:sz w:val="22"/>
          <w:szCs w:val="22"/>
        </w:rPr>
        <w:t xml:space="preserve">an unconditional, regular payment to meet basic needs, could substantially improve mental health among young people, reduce costs to education, community and personal social services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{"citationID":"tR6ScCTS","properties":{"formattedCitation":"(Common Sense Policy Group, 2025; Johnson et al., 2022)","plainCitation":"(Common Sense Policy Group, 2025; Johnson et al., 2022)","noteIndex":0},"citationItems":[{"id":"Hxoe7yMN/EJChPK1P","uris":["http://zotero.org/users/8561872/items/IRHRXQRC"],"itemData":{"id":2809,"type":"book","publisher":"Policy Press","publisher-place":"Bristol","title":"Basic Income: The Policy That Changes Everything","author":[{"family":"Common Sense Policy Group","given":""}],"issued":{"date-parts":[["2025"]]}}},{"id":243,"uris":["http://zotero.org/groups/5881371/items/QZ6HXEIC"],"itemData":{"id":243,"type":"report","publisher":"The RSA","publisher-place":"London","title":"Levelling the mental health gradient among young people: How Universal Basic Income can address the crisis in anxiety and depression: Interim Report","URL":"https://www.thersa.org/reports/universal-basic-income-anxiety-depression-mental-health-crisis-interim-report","author":[{"family":"Johnson","given":"Elliott"},{"family":"Villadsen","given":"Aase"},{"family":"Parra-Mujica","given":"Fiorella"},{"family":"Webster","given":"Hannah"},{"family":"Thorold","given":"Riley"},{"family":"Morrison","given":"James"},{"family":"Cooke","given":"Jamie"},{"family":"Mathers","given":"Alice"},{"family":"Reed","given":"Howard"},{"family":"Lansley","given":"Stewart"},{"family":"Chen","given":"Tao"},{"family":"Kypridemos","given":"Chris"},{"family":"O'Flaherty","given":"Martin"},{"family":"Nettle","given":"Daniel"},{"family":"Cookson","given":"Richard"},{"family":"Pickett","given":"Kate E."},{"family":"Johnson","given":"Matthew"}],"accessed":{"date-parts":[["2023",2,26]]},"issued":{"date-parts":[["2022",7]]}}}],"schema":"https://github.com/citation-style-language/schema/raw/master/csl-citation.json"}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(Common Sense Policy Group, 2025; Johnson et al., 2022)</w:t>
      </w:r>
      <w:r w:rsidRPr="00B74F2E">
        <w:rPr>
          <w:rFonts w:ascii="Calibri" w:hAnsi="Calibri" w:cs="Calibri"/>
          <w:sz w:val="22"/>
          <w:szCs w:val="22"/>
        </w:rPr>
        <w:fldChar w:fldCharType="end"/>
      </w:r>
      <w:r w:rsidRPr="00B74F2E">
        <w:rPr>
          <w:rFonts w:ascii="Calibri" w:hAnsi="Calibri" w:cs="Calibri"/>
          <w:sz w:val="22"/>
          <w:szCs w:val="22"/>
        </w:rPr>
        <w:t xml:space="preserve">. The microsimulation findings in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{"citationID":"vffIoZbQ","properties":{"formattedCitation":"(Chen et al., 2023)","plainCitation":"(Chen et al., 2023)","dontUpdate":true,"noteIndex":0},"citationItems":[{"id":1003,"uris":["http://zotero.org/users/16482178/items/MWYMGLCE"],"itemData":{"id":1003,"type":"article-journal","abstract":"Objective Universal Basic Income (UBI)—a largely unconditional, regular payment to all adults to support basic needs—has been proposed as a policy to increase the size and security of household incomes and promote mental health. We aimed to quantify its long-term impact on mental health among young people in England.\n\nMethods We produced a discrete-time dynamic stochastic microsimulation that models a close-to-reality open cohort of synthetic individuals (2010–2030) based on data from Office for National Statistics and Understanding Society. Three UBI scheme scenarios were simulated: Scheme 1—Starter (per week): £41 per child; £63 per adult over 18 and under 65; £190 per adult aged 65+; Scheme 2—Intermediate (per week): £63 per child; £145 per adult under 65; £190 per adult aged 65+; Scheme 3—Minimum Income Standard level (per week): £95 per child; £230 per adult under 65; £230 per adult aged 65+. We reported cases of anxiety and depression prevented or postponed and cost savings. Estimates are rounded to the second significant digit.\n\nResults Scheme 1 could prevent or postpone 200 000 (95% uncertainty interval: 180 000 to 210 000) cases of anxiety and depression from 2010 to 2030. This would increase to 420 000(400 000 to 440 000) for Scheme 2 and 550 000(520 000 to 570 000) for Scheme 3. Assuming that 50% of the cases are diagnosed and treated, Scheme 1 could save £330 million (£280 million to £390 million) to National Health Service (NHS) and personal social services (PSS), over the same period, with Scheme 2 (£710 million (£640 million to £790 million)) or Scheme 3 (£930 million (£850 million to £1000 million)) producing more considerable savings. Overall, total cost savings (including NHS, PSS and patients’ related costs) would range from £1.5 billion (£1.2 billion to £1.8 billion) for Scheme 1 to £4.2 billion (£3.7 billion to £4.6 billion) for Scheme 3.\n\nConclusion Our modelling suggests that UBI could substantially benefit young people’s mental health, producing substantial health-related cost savings.\n\nThis is a modelling study that generated no new empirical data. Understanding Society is available through the UK data service (&lt;https://ukdataservice.ac.uk/&gt;).","DOI":"10.1136/bmjopen-2023-075831","language":"en","license":"© Author(s) (or their employer(s)) 2023. Re-use permitted under CC BY. Published by BMJ.. https://creativecommons.org/licenses/by/4.0/This is an open access article distributed in accordance with the Creative Commons Attribution 4.0 Unported (CC BY 4.0) license, which permits others to copy, redistribute, remix, transform and build upon this work for any purpose, provided the original work is properly cited, a link to the licence is given, and indication of whether changes were made. See: https://creativecommons.org/licenses/by/4.0/.","publisher":"British Medical Journal Publishing Group","section":"Mental health","source":"bmjopen.bmj.com","title":"Quantifying the mental health and economic impacts of prospective Universal Basic Income schemes among young people in the UK: a microsimulation modelling study","title-short":"Quantifying the mental health and economic impacts of prospective Universal Basic Income schemes among young people in the UK","URL":"https://bmjopen.bmj.com/content/13/10/e075831.long","author":[{"family":"Chen","given":"Tao"},{"family":"Reed","given":"Howard"},{"family":"Parra-Mujica","given":"Fiorella"},{"family":"Johnson","given":"Elliott Aidan"},{"family":"Johnson","given":"Matthew"},{"family":"O'Flaherty","given":"Martin"},{"family":"Collins","given":"Brendan"},{"family":"Kypridemos","given":"Chris"}],"accessed":{"date-parts":[["2026",3,24]]},"issued":{"date-parts":[["2023",10,1]]}}}],"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szCs w:val="22"/>
        </w:rPr>
        <w:t>Chen et al. (2023)</w:t>
      </w:r>
      <w:r w:rsidRPr="00B74F2E">
        <w:rPr>
          <w:rFonts w:ascii="Calibri" w:hAnsi="Calibri" w:cs="Calibri"/>
          <w:sz w:val="22"/>
          <w:szCs w:val="22"/>
        </w:rPr>
        <w:fldChar w:fldCharType="end"/>
      </w:r>
      <w:r w:rsidRPr="00B74F2E">
        <w:rPr>
          <w:rFonts w:ascii="Calibri" w:hAnsi="Calibri" w:cs="Calibri"/>
          <w:sz w:val="22"/>
          <w:szCs w:val="22"/>
        </w:rPr>
        <w:t xml:space="preserve"> indicate that changes in income had a measurable effect on anxiety and depression, largely through the pathways associated with poverty reduction. Further modelling results in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{"citationID":"THvb74Y5","properties":{"formattedCitation":"(Johnson et al., 2022)","plainCitation":"(Johnson et al., 2022)","dontUpdate":true,"noteIndex":0},"citationItems":[{"id":243,"uris":["http://zotero.org/groups/5881371/items/QZ6HXEIC"],"itemData":{"id":243,"type":"report","publisher":"The RSA","publisher-place":"London","title":"Levelling the mental health gradient among young people: How Universal Basic Income can address the crisis in anxiety and depression: Interim Report","URL":"https://www.thersa.org/reports/universal-basic-income-anxiety-depression-mental-health-crisis-interim-report","author":[{"family":"Johnson","given":"Elliott"},{"family":"Villadsen","given":"Aase"},{"family":"Parra-Mujica","given":"Fiorella"},{"family":"Webster","given":"Hannah"},{"family":"Thorold","given":"Riley"},{"family":"Morrison","given":"James"},{"family":"Cooke","given":"Jamie"},{"family":"Mathers","given":"Alice"},{"family":"Reed","given":"Howard"},{"family":"Lansley","given":"Stewart"},{"family":"Chen","given":"Tao"},{"family":"Kypridemos","given":"Chris"},{"family":"O'Flaherty","given":"Martin"},{"family":"Nettle","given":"Daniel"},{"family":"Cookson","given":"Richard"},{"family":"Pickett","given":"Kate E."},{"family":"Johnson","given":"Matthew"}],"accessed":{"date-parts":[["2023",2,26]]},"issued":{"date-parts":[["2022",7]]}}}],"schema":"https://github.com/citation-style-language/schema/raw/master/csl-citation.json"}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Johnson et al. (2022)</w:t>
      </w:r>
      <w:r w:rsidRPr="00B74F2E">
        <w:rPr>
          <w:rFonts w:ascii="Calibri" w:hAnsi="Calibri" w:cs="Calibri"/>
          <w:sz w:val="22"/>
          <w:szCs w:val="22"/>
        </w:rPr>
        <w:fldChar w:fldCharType="end"/>
      </w:r>
      <w:r w:rsidRPr="00B74F2E">
        <w:rPr>
          <w:rFonts w:ascii="Calibri" w:hAnsi="Calibri" w:cs="Calibri"/>
          <w:sz w:val="22"/>
          <w:szCs w:val="22"/>
        </w:rPr>
        <w:t xml:space="preserve"> estimate the numbers of anxiety and depression that could be avoided among 16-24 year olds as a result of three different basic income schemes. </w:t>
      </w:r>
    </w:p>
    <w:p w:rsidR="003B7220" w:rsidRPr="00B74F2E" w:rsidP="0020295C">
      <w:pPr>
        <w:pStyle w:val="Caption"/>
        <w:keepNext/>
        <w:rPr>
          <w:rFonts w:ascii="Calibri" w:hAnsi="Calibri" w:cs="Calibri"/>
          <w:color w:val="auto"/>
        </w:rPr>
      </w:pPr>
      <w:r w:rsidRPr="00B74F2E">
        <w:rPr>
          <w:rFonts w:ascii="Calibri" w:hAnsi="Calibri" w:cs="Calibri"/>
          <w:color w:val="auto"/>
        </w:rPr>
        <w:t xml:space="preserve">Table </w:t>
      </w:r>
      <w:r w:rsidRPr="00B74F2E">
        <w:rPr>
          <w:rFonts w:ascii="Calibri" w:hAnsi="Calibri" w:cs="Calibri"/>
          <w:color w:val="auto"/>
        </w:rPr>
        <w:fldChar w:fldCharType="begin"/>
      </w:r>
      <w:r w:rsidRPr="00B74F2E">
        <w:rPr>
          <w:rFonts w:ascii="Calibri" w:hAnsi="Calibri" w:cs="Calibri"/>
          <w:color w:val="auto"/>
        </w:rPr>
        <w:instrText xml:space="preserve"> SEQ Table \* ARABIC </w:instrText>
      </w:r>
      <w:r w:rsidRPr="00B74F2E">
        <w:rPr>
          <w:rFonts w:ascii="Calibri" w:hAnsi="Calibri" w:cs="Calibri"/>
          <w:color w:val="auto"/>
        </w:rPr>
        <w:fldChar w:fldCharType="separate"/>
      </w:r>
      <w:r w:rsidRPr="00B74F2E">
        <w:rPr>
          <w:rFonts w:ascii="Calibri" w:hAnsi="Calibri" w:cs="Calibri"/>
          <w:noProof/>
          <w:color w:val="auto"/>
        </w:rPr>
        <w:t>1</w:t>
      </w:r>
      <w:r w:rsidRPr="00B74F2E">
        <w:rPr>
          <w:rFonts w:ascii="Calibri" w:hAnsi="Calibri" w:cs="Calibri"/>
          <w:noProof/>
          <w:color w:val="auto"/>
        </w:rPr>
        <w:fldChar w:fldCharType="end"/>
      </w:r>
      <w:r w:rsidRPr="00B74F2E">
        <w:rPr>
          <w:rFonts w:ascii="Calibri" w:hAnsi="Calibri" w:cs="Calibri"/>
          <w:color w:val="auto"/>
        </w:rPr>
        <w:t>:  Preliminary modelling results indicating cases of anxiety</w:t>
      </w:r>
    </w:p>
    <w:tbl>
      <w:tblPr>
        <w:tblStyle w:val="TableGrid"/>
        <w:tblW w:w="0" w:type="auto"/>
        <w:tblLook w:val="04A0"/>
      </w:tblPr>
      <w:tblGrid>
        <w:gridCol w:w="1555"/>
        <w:gridCol w:w="2693"/>
        <w:gridCol w:w="2268"/>
        <w:gridCol w:w="2500"/>
      </w:tblGrid>
      <w:tr w:rsidTr="009114DB">
        <w:tblPrEx>
          <w:tblW w:w="0" w:type="auto"/>
          <w:tblLook w:val="04A0"/>
        </w:tblPrEx>
        <w:trPr>
          <w:trHeight w:val="1796"/>
        </w:trPr>
        <w:tc>
          <w:tcPr>
            <w:tcW w:w="1555" w:type="dxa"/>
          </w:tcPr>
          <w:p w:rsidR="003B7220" w:rsidRPr="00B74F2E" w:rsidP="002F78C4">
            <w:pPr>
              <w:rPr>
                <w:rFonts w:ascii="Calibri" w:hAnsi="Calibri" w:cs="Calibri"/>
                <w:sz w:val="22"/>
                <w:szCs w:val="22"/>
              </w:rPr>
            </w:pPr>
            <w:r w:rsidRPr="00B74F2E">
              <w:rPr>
                <w:rFonts w:ascii="Calibri" w:hAnsi="Calibri" w:cs="Calibri"/>
                <w:sz w:val="22"/>
                <w:szCs w:val="22"/>
              </w:rPr>
              <w:t>Schemes</w:t>
            </w:r>
          </w:p>
        </w:tc>
        <w:tc>
          <w:tcPr>
            <w:tcW w:w="2693" w:type="dxa"/>
          </w:tcPr>
          <w:p w:rsidR="003B7220" w:rsidRPr="00B74F2E" w:rsidP="002F78C4">
            <w:pPr>
              <w:rPr>
                <w:rFonts w:ascii="Calibri" w:hAnsi="Calibri" w:cs="Calibri"/>
                <w:sz w:val="22"/>
                <w:szCs w:val="22"/>
              </w:rPr>
            </w:pPr>
            <w:r w:rsidRPr="00B74F2E">
              <w:rPr>
                <w:rFonts w:ascii="Calibri" w:hAnsi="Calibri" w:cs="Calibri"/>
                <w:sz w:val="22"/>
                <w:szCs w:val="22"/>
              </w:rPr>
              <w:t xml:space="preserve">Cases of anxiety and depression prevented or postponed per year in ages 16-24 (95% uncertainty interval) </w:t>
            </w:r>
          </w:p>
        </w:tc>
        <w:tc>
          <w:tcPr>
            <w:tcW w:w="2268" w:type="dxa"/>
          </w:tcPr>
          <w:p w:rsidR="003B7220" w:rsidRPr="00B74F2E" w:rsidP="002F78C4">
            <w:pPr>
              <w:rPr>
                <w:rFonts w:ascii="Calibri" w:hAnsi="Calibri" w:cs="Calibri"/>
                <w:sz w:val="22"/>
                <w:szCs w:val="22"/>
              </w:rPr>
            </w:pPr>
            <w:r w:rsidRPr="00B74F2E">
              <w:rPr>
                <w:rFonts w:ascii="Calibri" w:hAnsi="Calibri" w:cs="Calibri"/>
                <w:sz w:val="22"/>
                <w:szCs w:val="22"/>
              </w:rPr>
              <w:t>Total NHS and personal social services per year assuming 50% of cases diagnosed and treated</w:t>
            </w:r>
          </w:p>
        </w:tc>
        <w:tc>
          <w:tcPr>
            <w:tcW w:w="2500" w:type="dxa"/>
          </w:tcPr>
          <w:p w:rsidR="003B7220" w:rsidRPr="00B74F2E" w:rsidP="002F78C4">
            <w:pPr>
              <w:rPr>
                <w:rFonts w:ascii="Calibri" w:hAnsi="Calibri" w:cs="Calibri"/>
                <w:sz w:val="22"/>
                <w:szCs w:val="22"/>
              </w:rPr>
            </w:pPr>
            <w:r w:rsidRPr="00B74F2E">
              <w:rPr>
                <w:rFonts w:ascii="Calibri" w:hAnsi="Calibri" w:cs="Calibri"/>
                <w:sz w:val="22"/>
                <w:szCs w:val="22"/>
              </w:rPr>
              <w:t>Total NHS and patients’ related costs per year assuming 50% of cases diagnosed and treated</w:t>
            </w:r>
          </w:p>
        </w:tc>
      </w:tr>
      <w:tr w:rsidTr="003C3149">
        <w:tblPrEx>
          <w:tblW w:w="0" w:type="auto"/>
          <w:tblLook w:val="04A0"/>
        </w:tblPrEx>
        <w:tc>
          <w:tcPr>
            <w:tcW w:w="1555" w:type="dxa"/>
          </w:tcPr>
          <w:p w:rsidR="003B7220" w:rsidRPr="00B74F2E" w:rsidP="002F78C4">
            <w:pPr>
              <w:rPr>
                <w:rFonts w:ascii="Calibri" w:hAnsi="Calibri" w:cs="Calibri"/>
                <w:sz w:val="22"/>
                <w:szCs w:val="22"/>
              </w:rPr>
            </w:pPr>
            <w:r w:rsidRPr="00B74F2E">
              <w:rPr>
                <w:rFonts w:ascii="Calibri" w:hAnsi="Calibri" w:cs="Calibri"/>
                <w:sz w:val="22"/>
                <w:szCs w:val="22"/>
              </w:rPr>
              <w:t>Scheme 1</w:t>
            </w:r>
            <w:r w:rsidRPr="00B74F2E">
              <w:rPr>
                <w:rFonts w:ascii="Calibri" w:hAnsi="Calibri" w:cs="Calibri"/>
                <w:sz w:val="22"/>
                <w:szCs w:val="22"/>
              </w:rPr>
              <w:br/>
              <w:t>Scheme 2</w:t>
            </w:r>
            <w:r w:rsidRPr="00B74F2E">
              <w:rPr>
                <w:rFonts w:ascii="Calibri" w:hAnsi="Calibri" w:cs="Calibri"/>
                <w:sz w:val="22"/>
                <w:szCs w:val="22"/>
              </w:rPr>
              <w:br/>
              <w:t>Scheme 3</w:t>
            </w:r>
          </w:p>
        </w:tc>
        <w:tc>
          <w:tcPr>
            <w:tcW w:w="2693" w:type="dxa"/>
          </w:tcPr>
          <w:p w:rsidR="003B7220" w:rsidRPr="00B74F2E" w:rsidP="002F78C4">
            <w:pPr>
              <w:rPr>
                <w:rFonts w:ascii="Calibri" w:hAnsi="Calibri" w:cs="Calibri"/>
                <w:sz w:val="22"/>
                <w:szCs w:val="22"/>
              </w:rPr>
            </w:pPr>
            <w:r w:rsidRPr="00B74F2E">
              <w:rPr>
                <w:rFonts w:ascii="Calibri" w:hAnsi="Calibri" w:cs="Calibri"/>
                <w:sz w:val="22"/>
                <w:szCs w:val="22"/>
              </w:rPr>
              <w:t>29,000 (15,000, 44,000) 39,000 (23,000, 56,000) 46,000 (27,000, 66,000)</w:t>
            </w:r>
          </w:p>
        </w:tc>
        <w:tc>
          <w:tcPr>
            <w:tcW w:w="2268" w:type="dxa"/>
          </w:tcPr>
          <w:p w:rsidR="003B7220" w:rsidRPr="00B74F2E" w:rsidP="002F78C4">
            <w:pPr>
              <w:rPr>
                <w:rFonts w:ascii="Calibri" w:hAnsi="Calibri" w:cs="Calibri"/>
                <w:sz w:val="22"/>
                <w:szCs w:val="22"/>
              </w:rPr>
            </w:pPr>
            <w:r w:rsidRPr="00B74F2E">
              <w:rPr>
                <w:rFonts w:ascii="Calibri" w:hAnsi="Calibri" w:cs="Calibri"/>
                <w:sz w:val="22"/>
                <w:szCs w:val="22"/>
              </w:rPr>
              <w:t>£22m (£12m, £34m) £29m (£18m, £43m) £35m (£21m, £50m)</w:t>
            </w:r>
          </w:p>
        </w:tc>
        <w:tc>
          <w:tcPr>
            <w:tcW w:w="2500" w:type="dxa"/>
          </w:tcPr>
          <w:p w:rsidR="003B7220" w:rsidRPr="00B74F2E" w:rsidP="0020295C">
            <w:pPr>
              <w:keepNext/>
              <w:rPr>
                <w:rFonts w:ascii="Calibri" w:hAnsi="Calibri" w:cs="Calibri"/>
                <w:sz w:val="22"/>
                <w:szCs w:val="22"/>
              </w:rPr>
            </w:pPr>
            <w:r w:rsidRPr="00B74F2E">
              <w:rPr>
                <w:rFonts w:ascii="Calibri" w:hAnsi="Calibri" w:cs="Calibri"/>
                <w:sz w:val="22"/>
                <w:szCs w:val="22"/>
              </w:rPr>
              <w:t>£99m (£53m, £150m) £130m (£79m, £190m) £160m (£92m, £220m)</w:t>
            </w:r>
          </w:p>
        </w:tc>
      </w:tr>
    </w:tbl>
    <w:p w:rsidR="003B7220" w:rsidRPr="00B74F2E">
      <w:pPr>
        <w:pStyle w:val="Caption"/>
        <w:rPr>
          <w:rFonts w:ascii="Calibri" w:hAnsi="Calibri" w:cs="Calibri"/>
          <w:color w:val="auto"/>
        </w:rPr>
      </w:pPr>
      <w:r w:rsidRPr="00B74F2E">
        <w:rPr>
          <w:rFonts w:ascii="Calibri" w:hAnsi="Calibri" w:cs="Calibri"/>
          <w:color w:val="auto"/>
        </w:rPr>
        <w:fldChar w:fldCharType="begin"/>
      </w:r>
      <w:r w:rsidRPr="00B74F2E">
        <w:rPr>
          <w:rFonts w:ascii="Calibri" w:hAnsi="Calibri" w:cs="Calibri"/>
          <w:color w:val="auto"/>
        </w:rPr>
        <w:instrText xml:space="preserve"> ADDIN ZOTERO_ITEM CSL_CITATION {"citationID":"GDATpLAC","properties":{"formattedCitation":"(Johnson et al., 2022)","plainCitation":"(Johnson et al., 2022)","noteIndex":0},"citationItems":[{"id":243,"uris":["http://zotero.org/groups/5881371/items/QZ6HXEIC"],"itemData":{"id":243,"type":"report","publisher":"The RSA","publisher-place":"London","title":"Levelling the mental health gradient among young people: How Universal Basic Income can address the crisis in anxiety and depression: Interim Report","URL":"https://www.thersa.org/reports/universal-basic-income-anxiety-depression-mental-health-crisis-interim-report","author":[{"family":"Johnson","given":"Elliott"},{"family":"Villadsen","given":"Aase"},{"family":"Parra-Mujica","given":"Fiorella"},{"family":"Webster","given":"Hannah"},{"family":"Thorold","given":"Riley"},{"family":"Morrison","given":"James"},{"family":"Cooke","given":"Jamie"},{"family":"Mathers","given":"Alice"},{"family":"Reed","given":"Howard"},{"family":"Lansley","given":"Stewart"},{"family":"Chen","given":"Tao"},{"family":"Kypridemos","given":"Chris"},{"family":"O'Flaherty","given":"Martin"},{"family":"Nettle","given":"Daniel"},{"family":"Cookson","given":"Richard"},{"family":"Pickett","given":"Kate E."},{"family":"Johnson","given":"Matthew"}],"accessed":{"date-parts":[["2023",2,26]]},"issued":{"date-parts":[["2022",7]]}}}],"schema":"https://github.com/citation-style-language/schema/raw/master/csl-citation.json"} </w:instrText>
      </w:r>
      <w:r w:rsidRPr="00B74F2E">
        <w:rPr>
          <w:rFonts w:ascii="Calibri" w:hAnsi="Calibri" w:cs="Calibri"/>
          <w:color w:val="auto"/>
        </w:rPr>
        <w:fldChar w:fldCharType="separate"/>
      </w:r>
      <w:r w:rsidRPr="00B74F2E">
        <w:rPr>
          <w:rFonts w:ascii="Calibri" w:hAnsi="Calibri" w:cs="Calibri"/>
          <w:color w:val="auto"/>
        </w:rPr>
        <w:t>(Johnson et al., 2022)</w:t>
      </w:r>
      <w:r w:rsidRPr="00B74F2E">
        <w:rPr>
          <w:rFonts w:ascii="Calibri" w:hAnsi="Calibri" w:cs="Calibri"/>
          <w:color w:val="auto"/>
        </w:rPr>
        <w:fldChar w:fldCharType="end"/>
      </w:r>
    </w:p>
    <w:p w:rsidR="003B7220" w:rsidRPr="00B74F2E" w:rsidP="00D138E4">
      <w:pPr>
        <w:rPr>
          <w:rFonts w:ascii="Calibri" w:hAnsi="Calibri" w:cs="Calibri"/>
          <w:sz w:val="22"/>
          <w:szCs w:val="22"/>
        </w:rPr>
      </w:pPr>
      <w:r w:rsidRPr="00B74F2E">
        <w:rPr>
          <w:rFonts w:ascii="Calibri" w:hAnsi="Calibri" w:cs="Calibri"/>
          <w:sz w:val="22"/>
          <w:szCs w:val="22"/>
        </w:rPr>
        <w:t>These are static, modelled estimates, but they demonstrate that income</w:t>
      </w:r>
      <w:r w:rsidRPr="00B74F2E">
        <w:rPr>
          <w:rFonts w:ascii="Calibri" w:hAnsi="Calibri" w:cs="Calibri"/>
          <w:sz w:val="22"/>
          <w:szCs w:val="22"/>
        </w:rPr>
        <w:noBreakHyphen/>
        <w:t>security interventions should be considered alongside service</w:t>
      </w:r>
      <w:r w:rsidRPr="00B74F2E">
        <w:rPr>
          <w:rFonts w:ascii="Calibri" w:hAnsi="Calibri" w:cs="Calibri"/>
          <w:sz w:val="22"/>
          <w:szCs w:val="22"/>
        </w:rPr>
        <w:noBreakHyphen/>
        <w:t>based and community approaches as part of an upstream strategy for meeting the mental</w:t>
      </w:r>
      <w:r w:rsidRPr="00B74F2E">
        <w:rPr>
          <w:rFonts w:ascii="Calibri" w:hAnsi="Calibri" w:cs="Calibri"/>
          <w:sz w:val="22"/>
          <w:szCs w:val="22"/>
        </w:rPr>
        <w:noBreakHyphen/>
        <w:t>health needs of children and young people. Income security interventions like a basic income could reduce the volume and severity of need presenting to Early Support Hubs for example, increasing their capacity to respond effectively to those who do engage.</w:t>
      </w:r>
      <w:r w:rsidRPr="00B74F2E">
        <w:rPr>
          <w:rFonts w:ascii="Calibri" w:hAnsi="Calibri" w:cs="Calibri"/>
          <w:sz w:val="22"/>
          <w:szCs w:val="22"/>
        </w:rPr>
        <w:br/>
      </w:r>
      <w:r w:rsidRPr="00B74F2E">
        <w:rPr>
          <w:rFonts w:ascii="Calibri" w:hAnsi="Calibri" w:cs="Calibri"/>
          <w:sz w:val="22"/>
          <w:szCs w:val="22"/>
        </w:rPr>
        <w:br/>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{"citationID":"twiY5s1C","properties":{"formattedCitation":"(Johnson et al., 2022)","plainCitation":"(Johnson et al., 2022)","dontUpdate":true,"noteIndex":0},"citationItems":[{"id":243,"uris":["http://zotero.org/groups/5881371/items/QZ6HXEIC"],"itemData":{"id":243,"type":"report","publisher":"The RSA","publisher-place":"London","title":"Levelling the mental health gradient among young people: How Universal Basic Income can address the crisis in anxiety and depression: Interim Report","URL":"https://www.thersa.org/reports/universal-basic-income-anxiety-depression-mental-health-crisis-interim-report","author":[{"family":"Johnson","given":"Elliott"},{"family":"Villadsen","given":"Aase"},{"family":"Parra-Mujica","given":"Fiorella"},{"family":"Webster","given":"Hannah"},{"family":"Thorold","given":"Riley"},{"family":"Morrison","given":"James"},{"family":"Cooke","given":"Jamie"},{"family":"Mathers","given":"Alice"},{"family":"Reed","given":"Howard"},{"family":"Lansley","given":"Stewart"},{"family":"Chen","given":"Tao"},{"family":"Kypridemos","given":"Chris"},{"family":"O'Flaherty","given":"Martin"},{"family":"Nettle","given":"Daniel"},{"family":"Cookson","given":"Richard"},{"family":"Pickett","given":"Kate E."},{"family":"Johnson","given":"Matthew"}],"accessed":{"date-parts":[["2023",2,26]]},"issued":{"date-parts":[["2022",7]]}}}],"schema":"https://github.com/citation-style-language/schema/raw/master/csl-citation.json"}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Johnson et al. (2022)</w:t>
      </w:r>
      <w:r w:rsidRPr="00B74F2E">
        <w:rPr>
          <w:rFonts w:ascii="Calibri" w:hAnsi="Calibri" w:cs="Calibri"/>
          <w:sz w:val="22"/>
          <w:szCs w:val="22"/>
        </w:rPr>
        <w:fldChar w:fldCharType="end"/>
      </w:r>
      <w:r w:rsidRPr="00B74F2E">
        <w:rPr>
          <w:rFonts w:ascii="Calibri" w:hAnsi="Calibri" w:cs="Calibri"/>
          <w:sz w:val="22"/>
          <w:szCs w:val="22"/>
        </w:rPr>
        <w:t xml:space="preserve"> also conducted a series of citizen engagement workshops, exploring whether a transitional Basic Income could ease pressures facing young people, with 28 participants aged 14-22 from Bradford taking part. Findings were consistent across a range of circumstances: the current system does not work for young people. A central theme was the impossible trade-off between work, study and leisure. Nearly all participants identified education as the surest route to financial security, yet present financial insecurity undermined their ability to pursue it, with students reporting that paid work left them too stretched and too tired to study effectively (p.22</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{"citationID":"4RcHjcoh","properties":{"formattedCitation":"(Johnson et al., 2022)","plainCitation":"(Johnson et al., 2022)","dontUpdate":true,"noteIndex":0},"citationItems":[{"id":243,"uris":["http://zotero.org/groups/5881371/items/QZ6HXEIC"],"itemData":{"id":243,"type":"report","publisher":"The RSA","publisher-place":"London","title":"Levelling the mental health gradient among young people: How Universal Basic Income can address the crisis in anxiety and depression: Interim Report","URL":"https://www.thersa.org/reports/universal-basic-income-anxiety-depression-mental-health-crisis-interim-report","author":[{"family":"Johnson","given":"Elliott"},{"family":"Villadsen","given":"Aase"},{"family":"Parra-Mujica","given":"Fiorella"},{"family":"Webster","given":"Hannah"},{"family":"Thorold","given":"Riley"},{"family":"Morrison","given":"James"},{"family":"Cooke","given":"Jamie"},{"family":"Mathers","given":"Alice"},{"family":"Reed","given":"Howard"},{"family":"Lansley","given":"Stewart"},{"family":"Chen","given":"Tao"},{"family":"Kypridemos","given":"Chris"},{"family":"O'Flaherty","given":"Martin"},{"family":"Nettle","given":"Daniel"},{"family":"Cookson","given":"Richard"},{"family":"Pickett","given":"Kate E."},{"family":"Johnson","given":"Matthew"}],"accessed":{"date-parts":[["2023",2,26]]},"issued":{"date-parts":[["2022",7]]}}}],"schema":"https://github.com/citation-style-language/schema/raw/master/csl-citation.json"}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w:t>
      </w:r>
      <w:r w:rsidRPr="00B74F2E">
        <w:rPr>
          <w:rFonts w:ascii="Calibri" w:hAnsi="Calibri" w:cs="Calibri"/>
          <w:sz w:val="22"/>
          <w:szCs w:val="22"/>
        </w:rPr>
        <w:fldChar w:fldCharType="end"/>
      </w:r>
      <w:r w:rsidRPr="00B74F2E">
        <w:rPr>
          <w:rFonts w:ascii="Calibri" w:hAnsi="Calibri" w:cs="Calibri"/>
          <w:sz w:val="22"/>
          <w:szCs w:val="22"/>
        </w:rPr>
        <w:t xml:space="preserve">. Young people realise how important education is to their future, but their efforts are being undermined by a lack of necessary financial security. </w:t>
      </w:r>
    </w:p>
    <w:p w:rsidR="003B7220" w:rsidRPr="00B74F2E">
      <w:pPr>
        <w:rPr>
          <w:rFonts w:ascii="Calibri" w:hAnsi="Calibri" w:cs="Calibri"/>
          <w:sz w:val="22"/>
          <w:szCs w:val="22"/>
        </w:rPr>
      </w:pPr>
      <w:r w:rsidRPr="00B74F2E">
        <w:rPr>
          <w:rFonts w:ascii="Calibri" w:hAnsi="Calibri" w:cs="Calibri"/>
          <w:sz w:val="22"/>
          <w:szCs w:val="22"/>
        </w:rPr>
        <w:t xml:space="preserve">The Welsh Basic Income Pilot for Care Leavers has found that, in the first year of the study, participants reported being able to save more for things such as driving lessons, university or just the future. They were able to undertake more activities with friends, eat better food and play more sports, all of which contribute to improved health outcomes. Participants reported improved mental health and wellbeing feeling a sense of control over their lives and increased choices around jobs and college opportunities </w:t>
      </w:r>
      <w:r w:rsidRPr="00B74F2E">
        <w:rPr>
          <w:rFonts w:ascii="Calibri" w:hAnsi="Calibri" w:cs="Calibri"/>
          <w:sz w:val="22"/>
          <w:szCs w:val="22"/>
        </w:rPr>
        <w:fldChar w:fldCharType="begin"/>
      </w:r>
      <w:r w:rsidRPr="00B74F2E">
        <w:rPr>
          <w:rFonts w:ascii="Calibri" w:hAnsi="Calibri" w:cs="Calibri"/>
          <w:sz w:val="22"/>
          <w:szCs w:val="22"/>
        </w:rPr>
        <w:instrText xml:space="preserve"> ADDIN ZOTERO_ITEM CSL_CITATION {"citationID":"WeX1rbXH","properties":{"formattedCitation":"(Mathur et al., 2025)","plainCitation":"(Mathur et al., 2025)","noteIndex":0},"citationItems":[{"id":1048,"uris":["http://zotero.org/users/16482178/items/22BQEMDZ"],"itemData":{"id":1048,"type":"article-journal","language":"en","source":"Zotero","title":"Basic income for care leavers in Wales pilot evaluation: second annual report, 2024 to 2025","author":[{"family":"Mathur","given":"Vibhor"},{"family":"Roberts","given":"Louise"},{"family":"Bezeczky","given":"Zoe"},{"family":"Lloyd","given":"Harriet"},{"family":"Sanders","given":"Michael"},{"family":"Pickett","given":"Kate E"},{"family":"Johnson","given":"Matthew"},{"family":"Hick","given":"Rod"},{"family":"Fahr","given":"Patrick"},{"family":"Petrou","given":"Stavros"},{"family":"Lee","given":"Hannah"},{"family":"Holland","given":"Sally"}],"issued":{"date-parts":[["2025",3,5]]}}}],"schema":"https://github.com/citation-style-language/schema/raw/master/csl-citation.json"} </w:instrText>
      </w:r>
      <w:r w:rsidRPr="00B74F2E">
        <w:rPr>
          <w:rFonts w:ascii="Calibri" w:hAnsi="Calibri" w:cs="Calibri"/>
          <w:sz w:val="22"/>
          <w:szCs w:val="22"/>
        </w:rPr>
        <w:fldChar w:fldCharType="separate"/>
      </w:r>
      <w:r w:rsidRPr="00B74F2E">
        <w:rPr>
          <w:rFonts w:ascii="Calibri" w:hAnsi="Calibri" w:cs="Calibri"/>
          <w:sz w:val="22"/>
        </w:rPr>
        <w:t>(Mathur et al., 2025)</w:t>
      </w:r>
      <w:r w:rsidRPr="00B74F2E">
        <w:rPr>
          <w:rFonts w:ascii="Calibri" w:hAnsi="Calibri" w:cs="Calibri"/>
          <w:sz w:val="22"/>
          <w:szCs w:val="22"/>
        </w:rPr>
        <w:fldChar w:fldCharType="end"/>
      </w:r>
      <w:r w:rsidRPr="00B74F2E">
        <w:rPr>
          <w:rFonts w:ascii="Calibri" w:hAnsi="Calibri" w:cs="Calibri"/>
          <w:sz w:val="22"/>
          <w:szCs w:val="22"/>
        </w:rPr>
        <w:t xml:space="preserve">. These findings make a compelling case for understanding the effects of basic income on young people's mental health and emphasise the importance of effectively evaluated trials to better understand basic income as an </w:t>
      </w:r>
      <w:r w:rsidRPr="00B74F2E">
        <w:rPr>
          <w:rStyle w:val="Heading5Char"/>
          <w:rFonts w:ascii="Calibri" w:hAnsi="Calibri" w:cs="Calibri"/>
          <w:color w:val="auto"/>
          <w:sz w:val="22"/>
          <w:szCs w:val="22"/>
        </w:rPr>
        <w:t>early</w:t>
      </w:r>
      <w:r w:rsidRPr="00B74F2E">
        <w:rPr>
          <w:rStyle w:val="Heading5Char"/>
          <w:rFonts w:ascii="Calibri" w:hAnsi="Calibri" w:cs="Calibri"/>
          <w:color w:val="auto"/>
          <w:sz w:val="22"/>
          <w:szCs w:val="22"/>
        </w:rPr>
        <w:noBreakHyphen/>
        <w:t>intervention</w:t>
      </w:r>
      <w:r w:rsidRPr="00B74F2E">
        <w:rPr>
          <w:rFonts w:ascii="Calibri" w:hAnsi="Calibri" w:cs="Calibri"/>
          <w:sz w:val="22"/>
          <w:szCs w:val="22"/>
        </w:rPr>
        <w:t xml:space="preserve"> strategy for young people’s mental health. The impact of early support infrastructure will be limited if the underlying economic conditions driving need are not addressed. </w:t>
      </w:r>
    </w:p>
    <w:p w:rsidR="003B7220" w:rsidRPr="00B74F2E">
      <w:pPr>
        <w:rPr>
          <w:rFonts w:ascii="Calibri" w:hAnsi="Calibri" w:cs="Calibri"/>
          <w:sz w:val="22"/>
          <w:szCs w:val="22"/>
        </w:rPr>
      </w:pPr>
      <w:r w:rsidRPr="00B74F2E">
        <w:rPr>
          <w:rFonts w:ascii="Calibri" w:hAnsi="Calibri" w:cs="Calibri"/>
          <w:sz w:val="22"/>
          <w:szCs w:val="22"/>
        </w:rPr>
        <w:t>There is urgent need to invest in preventative mental health support that, over a lifetime, has the potential to be cheaper and more effective than reactive services, reducing the severity and prevalence of mental health instances among young people rather than simply treating the symptoms.</w:t>
      </w:r>
      <w:r w:rsidRPr="00B74F2E">
        <w:rPr>
          <w:rFonts w:ascii="Calibri" w:hAnsi="Calibri" w:cs="Calibri"/>
        </w:rPr>
        <w:br/>
      </w:r>
      <w:r w:rsidRPr="00B74F2E">
        <w:rPr>
          <w:rFonts w:ascii="Calibri" w:hAnsi="Calibri" w:cs="Calibri"/>
        </w:rPr>
        <w:br/>
      </w:r>
      <w:r w:rsidRPr="00B74F2E">
        <w:rPr>
          <w:rFonts w:ascii="Calibri" w:hAnsi="Calibri" w:cs="Calibri"/>
          <w:b/>
          <w:bCs/>
          <w:sz w:val="22"/>
          <w:szCs w:val="22"/>
        </w:rPr>
        <w:t>References</w:t>
      </w:r>
    </w:p>
    <w:p w:rsidR="003B7220" w:rsidRPr="00B74F2E" w:rsidP="00BE5A86">
      <w:pPr>
        <w:pStyle w:val="Bibliography"/>
        <w:rPr>
          <w:rFonts w:ascii="Calibri" w:hAnsi="Calibri" w:cs="Calibri"/>
          <w:sz w:val="22"/>
        </w:rPr>
      </w:pPr>
      <w:r w:rsidRPr="00B74F2E">
        <w:rPr>
          <w:rFonts w:ascii="Calibri" w:hAnsi="Calibri" w:cs="Calibri"/>
          <w:sz w:val="22"/>
          <w:szCs w:val="22"/>
        </w:rPr>
        <w:fldChar w:fldCharType="begin"/>
      </w:r>
      <w:r w:rsidRPr="00B74F2E">
        <w:rPr>
          <w:rFonts w:ascii="Calibri" w:hAnsi="Calibri" w:cs="Calibri"/>
          <w:sz w:val="22"/>
          <w:szCs w:val="22"/>
        </w:rPr>
        <w:instrText xml:space="preserve"> ADDIN ZOTERO_BIBL {"uncited":[],"omitted":[],"custom":[]} CSL_BIBLIOGRAPHY </w:instrText>
      </w:r>
      <w:r w:rsidRPr="00B74F2E">
        <w:rPr>
          <w:rFonts w:ascii="Calibri" w:hAnsi="Calibri" w:cs="Calibri"/>
          <w:sz w:val="22"/>
          <w:szCs w:val="22"/>
        </w:rPr>
        <w:fldChar w:fldCharType="separate"/>
      </w:r>
      <w:r w:rsidRPr="00B74F2E">
        <w:rPr>
          <w:rFonts w:ascii="Calibri" w:hAnsi="Calibri" w:cs="Calibri"/>
          <w:sz w:val="22"/>
        </w:rPr>
        <w:t xml:space="preserve">Barican, J. L., Yung, D., Schwartz, C., Zheng, Y., Georgiades, K., &amp; Waddell, C. (2022). Prevalence of childhood mental disorders in high-income countries: A systematic review and meta-analysis to inform policymaking. </w:t>
      </w:r>
      <w:r w:rsidRPr="00B74F2E">
        <w:rPr>
          <w:rFonts w:ascii="Calibri" w:hAnsi="Calibri" w:cs="Calibri"/>
          <w:i/>
          <w:iCs/>
          <w:sz w:val="22"/>
        </w:rPr>
        <w:t>Evidence Based Mental Health</w:t>
      </w:r>
      <w:r w:rsidRPr="00B74F2E">
        <w:rPr>
          <w:rFonts w:ascii="Calibri" w:hAnsi="Calibri" w:cs="Calibri"/>
          <w:sz w:val="22"/>
        </w:rPr>
        <w:t xml:space="preserve">, </w:t>
      </w:r>
      <w:r w:rsidRPr="00B74F2E">
        <w:rPr>
          <w:rFonts w:ascii="Calibri" w:hAnsi="Calibri" w:cs="Calibri"/>
          <w:i/>
          <w:iCs/>
          <w:sz w:val="22"/>
        </w:rPr>
        <w:t>25</w:t>
      </w:r>
      <w:r w:rsidRPr="00B74F2E">
        <w:rPr>
          <w:rFonts w:ascii="Calibri" w:hAnsi="Calibri" w:cs="Calibri"/>
          <w:sz w:val="22"/>
        </w:rPr>
        <w:t>(1). https://doi.org/10.1136/ebmental-2021-300277</w:t>
      </w:r>
    </w:p>
    <w:p w:rsidR="003B7220" w:rsidRPr="00B74F2E" w:rsidP="00BE5A86">
      <w:pPr>
        <w:pStyle w:val="Bibliography"/>
        <w:rPr>
          <w:rFonts w:ascii="Calibri" w:hAnsi="Calibri" w:cs="Calibri"/>
          <w:sz w:val="22"/>
        </w:rPr>
      </w:pPr>
      <w:r w:rsidRPr="00B74F2E">
        <w:rPr>
          <w:rFonts w:ascii="Calibri" w:hAnsi="Calibri" w:cs="Calibri"/>
          <w:sz w:val="22"/>
        </w:rPr>
        <w:t xml:space="preserve">Chen, T., Reed, H., Parra-Mujica, F., Johnson, E. A., Johnson, M., O’Flaherty, M., Collins, B., &amp; Kypridemos, C. (2023). </w:t>
      </w:r>
      <w:r w:rsidRPr="00B74F2E">
        <w:rPr>
          <w:rFonts w:ascii="Calibri" w:hAnsi="Calibri" w:cs="Calibri"/>
          <w:i/>
          <w:iCs/>
          <w:sz w:val="22"/>
        </w:rPr>
        <w:t>Quantifying the mental health and economic impacts of prospective Universal Basic Income schemes among young people in the UK: A microsimulation modelling study</w:t>
      </w:r>
      <w:r w:rsidRPr="00B74F2E">
        <w:rPr>
          <w:rFonts w:ascii="Calibri" w:hAnsi="Calibri" w:cs="Calibri"/>
          <w:sz w:val="22"/>
        </w:rPr>
        <w:t>. https://doi.org/10.1136/bmjopen-2023-075831</w:t>
      </w:r>
    </w:p>
    <w:p w:rsidR="003B7220" w:rsidRPr="00B74F2E" w:rsidP="00BE5A86">
      <w:pPr>
        <w:pStyle w:val="Bibliography"/>
        <w:rPr>
          <w:rFonts w:ascii="Calibri" w:hAnsi="Calibri" w:cs="Calibri"/>
          <w:sz w:val="22"/>
        </w:rPr>
      </w:pPr>
      <w:r w:rsidRPr="00B74F2E">
        <w:rPr>
          <w:rFonts w:ascii="Calibri" w:hAnsi="Calibri" w:cs="Calibri"/>
          <w:sz w:val="22"/>
        </w:rPr>
        <w:t xml:space="preserve">Common Sense Policy Group. (2025). </w:t>
      </w:r>
      <w:r w:rsidRPr="00B74F2E">
        <w:rPr>
          <w:rFonts w:ascii="Calibri" w:hAnsi="Calibri" w:cs="Calibri"/>
          <w:i/>
          <w:iCs/>
          <w:sz w:val="22"/>
        </w:rPr>
        <w:t>Basic Income: The Policy That Changes Everything</w:t>
      </w:r>
      <w:r w:rsidRPr="00B74F2E">
        <w:rPr>
          <w:rFonts w:ascii="Calibri" w:hAnsi="Calibri" w:cs="Calibri"/>
          <w:sz w:val="22"/>
        </w:rPr>
        <w:t>. Policy Press.</w:t>
      </w:r>
    </w:p>
    <w:p w:rsidR="003B7220" w:rsidRPr="00B74F2E" w:rsidP="00BE5A86">
      <w:pPr>
        <w:pStyle w:val="Bibliography"/>
        <w:rPr>
          <w:rFonts w:ascii="Calibri" w:hAnsi="Calibri" w:cs="Calibri"/>
          <w:sz w:val="22"/>
        </w:rPr>
      </w:pPr>
      <w:r w:rsidRPr="00B74F2E">
        <w:rPr>
          <w:rFonts w:ascii="Calibri" w:hAnsi="Calibri" w:cs="Calibri"/>
          <w:sz w:val="22"/>
        </w:rPr>
        <w:t xml:space="preserve">Fashina-Ayilara, T., &amp; Byrne, G. (2025, October). </w:t>
      </w:r>
      <w:r w:rsidRPr="00B74F2E">
        <w:rPr>
          <w:rFonts w:ascii="Calibri" w:hAnsi="Calibri" w:cs="Calibri"/>
          <w:i/>
          <w:iCs/>
          <w:sz w:val="22"/>
        </w:rPr>
        <w:t>Care Before Crisis: Report on young people’s mental health</w:t>
      </w:r>
      <w:r w:rsidRPr="00B74F2E">
        <w:rPr>
          <w:rFonts w:ascii="Calibri" w:hAnsi="Calibri" w:cs="Calibri"/>
          <w:sz w:val="22"/>
        </w:rPr>
        <w:t>. Mind. https://www.mind.org.uk/news-campaigns/campaigns/children-and-young-peoples-mental-health/care-before-crisis-our-report-on-young-peoples-mental-health/</w:t>
      </w:r>
    </w:p>
    <w:p w:rsidR="003B7220" w:rsidRPr="00B74F2E" w:rsidP="00BE5A86">
      <w:pPr>
        <w:pStyle w:val="Bibliography"/>
        <w:rPr>
          <w:rFonts w:ascii="Calibri" w:hAnsi="Calibri" w:cs="Calibri"/>
          <w:sz w:val="22"/>
        </w:rPr>
      </w:pPr>
      <w:r w:rsidRPr="00B74F2E">
        <w:rPr>
          <w:rFonts w:ascii="Calibri" w:hAnsi="Calibri" w:cs="Calibri"/>
          <w:sz w:val="22"/>
        </w:rPr>
        <w:t xml:space="preserve">Johnson, E., Villadsen, A., Parra-Mujica, F., Webster, H., Thorold, R., Morrison, J., Cooke, J., Mathers, A., Reed, H., Lansley, S., Chen, T., Kypridemos, C., O’Flaherty, M., Nettle, D., Cookson, R., Pickett, K. E., &amp; Johnson, M. (2022). </w:t>
      </w:r>
      <w:r w:rsidRPr="00B74F2E">
        <w:rPr>
          <w:rFonts w:ascii="Calibri" w:hAnsi="Calibri" w:cs="Calibri"/>
          <w:i/>
          <w:iCs/>
          <w:sz w:val="22"/>
        </w:rPr>
        <w:t>Levelling the mental health gradient among young people: How Universal Basic Income can address the crisis in anxiety and depression: Interim Report</w:t>
      </w:r>
      <w:r w:rsidRPr="00B74F2E">
        <w:rPr>
          <w:rFonts w:ascii="Calibri" w:hAnsi="Calibri" w:cs="Calibri"/>
          <w:sz w:val="22"/>
        </w:rPr>
        <w:t>. The RSA. https://www.thersa.org/reports/universal-basic-income-anxiety-depression-mental-health-crisis-interim-report</w:t>
      </w:r>
    </w:p>
    <w:p w:rsidR="003B7220" w:rsidRPr="00B74F2E" w:rsidP="00BE5A86">
      <w:pPr>
        <w:pStyle w:val="Bibliography"/>
        <w:rPr>
          <w:rFonts w:ascii="Calibri" w:hAnsi="Calibri" w:cs="Calibri"/>
          <w:sz w:val="22"/>
        </w:rPr>
      </w:pPr>
      <w:r w:rsidRPr="00B74F2E">
        <w:rPr>
          <w:rFonts w:ascii="Calibri" w:hAnsi="Calibri" w:cs="Calibri"/>
          <w:sz w:val="22"/>
        </w:rPr>
        <w:t xml:space="preserve">Kromydas, T., Thomson, R. M., Pulford, A., Green, M. J., &amp; Katikireddi, S. V. (2021). Which is most important for mental health: Money, poverty, or paid work? A fixed-effects analysis of the UK Household Longitudinal Study. </w:t>
      </w:r>
      <w:r w:rsidRPr="00B74F2E">
        <w:rPr>
          <w:rFonts w:ascii="Calibri" w:hAnsi="Calibri" w:cs="Calibri"/>
          <w:i/>
          <w:iCs/>
          <w:sz w:val="22"/>
        </w:rPr>
        <w:t>SSM - Population Health</w:t>
      </w:r>
      <w:r w:rsidRPr="00B74F2E">
        <w:rPr>
          <w:rFonts w:ascii="Calibri" w:hAnsi="Calibri" w:cs="Calibri"/>
          <w:sz w:val="22"/>
        </w:rPr>
        <w:t xml:space="preserve">, </w:t>
      </w:r>
      <w:r w:rsidRPr="00B74F2E">
        <w:rPr>
          <w:rFonts w:ascii="Calibri" w:hAnsi="Calibri" w:cs="Calibri"/>
          <w:i/>
          <w:iCs/>
          <w:sz w:val="22"/>
        </w:rPr>
        <w:t>15</w:t>
      </w:r>
      <w:r w:rsidRPr="00B74F2E">
        <w:rPr>
          <w:rFonts w:ascii="Calibri" w:hAnsi="Calibri" w:cs="Calibri"/>
          <w:sz w:val="22"/>
        </w:rPr>
        <w:t>, 100909. https://doi.org/10.1016/j.ssmph.2021.100909</w:t>
      </w:r>
    </w:p>
    <w:p w:rsidR="003B7220" w:rsidRPr="00B74F2E" w:rsidP="00BE5A86">
      <w:pPr>
        <w:pStyle w:val="Bibliography"/>
        <w:rPr>
          <w:rFonts w:ascii="Calibri" w:hAnsi="Calibri" w:cs="Calibri"/>
          <w:sz w:val="22"/>
        </w:rPr>
      </w:pPr>
      <w:r w:rsidRPr="00B74F2E">
        <w:rPr>
          <w:rFonts w:ascii="Calibri" w:hAnsi="Calibri" w:cs="Calibri"/>
          <w:sz w:val="22"/>
        </w:rPr>
        <w:t xml:space="preserve">Lucas, M., Classick, R., Skipp, A., &amp; Julius, J. (2023). </w:t>
      </w:r>
      <w:r w:rsidRPr="00B74F2E">
        <w:rPr>
          <w:rFonts w:ascii="Calibri" w:hAnsi="Calibri" w:cs="Calibri"/>
          <w:i/>
          <w:iCs/>
          <w:sz w:val="22"/>
        </w:rPr>
        <w:t>Cost-of-living crisis: Impact on schools</w:t>
      </w:r>
      <w:r w:rsidRPr="00B74F2E">
        <w:rPr>
          <w:rFonts w:ascii="Calibri" w:hAnsi="Calibri" w:cs="Calibri"/>
          <w:sz w:val="22"/>
        </w:rPr>
        <w:t>.</w:t>
      </w:r>
    </w:p>
    <w:p w:rsidR="003B7220" w:rsidRPr="00B74F2E" w:rsidP="00BE5A86">
      <w:pPr>
        <w:pStyle w:val="Bibliography"/>
        <w:rPr>
          <w:rFonts w:ascii="Calibri" w:hAnsi="Calibri" w:cs="Calibri"/>
          <w:sz w:val="22"/>
        </w:rPr>
      </w:pPr>
      <w:r w:rsidRPr="00B74F2E">
        <w:rPr>
          <w:rFonts w:ascii="Calibri" w:hAnsi="Calibri" w:cs="Calibri"/>
          <w:sz w:val="22"/>
        </w:rPr>
        <w:t xml:space="preserve">Ma, L., Mazidi, M., Li, K., Li, Y., Chen, S., Kirwan, R., Zhou, H., Yan, N., Rahman, A., Wang, W., &amp; Wang, Y. (2021). Prevalence of mental health problems among children and adolescents during the COVID-19 pandemic: A systematic review and meta-analysis. </w:t>
      </w:r>
      <w:r w:rsidRPr="00B74F2E">
        <w:rPr>
          <w:rFonts w:ascii="Calibri" w:hAnsi="Calibri" w:cs="Calibri"/>
          <w:i/>
          <w:iCs/>
          <w:sz w:val="22"/>
        </w:rPr>
        <w:t>Journal of Affective Disorders</w:t>
      </w:r>
      <w:r w:rsidRPr="00B74F2E">
        <w:rPr>
          <w:rFonts w:ascii="Calibri" w:hAnsi="Calibri" w:cs="Calibri"/>
          <w:sz w:val="22"/>
        </w:rPr>
        <w:t xml:space="preserve">, </w:t>
      </w:r>
      <w:r w:rsidRPr="00B74F2E">
        <w:rPr>
          <w:rFonts w:ascii="Calibri" w:hAnsi="Calibri" w:cs="Calibri"/>
          <w:i/>
          <w:iCs/>
          <w:sz w:val="22"/>
        </w:rPr>
        <w:t>293</w:t>
      </w:r>
      <w:r w:rsidRPr="00B74F2E">
        <w:rPr>
          <w:rFonts w:ascii="Calibri" w:hAnsi="Calibri" w:cs="Calibri"/>
          <w:sz w:val="22"/>
        </w:rPr>
        <w:t>, 78–89. https://doi.org/10.1016/j.jad.2021.06.021</w:t>
      </w:r>
    </w:p>
    <w:p w:rsidR="003B7220" w:rsidRPr="00B74F2E" w:rsidP="00BE5A86">
      <w:pPr>
        <w:pStyle w:val="Bibliography"/>
        <w:rPr>
          <w:rFonts w:ascii="Calibri" w:hAnsi="Calibri" w:cs="Calibri"/>
          <w:sz w:val="22"/>
        </w:rPr>
      </w:pPr>
      <w:r w:rsidRPr="00B74F2E">
        <w:rPr>
          <w:rFonts w:ascii="Calibri" w:hAnsi="Calibri" w:cs="Calibri"/>
          <w:sz w:val="22"/>
        </w:rPr>
        <w:t xml:space="preserve">Mathur, V., Roberts, L., Bezeczky, Z., Lloyd, H., Sanders, M., Pickett, K. E., Johnson, M., Hick, R., Fahr, P., Petrou, S., Lee, H., &amp; Holland, S. (2025). </w:t>
      </w:r>
      <w:r w:rsidRPr="00B74F2E">
        <w:rPr>
          <w:rFonts w:ascii="Calibri" w:hAnsi="Calibri" w:cs="Calibri"/>
          <w:i/>
          <w:iCs/>
          <w:sz w:val="22"/>
        </w:rPr>
        <w:t>Basic income for care leavers in Wales pilot evaluation: Second annual report, 2024 to 2025</w:t>
      </w:r>
      <w:r w:rsidRPr="00B74F2E">
        <w:rPr>
          <w:rFonts w:ascii="Calibri" w:hAnsi="Calibri" w:cs="Calibri"/>
          <w:sz w:val="22"/>
        </w:rPr>
        <w:t>.</w:t>
      </w:r>
    </w:p>
    <w:p w:rsidR="003B7220" w:rsidRPr="00B74F2E" w:rsidP="00BE5A86">
      <w:pPr>
        <w:pStyle w:val="Bibliography"/>
        <w:rPr>
          <w:rFonts w:ascii="Calibri" w:hAnsi="Calibri" w:cs="Calibri"/>
          <w:sz w:val="22"/>
        </w:rPr>
      </w:pPr>
      <w:r w:rsidRPr="00B74F2E">
        <w:rPr>
          <w:rFonts w:ascii="Calibri" w:hAnsi="Calibri" w:cs="Calibri"/>
          <w:sz w:val="22"/>
        </w:rPr>
        <w:t xml:space="preserve">Nettle, D., Chevallier, C., De Courson, B., Johnson, E. A., Johnson, M. T., &amp; Pickett, K. E. (2024). Short‐term changes in financial situation have immediate mental health consequences: Implications for social policy. </w:t>
      </w:r>
      <w:r w:rsidRPr="00B74F2E">
        <w:rPr>
          <w:rFonts w:ascii="Calibri" w:hAnsi="Calibri" w:cs="Calibri"/>
          <w:i/>
          <w:iCs/>
          <w:sz w:val="22"/>
        </w:rPr>
        <w:t>Social Policy &amp; Administration</w:t>
      </w:r>
      <w:r w:rsidRPr="00B74F2E">
        <w:rPr>
          <w:rFonts w:ascii="Calibri" w:hAnsi="Calibri" w:cs="Calibri"/>
          <w:sz w:val="22"/>
        </w:rPr>
        <w:t>, spol.13065. https://doi.org/10.1111/spol.13065</w:t>
      </w:r>
    </w:p>
    <w:p w:rsidR="003B7220" w:rsidRPr="00B74F2E" w:rsidP="00BE5A86">
      <w:pPr>
        <w:pStyle w:val="Bibliography"/>
        <w:rPr>
          <w:rFonts w:ascii="Calibri" w:hAnsi="Calibri" w:cs="Calibri"/>
          <w:sz w:val="22"/>
        </w:rPr>
      </w:pPr>
      <w:r w:rsidRPr="00B74F2E">
        <w:rPr>
          <w:rFonts w:ascii="Calibri" w:hAnsi="Calibri" w:cs="Calibri"/>
          <w:sz w:val="22"/>
        </w:rPr>
        <w:t xml:space="preserve">Parra-Mujica, F., Johnson, E., Reed, H., Cookson, R., &amp; Johnson, M. (2023). Understanding the relationship between income and mental health among 16- to 24-year-olds: Analysis of 10 waves (2009–2020) of Understanding Society to enable modelling of income interventions. </w:t>
      </w:r>
      <w:r w:rsidRPr="00B74F2E">
        <w:rPr>
          <w:rFonts w:ascii="Calibri" w:hAnsi="Calibri" w:cs="Calibri"/>
          <w:i/>
          <w:iCs/>
          <w:sz w:val="22"/>
        </w:rPr>
        <w:t>PLOS ONE</w:t>
      </w:r>
      <w:r w:rsidRPr="00B74F2E">
        <w:rPr>
          <w:rFonts w:ascii="Calibri" w:hAnsi="Calibri" w:cs="Calibri"/>
          <w:sz w:val="22"/>
        </w:rPr>
        <w:t xml:space="preserve">, </w:t>
      </w:r>
      <w:r w:rsidRPr="00B74F2E">
        <w:rPr>
          <w:rFonts w:ascii="Calibri" w:hAnsi="Calibri" w:cs="Calibri"/>
          <w:i/>
          <w:iCs/>
          <w:sz w:val="22"/>
        </w:rPr>
        <w:t>18</w:t>
      </w:r>
      <w:r w:rsidRPr="00B74F2E">
        <w:rPr>
          <w:rFonts w:ascii="Calibri" w:hAnsi="Calibri" w:cs="Calibri"/>
          <w:sz w:val="22"/>
        </w:rPr>
        <w:t>(2), e0279845. https://doi.org/10.1371/journal.pone.0279845</w:t>
      </w:r>
    </w:p>
    <w:p w:rsidR="003B7220" w:rsidRPr="00B74F2E" w:rsidP="00BE5A86">
      <w:pPr>
        <w:pStyle w:val="Bibliography"/>
        <w:rPr>
          <w:rFonts w:ascii="Calibri" w:hAnsi="Calibri" w:cs="Calibri"/>
          <w:sz w:val="22"/>
        </w:rPr>
      </w:pPr>
      <w:r w:rsidRPr="00B74F2E">
        <w:rPr>
          <w:rFonts w:ascii="Calibri" w:hAnsi="Calibri" w:cs="Calibri"/>
          <w:sz w:val="22"/>
        </w:rPr>
        <w:t xml:space="preserve">Stark, G., Johnson, E., Johnson, M. T., Thew, A. F., Reed, H., &amp; Nettle, D. (2024). </w:t>
      </w:r>
      <w:r w:rsidRPr="00B74F2E">
        <w:rPr>
          <w:rFonts w:ascii="Calibri" w:hAnsi="Calibri" w:cs="Calibri"/>
          <w:i/>
          <w:iCs/>
          <w:sz w:val="22"/>
        </w:rPr>
        <w:t>Count the Costs: A Common Sense Update for the 2025 Spring Statement</w:t>
      </w:r>
      <w:r w:rsidRPr="00B74F2E">
        <w:rPr>
          <w:rFonts w:ascii="Calibri" w:hAnsi="Calibri" w:cs="Calibri"/>
          <w:sz w:val="22"/>
        </w:rPr>
        <w:t>. https://doi.org/10.17605/OSF.IO/FX35W</w:t>
      </w:r>
    </w:p>
    <w:p w:rsidR="003B7220" w:rsidRPr="00B74F2E" w:rsidP="00BE5A86">
      <w:pPr>
        <w:pStyle w:val="Bibliography"/>
        <w:rPr>
          <w:rFonts w:ascii="Calibri" w:hAnsi="Calibri" w:cs="Calibri"/>
          <w:sz w:val="22"/>
        </w:rPr>
      </w:pPr>
      <w:r w:rsidRPr="00B74F2E">
        <w:rPr>
          <w:rFonts w:ascii="Calibri" w:hAnsi="Calibri" w:cs="Calibri"/>
          <w:sz w:val="22"/>
        </w:rPr>
        <w:t xml:space="preserve">Thomson, R. M., Igelström, E., Purba, A. K., Shimonovich, M., Thomson, H., McCartney, G., Reeves, A., Leyland, A., Pearce, A., &amp; Katikireddi, S. V. (2022). How do income changes impact on mental health and wellbeing for working-age adults? A systematic review and meta-analysis. </w:t>
      </w:r>
      <w:r w:rsidRPr="00B74F2E">
        <w:rPr>
          <w:rFonts w:ascii="Calibri" w:hAnsi="Calibri" w:cs="Calibri"/>
          <w:i/>
          <w:iCs/>
          <w:sz w:val="22"/>
        </w:rPr>
        <w:t>The Lancet Public Health</w:t>
      </w:r>
      <w:r w:rsidRPr="00B74F2E">
        <w:rPr>
          <w:rFonts w:ascii="Calibri" w:hAnsi="Calibri" w:cs="Calibri"/>
          <w:sz w:val="22"/>
        </w:rPr>
        <w:t xml:space="preserve">, </w:t>
      </w:r>
      <w:r w:rsidRPr="00B74F2E">
        <w:rPr>
          <w:rFonts w:ascii="Calibri" w:hAnsi="Calibri" w:cs="Calibri"/>
          <w:i/>
          <w:iCs/>
          <w:sz w:val="22"/>
        </w:rPr>
        <w:t>7</w:t>
      </w:r>
      <w:r w:rsidRPr="00B74F2E">
        <w:rPr>
          <w:rFonts w:ascii="Calibri" w:hAnsi="Calibri" w:cs="Calibri"/>
          <w:sz w:val="22"/>
        </w:rPr>
        <w:t>(6), e515–e528. https://doi.org/10.1016/S2468-2667(22)00058-5</w:t>
      </w:r>
    </w:p>
    <w:p w:rsidR="003B7220" w:rsidRPr="00B74F2E" w:rsidP="00BE5A86">
      <w:pPr>
        <w:pStyle w:val="Bibliography"/>
        <w:rPr>
          <w:rFonts w:ascii="Calibri" w:hAnsi="Calibri" w:cs="Calibri"/>
          <w:sz w:val="22"/>
        </w:rPr>
      </w:pPr>
      <w:r w:rsidRPr="00B74F2E">
        <w:rPr>
          <w:rFonts w:ascii="Calibri" w:hAnsi="Calibri" w:cs="Calibri"/>
          <w:sz w:val="22"/>
        </w:rPr>
        <w:t xml:space="preserve">Thomson, R. M., &amp; Katikireddi, S. V. (2018). Mental health and the jilted generation: Using age-period-cohort analysis to assess differential trends in young people’s mental health following the Great Recession and austerity in England. </w:t>
      </w:r>
      <w:r w:rsidRPr="00B74F2E">
        <w:rPr>
          <w:rFonts w:ascii="Calibri" w:hAnsi="Calibri" w:cs="Calibri"/>
          <w:i/>
          <w:iCs/>
          <w:sz w:val="22"/>
        </w:rPr>
        <w:t>Social Science &amp; Medicine</w:t>
      </w:r>
      <w:r w:rsidRPr="00B74F2E">
        <w:rPr>
          <w:rFonts w:ascii="Calibri" w:hAnsi="Calibri" w:cs="Calibri"/>
          <w:sz w:val="22"/>
        </w:rPr>
        <w:t xml:space="preserve">, </w:t>
      </w:r>
      <w:r w:rsidRPr="00B74F2E">
        <w:rPr>
          <w:rFonts w:ascii="Calibri" w:hAnsi="Calibri" w:cs="Calibri"/>
          <w:i/>
          <w:iCs/>
          <w:sz w:val="22"/>
        </w:rPr>
        <w:t>214</w:t>
      </w:r>
      <w:r w:rsidRPr="00B74F2E">
        <w:rPr>
          <w:rFonts w:ascii="Calibri" w:hAnsi="Calibri" w:cs="Calibri"/>
          <w:sz w:val="22"/>
        </w:rPr>
        <w:t>, 133–143. https://doi.org/10.1016/j.socscimed.2018.08.034</w:t>
      </w:r>
    </w:p>
    <w:p w:rsidR="003B7220" w:rsidRPr="00B74F2E" w:rsidP="00BE5A86">
      <w:pPr>
        <w:pStyle w:val="Bibliography"/>
        <w:rPr>
          <w:rFonts w:ascii="Calibri" w:hAnsi="Calibri" w:cs="Calibri"/>
          <w:sz w:val="22"/>
        </w:rPr>
      </w:pPr>
      <w:r w:rsidRPr="00B74F2E">
        <w:rPr>
          <w:rFonts w:ascii="Calibri" w:hAnsi="Calibri" w:cs="Calibri"/>
          <w:sz w:val="22"/>
        </w:rPr>
        <w:t xml:space="preserve">Villadsen, A., Johnson, E. A., Cookson, R., &amp; Johnson, M. T. (2024). How Far Can Interventions to Increase Income Improve Adolescent Mental Health? Evidence From the UK Millennium Cohort Study and Next Steps. </w:t>
      </w:r>
      <w:r w:rsidRPr="00B74F2E">
        <w:rPr>
          <w:rFonts w:ascii="Calibri" w:hAnsi="Calibri" w:cs="Calibri"/>
          <w:i/>
          <w:iCs/>
          <w:sz w:val="22"/>
        </w:rPr>
        <w:t>Journal of Prevention and Health Promotion</w:t>
      </w:r>
      <w:r w:rsidRPr="00B74F2E">
        <w:rPr>
          <w:rFonts w:ascii="Calibri" w:hAnsi="Calibri" w:cs="Calibri"/>
          <w:sz w:val="22"/>
        </w:rPr>
        <w:t xml:space="preserve">, </w:t>
      </w:r>
      <w:r w:rsidRPr="00B74F2E">
        <w:rPr>
          <w:rFonts w:ascii="Calibri" w:hAnsi="Calibri" w:cs="Calibri"/>
          <w:i/>
          <w:iCs/>
          <w:sz w:val="22"/>
        </w:rPr>
        <w:t>5</w:t>
      </w:r>
      <w:r w:rsidRPr="00B74F2E">
        <w:rPr>
          <w:rFonts w:ascii="Calibri" w:hAnsi="Calibri" w:cs="Calibri"/>
          <w:sz w:val="22"/>
        </w:rPr>
        <w:t>(1), Article 1. https://doi.org/10.1177/26320770231204993</w:t>
      </w:r>
    </w:p>
    <w:p w:rsidR="003B7220" w:rsidRPr="00B74F2E" w:rsidP="00BE5A86">
      <w:pPr>
        <w:pStyle w:val="Bibliography"/>
        <w:rPr>
          <w:rFonts w:ascii="Calibri" w:hAnsi="Calibri" w:cs="Calibri"/>
          <w:sz w:val="22"/>
        </w:rPr>
      </w:pPr>
      <w:r w:rsidRPr="00B74F2E">
        <w:rPr>
          <w:rFonts w:ascii="Calibri" w:hAnsi="Calibri" w:cs="Calibri"/>
          <w:sz w:val="22"/>
        </w:rPr>
        <w:t xml:space="preserve">Ward, J. L., Vázquez-Vázquez, A., Phillips, K., Settle, K., Pilvar, H., Cornaglia, F., Gibson, F., Nicholls, D., Roland, D., Mathews, G., Roberts, H., Viner, R. M., &amp; Hudson, L. D. (2025). Admission to acute medical wards for mental health concerns among children and young people in England from 2012 to 2022: A cohort study. </w:t>
      </w:r>
      <w:r w:rsidRPr="00B74F2E">
        <w:rPr>
          <w:rFonts w:ascii="Calibri" w:hAnsi="Calibri" w:cs="Calibri"/>
          <w:i/>
          <w:iCs/>
          <w:sz w:val="22"/>
        </w:rPr>
        <w:t>The Lancet Child &amp; Adolescent Health</w:t>
      </w:r>
      <w:r w:rsidRPr="00B74F2E">
        <w:rPr>
          <w:rFonts w:ascii="Calibri" w:hAnsi="Calibri" w:cs="Calibri"/>
          <w:sz w:val="22"/>
        </w:rPr>
        <w:t xml:space="preserve">, </w:t>
      </w:r>
      <w:r w:rsidRPr="00B74F2E">
        <w:rPr>
          <w:rFonts w:ascii="Calibri" w:hAnsi="Calibri" w:cs="Calibri"/>
          <w:i/>
          <w:iCs/>
          <w:sz w:val="22"/>
        </w:rPr>
        <w:t>9</w:t>
      </w:r>
      <w:r w:rsidRPr="00B74F2E">
        <w:rPr>
          <w:rFonts w:ascii="Calibri" w:hAnsi="Calibri" w:cs="Calibri"/>
          <w:sz w:val="22"/>
        </w:rPr>
        <w:t>(2), 112–120. https://doi.org/10.1016/S2352-4642(24)00333-X</w:t>
      </w:r>
    </w:p>
    <w:p w:rsidR="003B7220" w:rsidRPr="00B74F2E" w:rsidP="00BE5A86">
      <w:pPr>
        <w:pStyle w:val="Bibliography"/>
        <w:rPr>
          <w:rFonts w:ascii="Calibri" w:hAnsi="Calibri" w:cs="Calibri"/>
          <w:sz w:val="22"/>
        </w:rPr>
      </w:pPr>
      <w:r w:rsidRPr="00B74F2E">
        <w:rPr>
          <w:rFonts w:ascii="Calibri" w:hAnsi="Calibri" w:cs="Calibri"/>
          <w:sz w:val="22"/>
        </w:rPr>
        <w:t xml:space="preserve">YMCA. (2025, January). Beyond the Brink. </w:t>
      </w:r>
      <w:r w:rsidRPr="00B74F2E">
        <w:rPr>
          <w:rFonts w:ascii="Calibri" w:hAnsi="Calibri" w:cs="Calibri"/>
          <w:i/>
          <w:iCs/>
          <w:sz w:val="22"/>
        </w:rPr>
        <w:t>YMCA England and Wales</w:t>
      </w:r>
      <w:r w:rsidRPr="00B74F2E">
        <w:rPr>
          <w:rFonts w:ascii="Calibri" w:hAnsi="Calibri" w:cs="Calibri"/>
          <w:sz w:val="22"/>
        </w:rPr>
        <w:t>. https://ymca.org.uk/beyond-the-brink/</w:t>
      </w:r>
    </w:p>
    <w:p w:rsidR="003B7220" w:rsidRPr="00B74F2E">
      <w:pPr>
        <w:rPr>
          <w:rFonts w:ascii="Calibri" w:hAnsi="Calibri" w:cs="Calibri"/>
          <w:sz w:val="22"/>
          <w:szCs w:val="22"/>
        </w:rPr>
      </w:pPr>
      <w:r w:rsidRPr="00B74F2E">
        <w:rPr>
          <w:rFonts w:ascii="Calibri" w:hAnsi="Calibri" w:cs="Calibri"/>
          <w:sz w:val="22"/>
          <w:szCs w:val="22"/>
        </w:rPr>
        <w:fldChar w:fldCharType="end"/>
      </w:r>
    </w:p>
    <w:p w:rsidR="00F950D4" w:rsidRPr="00B74F2E">
      <w:pPr>
        <w:rPr>
          <w:rFonts w:ascii="Calibri" w:hAnsi="Calibri" w:cs="Calibri"/>
          <w:sz w:val="22"/>
          <w:szCs w:val="22"/>
        </w:rPr>
      </w:pPr>
    </w:p>
    <w:p w:rsidR="00F950D4" w:rsidRPr="00B74F2E">
      <w:pPr>
        <w:rPr>
          <w:rFonts w:ascii="Calibri" w:hAnsi="Calibri" w:cs="Calibri"/>
          <w:b/>
          <w:bCs/>
          <w:i/>
          <w:iCs/>
        </w:rPr>
      </w:pPr>
      <w:r>
        <w:rPr>
          <w:rFonts w:ascii="Calibri" w:hAnsi="Calibri" w:cs="Calibri"/>
          <w:b/>
          <w:bCs/>
          <w:i/>
          <w:iCs/>
          <w:sz w:val="22"/>
          <w:szCs w:val="22"/>
        </w:rPr>
        <w:t>March</w:t>
      </w:r>
      <w:r w:rsidRPr="00B74F2E">
        <w:rPr>
          <w:rFonts w:ascii="Calibri" w:hAnsi="Calibri" w:cs="Calibri"/>
          <w:b/>
          <w:bCs/>
          <w:i/>
          <w:iCs/>
          <w:sz w:val="22"/>
          <w:szCs w:val="22"/>
        </w:rPr>
        <w:t xml:space="preserve">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01271" w:rsidP="00094902">
      <w:pPr>
        <w:spacing w:after="0" w:line="240" w:lineRule="auto"/>
      </w:pPr>
      <w:r>
        <w:separator/>
      </w:r>
    </w:p>
  </w:footnote>
  <w:footnote w:type="continuationSeparator" w:id="1">
    <w:p w:rsidR="00F01271" w:rsidP="00094902">
      <w:pPr>
        <w:spacing w:after="0" w:line="240" w:lineRule="auto"/>
      </w:pPr>
      <w:r>
        <w:continuationSeparator/>
      </w:r>
    </w:p>
  </w:footnote>
  <w:footnote w:id="2">
    <w:p w:rsidR="003B7220" w:rsidP="00094902">
      <w:pPr>
        <w:pStyle w:val="FootnoteText"/>
      </w:pPr>
      <w:r w:rsidRPr="006D6F34">
        <w:rPr>
          <w:rStyle w:val="FootnoteReference"/>
        </w:rPr>
        <w:footnoteRef/>
      </w:r>
      <w:r>
        <w:t xml:space="preserve"> Research Fellow in Community Wellbeing Northumbria University and Communications Officer, Common Sense Policy Group.</w:t>
      </w:r>
    </w:p>
  </w:footnote>
  <w:footnote w:id="3">
    <w:p w:rsidR="003B7220" w:rsidP="00094902">
      <w:pPr>
        <w:pStyle w:val="FootnoteText"/>
      </w:pPr>
      <w:r w:rsidRPr="006D6F34">
        <w:rPr>
          <w:rStyle w:val="FootnoteReference"/>
        </w:rPr>
        <w:footnoteRef/>
      </w:r>
      <w:r>
        <w:t xml:space="preserve"> Vice Chancellor’s Fellow in Public Policy, Northumbria University and Public Affairs Lead, Common Sense Policy Group.</w:t>
      </w:r>
    </w:p>
  </w:footnote>
  <w:footnote w:id="4">
    <w:p w:rsidR="003B7220" w:rsidRPr="00A93A32">
      <w:pPr>
        <w:pStyle w:val="FootnoteText"/>
        <w:rPr>
          <w:b/>
          <w:bCs/>
        </w:rPr>
      </w:pPr>
      <w:r w:rsidRPr="006D6F34">
        <w:rPr>
          <w:rStyle w:val="FootnoteReference"/>
        </w:rPr>
        <w:footnoteRef/>
      </w:r>
      <w:r>
        <w:t xml:space="preserve"> </w:t>
      </w:r>
      <w:r w:rsidRPr="00A93A32">
        <w:t>Professor (Practice) of Public Policy, Northumbria University</w:t>
      </w:r>
      <w:r>
        <w:rPr>
          <w:b/>
          <w:bCs/>
        </w:rPr>
        <w:t xml:space="preserve"> </w:t>
      </w:r>
      <w:r w:rsidRPr="00A93A32">
        <w:t>and</w:t>
      </w:r>
      <w:r>
        <w:rPr>
          <w:b/>
          <w:bCs/>
        </w:rPr>
        <w:t xml:space="preserve"> </w:t>
      </w:r>
      <w:r>
        <w:t>E</w:t>
      </w:r>
      <w:r w:rsidRPr="0069696E">
        <w:t>conomics Lead, Common Sense Policy Group</w:t>
      </w:r>
      <w:r>
        <w:t>.</w:t>
      </w:r>
    </w:p>
  </w:footnote>
  <w:footnote w:id="5">
    <w:p w:rsidR="003B7220" w:rsidP="67349F94">
      <w:pPr>
        <w:pStyle w:val="FootnoteText"/>
      </w:pPr>
      <w:r w:rsidRPr="67349F94">
        <w:rPr>
          <w:rStyle w:val="FootnoteReference"/>
        </w:rPr>
        <w:footnoteRef/>
      </w:r>
      <w:r>
        <w:t xml:space="preserve"> Professor of Public Policy, Northumbria University and Chair, Common Sense Policy Group.</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723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3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232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232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232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32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32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32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32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2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32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232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232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232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32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32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32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3299"/>
    <w:rPr>
      <w:rFonts w:eastAsiaTheme="majorEastAsia" w:cstheme="majorBidi"/>
      <w:color w:val="272727" w:themeColor="text1" w:themeTint="D8"/>
    </w:rPr>
  </w:style>
  <w:style w:type="paragraph" w:styleId="Title">
    <w:name w:val="Title"/>
    <w:basedOn w:val="Normal"/>
    <w:next w:val="Normal"/>
    <w:link w:val="TitleChar"/>
    <w:uiPriority w:val="10"/>
    <w:qFormat/>
    <w:rsid w:val="007232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2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2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3299"/>
    <w:pPr>
      <w:spacing w:before="160"/>
      <w:jc w:val="center"/>
    </w:pPr>
    <w:rPr>
      <w:i/>
      <w:iCs/>
      <w:color w:val="404040" w:themeColor="text1" w:themeTint="BF"/>
    </w:rPr>
  </w:style>
  <w:style w:type="character" w:customStyle="1" w:styleId="QuoteChar">
    <w:name w:val="Quote Char"/>
    <w:basedOn w:val="DefaultParagraphFont"/>
    <w:link w:val="Quote"/>
    <w:uiPriority w:val="29"/>
    <w:rsid w:val="00723299"/>
    <w:rPr>
      <w:i/>
      <w:iCs/>
      <w:color w:val="404040" w:themeColor="text1" w:themeTint="BF"/>
    </w:rPr>
  </w:style>
  <w:style w:type="paragraph" w:styleId="ListParagraph">
    <w:name w:val="List Paragraph"/>
    <w:basedOn w:val="Normal"/>
    <w:uiPriority w:val="34"/>
    <w:qFormat/>
    <w:rsid w:val="00723299"/>
    <w:pPr>
      <w:ind w:left="720"/>
      <w:contextualSpacing/>
    </w:pPr>
  </w:style>
  <w:style w:type="character" w:styleId="IntenseEmphasis">
    <w:name w:val="Intense Emphasis"/>
    <w:basedOn w:val="DefaultParagraphFont"/>
    <w:uiPriority w:val="21"/>
    <w:qFormat/>
    <w:rsid w:val="00723299"/>
    <w:rPr>
      <w:i/>
      <w:iCs/>
      <w:color w:val="0F4761" w:themeColor="accent1" w:themeShade="BF"/>
    </w:rPr>
  </w:style>
  <w:style w:type="paragraph" w:styleId="IntenseQuote">
    <w:name w:val="Intense Quote"/>
    <w:basedOn w:val="Normal"/>
    <w:next w:val="Normal"/>
    <w:link w:val="IntenseQuoteChar"/>
    <w:uiPriority w:val="30"/>
    <w:qFormat/>
    <w:rsid w:val="00723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3299"/>
    <w:rPr>
      <w:i/>
      <w:iCs/>
      <w:color w:val="0F4761" w:themeColor="accent1" w:themeShade="BF"/>
    </w:rPr>
  </w:style>
  <w:style w:type="character" w:styleId="IntenseReference">
    <w:name w:val="Intense Reference"/>
    <w:basedOn w:val="DefaultParagraphFont"/>
    <w:uiPriority w:val="32"/>
    <w:qFormat/>
    <w:rsid w:val="00723299"/>
    <w:rPr>
      <w:b/>
      <w:bCs/>
      <w:smallCaps/>
      <w:color w:val="0F4761" w:themeColor="accent1" w:themeShade="BF"/>
      <w:spacing w:val="5"/>
    </w:rPr>
  </w:style>
  <w:style w:type="paragraph" w:styleId="FootnoteText">
    <w:name w:val="footnote text"/>
    <w:basedOn w:val="Normal"/>
    <w:link w:val="FootnoteTextChar"/>
    <w:uiPriority w:val="99"/>
    <w:semiHidden/>
    <w:unhideWhenUsed/>
    <w:rsid w:val="000949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4902"/>
    <w:rPr>
      <w:sz w:val="20"/>
      <w:szCs w:val="20"/>
    </w:rPr>
  </w:style>
  <w:style w:type="character" w:styleId="FootnoteReference">
    <w:name w:val="footnote reference"/>
    <w:basedOn w:val="DefaultParagraphFont"/>
    <w:uiPriority w:val="99"/>
    <w:semiHidden/>
    <w:unhideWhenUsed/>
    <w:rsid w:val="00094902"/>
    <w:rPr>
      <w:vertAlign w:val="superscript"/>
    </w:rPr>
  </w:style>
  <w:style w:type="character" w:styleId="Hyperlink">
    <w:name w:val="Hyperlink"/>
    <w:basedOn w:val="DefaultParagraphFont"/>
    <w:uiPriority w:val="99"/>
    <w:unhideWhenUsed/>
    <w:rsid w:val="00094902"/>
    <w:rPr>
      <w:color w:val="467886" w:themeColor="hyperlink"/>
      <w:u w:val="single"/>
    </w:rPr>
  </w:style>
  <w:style w:type="character" w:customStyle="1" w:styleId="UnresolvedMention1">
    <w:name w:val="Unresolved Mention1"/>
    <w:basedOn w:val="DefaultParagraphFont"/>
    <w:uiPriority w:val="99"/>
    <w:semiHidden/>
    <w:unhideWhenUsed/>
    <w:rsid w:val="00094902"/>
    <w:rPr>
      <w:color w:val="605E5C"/>
      <w:shd w:val="clear" w:color="auto" w:fill="E1DFDD"/>
    </w:rPr>
  </w:style>
  <w:style w:type="paragraph" w:styleId="Header">
    <w:name w:val="header"/>
    <w:basedOn w:val="Normal"/>
    <w:link w:val="HeaderChar"/>
    <w:uiPriority w:val="99"/>
    <w:unhideWhenUsed/>
    <w:rsid w:val="00D056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564F"/>
  </w:style>
  <w:style w:type="paragraph" w:styleId="Footer">
    <w:name w:val="footer"/>
    <w:basedOn w:val="Normal"/>
    <w:link w:val="FooterChar"/>
    <w:uiPriority w:val="99"/>
    <w:unhideWhenUsed/>
    <w:rsid w:val="00D056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564F"/>
  </w:style>
  <w:style w:type="paragraph" w:styleId="Bibliography">
    <w:name w:val="Bibliography"/>
    <w:basedOn w:val="Normal"/>
    <w:next w:val="Normal"/>
    <w:uiPriority w:val="37"/>
    <w:unhideWhenUsed/>
    <w:rsid w:val="002462E0"/>
  </w:style>
  <w:style w:type="character" w:styleId="CommentReference">
    <w:name w:val="annotation reference"/>
    <w:basedOn w:val="DefaultParagraphFont"/>
    <w:uiPriority w:val="99"/>
    <w:semiHidden/>
    <w:unhideWhenUsed/>
    <w:rsid w:val="00B40D04"/>
    <w:rPr>
      <w:sz w:val="16"/>
      <w:szCs w:val="16"/>
    </w:rPr>
  </w:style>
  <w:style w:type="paragraph" w:styleId="CommentText">
    <w:name w:val="annotation text"/>
    <w:basedOn w:val="Normal"/>
    <w:link w:val="CommentTextChar"/>
    <w:uiPriority w:val="99"/>
    <w:unhideWhenUsed/>
    <w:rsid w:val="00B40D04"/>
    <w:pPr>
      <w:spacing w:line="240" w:lineRule="auto"/>
    </w:pPr>
    <w:rPr>
      <w:sz w:val="20"/>
      <w:szCs w:val="20"/>
    </w:rPr>
  </w:style>
  <w:style w:type="character" w:customStyle="1" w:styleId="CommentTextChar">
    <w:name w:val="Comment Text Char"/>
    <w:basedOn w:val="DefaultParagraphFont"/>
    <w:link w:val="CommentText"/>
    <w:uiPriority w:val="99"/>
    <w:rsid w:val="00B40D04"/>
    <w:rPr>
      <w:sz w:val="20"/>
      <w:szCs w:val="20"/>
    </w:rPr>
  </w:style>
  <w:style w:type="paragraph" w:styleId="CommentSubject">
    <w:name w:val="annotation subject"/>
    <w:basedOn w:val="CommentText"/>
    <w:next w:val="CommentText"/>
    <w:link w:val="CommentSubjectChar"/>
    <w:uiPriority w:val="99"/>
    <w:semiHidden/>
    <w:unhideWhenUsed/>
    <w:rsid w:val="00B40D04"/>
    <w:rPr>
      <w:b/>
      <w:bCs/>
    </w:rPr>
  </w:style>
  <w:style w:type="character" w:customStyle="1" w:styleId="CommentSubjectChar">
    <w:name w:val="Comment Subject Char"/>
    <w:basedOn w:val="CommentTextChar"/>
    <w:link w:val="CommentSubject"/>
    <w:uiPriority w:val="99"/>
    <w:semiHidden/>
    <w:rsid w:val="00B40D04"/>
    <w:rPr>
      <w:b/>
      <w:bCs/>
      <w:sz w:val="20"/>
      <w:szCs w:val="20"/>
    </w:rPr>
  </w:style>
  <w:style w:type="table" w:styleId="TableGrid">
    <w:name w:val="Table Grid"/>
    <w:basedOn w:val="TableNormal"/>
    <w:uiPriority w:val="39"/>
    <w:rsid w:val="00C34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0295C"/>
    <w:pPr>
      <w:spacing w:after="200" w:line="240" w:lineRule="auto"/>
    </w:pPr>
    <w:rPr>
      <w:i/>
      <w:iCs/>
      <w:color w:val="0E2841" w:themeColor="text2"/>
      <w:sz w:val="18"/>
      <w:szCs w:val="18"/>
    </w:rPr>
  </w:style>
  <w:style w:type="paragraph" w:styleId="NormalWeb">
    <w:name w:val="Normal (Web)"/>
    <w:basedOn w:val="Normal"/>
    <w:uiPriority w:val="99"/>
    <w:semiHidden/>
    <w:unhideWhenUsed/>
    <w:rsid w:val="00F17BBF"/>
    <w:rPr>
      <w:rFonts w:ascii="Times New Roman" w:hAnsi="Times New Roman" w:cs="Times New Roman"/>
    </w:rPr>
  </w:style>
  <w:style w:type="paragraph" w:styleId="Revision">
    <w:name w:val="Revision"/>
    <w:hidden/>
    <w:uiPriority w:val="99"/>
    <w:semiHidden/>
    <w:rsid w:val="00A661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14387-69DB-41BA-ACC9-7E39DEC105E0}">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CYM0147</dc:title>
  <cp:revision>0</cp:revision>
</cp:coreProperties>
</file>