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E7857" w:rsidRPr="003301AD" w:rsidP="003301AD">
      <w:pPr>
        <w:pStyle w:val="Heading1"/>
        <w:jc w:val="center"/>
        <w:rPr>
          <w:rFonts w:ascii="Calibri" w:hAnsi="Calibri" w:cs="Calibri"/>
          <w:color w:val="auto"/>
        </w:rPr>
      </w:pPr>
      <w:r w:rsidRPr="003301AD">
        <w:rPr>
          <w:rFonts w:ascii="Calibri" w:hAnsi="Calibri" w:cs="Calibri"/>
          <w:color w:val="auto"/>
        </w:rPr>
        <w:t xml:space="preserve">Written Evidence submitted by </w:t>
      </w:r>
      <w:r w:rsidRPr="003301AD">
        <w:rPr>
          <w:rFonts w:ascii="Calibri" w:hAnsi="Calibri" w:cs="Calibri"/>
          <w:color w:val="auto"/>
        </w:rPr>
        <w:t>New Philanthropy Capital, Children &amp; Young People’s Mental Health Coalition</w:t>
      </w:r>
      <w:r>
        <w:rPr>
          <w:rFonts w:ascii="Calibri" w:hAnsi="Calibri" w:cs="Calibri"/>
          <w:color w:val="auto"/>
        </w:rPr>
        <w:t xml:space="preserve"> (CYM0145)</w:t>
      </w:r>
    </w:p>
    <w:p w:rsidR="00273A2B" w:rsidRPr="003301AD" w:rsidP="00273A2B">
      <w:pPr>
        <w:pStyle w:val="Heading2"/>
        <w:rPr>
          <w:rFonts w:ascii="Calibri" w:hAnsi="Calibri" w:cs="Calibri"/>
          <w:color w:val="auto"/>
        </w:rPr>
      </w:pPr>
      <w:r w:rsidRPr="003301AD">
        <w:rPr>
          <w:rFonts w:ascii="Calibri" w:hAnsi="Calibri" w:cs="Calibri"/>
          <w:color w:val="auto"/>
        </w:rPr>
        <w:t>About us</w:t>
      </w:r>
    </w:p>
    <w:p w:rsidR="007E7857" w:rsidRPr="003301AD" w:rsidP="00273A2B">
      <w:pPr>
        <w:pStyle w:val="Heading2"/>
        <w:rPr>
          <w:rFonts w:ascii="Calibri" w:hAnsi="Calibri" w:cs="Calibri"/>
          <w:color w:val="auto"/>
        </w:rPr>
      </w:pPr>
      <w:r w:rsidRPr="003301AD">
        <w:rPr>
          <w:rFonts w:ascii="Calibri" w:hAnsi="Calibri" w:cs="Calibri"/>
          <w:color w:val="auto"/>
        </w:rPr>
        <w:t>This submission is based on the research co-led by New Philanthropy Capital (NPC) and the Children &amp; Young People’s Mental Health Coalition. The research included literature review and workshops with the following groups:</w:t>
      </w:r>
    </w:p>
    <w:p w:rsidR="007E7857" w:rsidRPr="003301AD" w:rsidP="00DE49E3">
      <w:pPr>
        <w:pStyle w:val="BodyText"/>
        <w:numPr>
          <w:ilvl w:val="0"/>
          <w:numId w:val="19"/>
        </w:numPr>
        <w:rPr>
          <w:rFonts w:ascii="Calibri" w:hAnsi="Calibri" w:cs="Calibri"/>
        </w:rPr>
      </w:pPr>
      <w:r w:rsidRPr="003301AD">
        <w:rPr>
          <w:rFonts w:ascii="Calibri" w:hAnsi="Calibri" w:cs="Calibri"/>
        </w:rPr>
        <w:t xml:space="preserve">12 children aged 9-10 in Durham – in partnership with Investing in Children </w:t>
      </w:r>
    </w:p>
    <w:p w:rsidR="007E7857" w:rsidRPr="003301AD" w:rsidP="00DE49E3">
      <w:pPr>
        <w:pStyle w:val="BodyText"/>
        <w:numPr>
          <w:ilvl w:val="0"/>
          <w:numId w:val="19"/>
        </w:numPr>
        <w:rPr>
          <w:rFonts w:ascii="Calibri" w:hAnsi="Calibri" w:cs="Calibri"/>
        </w:rPr>
      </w:pPr>
      <w:r w:rsidRPr="003301AD">
        <w:rPr>
          <w:rFonts w:ascii="Calibri" w:hAnsi="Calibri" w:cs="Calibri"/>
        </w:rPr>
        <w:t>8 children aged 12-17 in Stevenage – in partnership with Caudwell Youth</w:t>
      </w:r>
    </w:p>
    <w:p w:rsidR="007E7857" w:rsidRPr="003301AD" w:rsidP="00DE49E3">
      <w:pPr>
        <w:pStyle w:val="BodyText"/>
        <w:numPr>
          <w:ilvl w:val="0"/>
          <w:numId w:val="19"/>
        </w:numPr>
        <w:rPr>
          <w:rFonts w:ascii="Calibri" w:hAnsi="Calibri" w:cs="Calibri"/>
        </w:rPr>
      </w:pPr>
      <w:r w:rsidRPr="003301AD">
        <w:rPr>
          <w:rFonts w:ascii="Calibri" w:hAnsi="Calibri" w:cs="Calibri"/>
        </w:rPr>
        <w:t>10 young people aged 18-23 in Barnsley – in partnership with Chilypep</w:t>
      </w:r>
    </w:p>
    <w:p w:rsidR="007E7857" w:rsidRPr="003301AD" w:rsidP="00DE49E3">
      <w:pPr>
        <w:pStyle w:val="BodyText"/>
        <w:numPr>
          <w:ilvl w:val="0"/>
          <w:numId w:val="19"/>
        </w:numPr>
        <w:rPr>
          <w:rFonts w:ascii="Calibri" w:hAnsi="Calibri" w:cs="Calibri"/>
        </w:rPr>
      </w:pPr>
      <w:r w:rsidRPr="003301AD">
        <w:rPr>
          <w:rFonts w:ascii="Calibri" w:hAnsi="Calibri" w:cs="Calibri"/>
        </w:rPr>
        <w:t xml:space="preserve">9 parents and carers of young people who have experienced mental health issues in Eastbourne – in partnership with Holding Space </w:t>
      </w:r>
    </w:p>
    <w:p w:rsidR="007E7857" w:rsidRPr="003301AD" w:rsidP="00DE49E3">
      <w:pPr>
        <w:pStyle w:val="BodyText"/>
        <w:numPr>
          <w:ilvl w:val="0"/>
          <w:numId w:val="19"/>
        </w:numPr>
        <w:rPr>
          <w:rFonts w:ascii="Calibri" w:hAnsi="Calibri" w:cs="Calibri"/>
        </w:rPr>
      </w:pPr>
      <w:r w:rsidRPr="003301AD">
        <w:rPr>
          <w:rFonts w:ascii="Calibri" w:hAnsi="Calibri" w:cs="Calibri"/>
        </w:rPr>
        <w:t>11 professionals (including NHS staff, youth mental health professionals, and school &amp; public health staff)</w:t>
      </w:r>
    </w:p>
    <w:p w:rsidR="007E7857" w:rsidRPr="003301AD" w:rsidP="00DE49E3">
      <w:pPr>
        <w:pStyle w:val="BodyText"/>
        <w:numPr>
          <w:ilvl w:val="0"/>
          <w:numId w:val="19"/>
        </w:numPr>
        <w:rPr>
          <w:rFonts w:ascii="Calibri" w:hAnsi="Calibri" w:cs="Calibri"/>
        </w:rPr>
      </w:pPr>
      <w:r w:rsidRPr="003301AD">
        <w:rPr>
          <w:rFonts w:ascii="Calibri" w:hAnsi="Calibri" w:cs="Calibri"/>
        </w:rPr>
        <w:t xml:space="preserve">Autistic young people – in partnership with Ambitious about Autism </w:t>
      </w:r>
    </w:p>
    <w:p w:rsidR="007E7857" w:rsidRPr="003301AD" w:rsidP="00DE49E3">
      <w:pPr>
        <w:pStyle w:val="BodyText"/>
        <w:numPr>
          <w:ilvl w:val="0"/>
          <w:numId w:val="19"/>
        </w:numPr>
        <w:rPr>
          <w:rFonts w:ascii="Calibri" w:hAnsi="Calibri" w:cs="Calibri"/>
        </w:rPr>
      </w:pPr>
      <w:r w:rsidRPr="003301AD">
        <w:rPr>
          <w:rFonts w:ascii="Calibri" w:hAnsi="Calibri" w:cs="Calibri"/>
        </w:rPr>
        <w:t xml:space="preserve">Young people who have been excluded from school – in partnership with Coram </w:t>
      </w:r>
    </w:p>
    <w:p w:rsidR="007E7857" w:rsidRPr="003301AD" w:rsidP="00DE49E3">
      <w:pPr>
        <w:pStyle w:val="BodyText"/>
        <w:numPr>
          <w:ilvl w:val="0"/>
          <w:numId w:val="19"/>
        </w:numPr>
        <w:rPr>
          <w:rFonts w:ascii="Calibri" w:hAnsi="Calibri" w:cs="Calibri"/>
        </w:rPr>
      </w:pPr>
      <w:r w:rsidRPr="003301AD">
        <w:rPr>
          <w:rFonts w:ascii="Calibri" w:hAnsi="Calibri" w:cs="Calibri"/>
        </w:rPr>
        <w:t>Physically Disabled young people – in partnership with Council for Disabled Children</w:t>
      </w:r>
    </w:p>
    <w:p w:rsidR="007E7857" w:rsidRPr="003301AD" w:rsidP="00D0116B">
      <w:pPr>
        <w:pStyle w:val="BodyText"/>
        <w:rPr>
          <w:rFonts w:ascii="Calibri" w:hAnsi="Calibri" w:cs="Calibri"/>
        </w:rPr>
      </w:pPr>
      <w:r>
        <w:fldChar w:fldCharType="begin"/>
      </w:r>
      <w:r>
        <w:instrText xml:space="preserve"> HYPERLINK "https://www.thinknpc.org/resource-hub/unlocking-support/" </w:instrText>
      </w:r>
      <w:r>
        <w:fldChar w:fldCharType="separate"/>
      </w:r>
      <w:r w:rsidRPr="003301AD">
        <w:rPr>
          <w:rStyle w:val="Hyperlink"/>
          <w:rFonts w:ascii="Calibri" w:hAnsi="Calibri" w:cs="Calibri"/>
          <w:color w:val="auto"/>
        </w:rPr>
        <w:t>New Philanthropy Capital</w:t>
      </w:r>
      <w:r>
        <w:fldChar w:fldCharType="end"/>
      </w:r>
      <w:r w:rsidRPr="003301AD">
        <w:rPr>
          <w:rFonts w:ascii="Calibri" w:hAnsi="Calibri" w:cs="Calibri"/>
        </w:rPr>
        <w:t xml:space="preserve"> is a think tank and consultancy working with individuals and organisations to maximise their impact. As an independent charity, we work across the impact economy. We have undertaken several projects in relation to youth mental health.</w:t>
      </w:r>
    </w:p>
    <w:p w:rsidR="007E7857" w:rsidRPr="003301AD" w:rsidP="00D0116B">
      <w:pPr>
        <w:pStyle w:val="BodyText"/>
        <w:rPr>
          <w:rFonts w:ascii="Calibri" w:hAnsi="Calibri" w:cs="Calibri"/>
        </w:rPr>
      </w:pPr>
      <w:r w:rsidRPr="003301AD">
        <w:rPr>
          <w:rFonts w:ascii="Calibri" w:hAnsi="Calibri" w:cs="Calibri"/>
        </w:rPr>
        <w:t xml:space="preserve">The </w:t>
      </w:r>
      <w:r>
        <w:fldChar w:fldCharType="begin"/>
      </w:r>
      <w:r>
        <w:instrText xml:space="preserve"> HYPERLINK "https://cypmhc.org.uk/" </w:instrText>
      </w:r>
      <w:r>
        <w:fldChar w:fldCharType="separate"/>
      </w:r>
      <w:r w:rsidRPr="003301AD">
        <w:rPr>
          <w:rStyle w:val="Hyperlink"/>
          <w:rFonts w:ascii="Calibri" w:hAnsi="Calibri" w:cs="Calibri"/>
          <w:color w:val="auto"/>
        </w:rPr>
        <w:t>Children &amp; Young People’s Mental Health Coalition</w:t>
      </w:r>
      <w:r>
        <w:fldChar w:fldCharType="end"/>
      </w:r>
      <w:r w:rsidRPr="003301AD">
        <w:rPr>
          <w:rFonts w:ascii="Calibri" w:hAnsi="Calibri" w:cs="Calibri"/>
        </w:rPr>
        <w:t xml:space="preserve"> is a collaborative network of over 440 organisations, including mental health organisations, youth support services, educational institutions, and concerned individuals. We are dedicated to advocating for and influencing policy change in relation to the mental health needs of babies, children, and young people.</w:t>
      </w:r>
    </w:p>
    <w:p w:rsidR="007E7857" w:rsidRPr="003301AD" w:rsidP="00DE49E3">
      <w:pPr>
        <w:pStyle w:val="Heading2"/>
        <w:rPr>
          <w:rFonts w:ascii="Calibri" w:hAnsi="Calibri" w:cs="Calibri"/>
          <w:color w:val="auto"/>
        </w:rPr>
      </w:pPr>
      <w:r w:rsidRPr="003301AD">
        <w:rPr>
          <w:rFonts w:ascii="Calibri" w:hAnsi="Calibri" w:cs="Calibri"/>
          <w:color w:val="auto"/>
        </w:rPr>
        <w:t>The role of education and community settings in support and delivery</w:t>
      </w:r>
    </w:p>
    <w:p w:rsidR="007E7857" w:rsidRPr="003301AD" w:rsidP="008007E8">
      <w:pPr>
        <w:pStyle w:val="BodyText"/>
        <w:rPr>
          <w:rFonts w:ascii="Calibri" w:hAnsi="Calibri" w:cs="Calibri"/>
          <w:b/>
          <w:bCs/>
        </w:rPr>
      </w:pPr>
      <w:r w:rsidRPr="003301AD">
        <w:rPr>
          <w:rFonts w:ascii="Calibri" w:hAnsi="Calibri" w:cs="Calibri"/>
          <w:b/>
          <w:bCs/>
        </w:rPr>
        <w:t>How effectively are education and community providers identifying and responding to children and young people’s mental health needs? </w:t>
      </w:r>
    </w:p>
    <w:p w:rsidR="007E7857" w:rsidRPr="003301AD" w:rsidP="00904EE6">
      <w:pPr>
        <w:pStyle w:val="BodyText"/>
        <w:numPr>
          <w:ilvl w:val="0"/>
          <w:numId w:val="19"/>
        </w:numPr>
        <w:rPr>
          <w:rFonts w:ascii="Calibri" w:hAnsi="Calibri" w:cs="Calibri"/>
        </w:rPr>
      </w:pPr>
      <w:r w:rsidRPr="003301AD">
        <w:rPr>
          <w:rFonts w:ascii="Calibri" w:hAnsi="Calibri" w:cs="Calibri"/>
        </w:rPr>
        <w:t xml:space="preserve">The current system is </w:t>
      </w:r>
      <w:r w:rsidRPr="003301AD">
        <w:rPr>
          <w:rFonts w:ascii="Calibri" w:hAnsi="Calibri" w:cs="Calibri"/>
          <w:b/>
          <w:bCs/>
        </w:rPr>
        <w:t>fragmented</w:t>
      </w:r>
      <w:r w:rsidRPr="003301AD">
        <w:rPr>
          <w:rFonts w:ascii="Calibri" w:hAnsi="Calibri" w:cs="Calibri"/>
        </w:rPr>
        <w:t>, with provision spread across NHS services, schools, the voluntary sector, and informal networks. Access and quality are inconsistent, often depending on geography or school leadership.</w:t>
      </w:r>
    </w:p>
    <w:p w:rsidR="007E7857" w:rsidRPr="003301AD" w:rsidP="00904EE6">
      <w:pPr>
        <w:pStyle w:val="BodyText"/>
        <w:numPr>
          <w:ilvl w:val="0"/>
          <w:numId w:val="19"/>
        </w:numPr>
        <w:rPr>
          <w:rFonts w:ascii="Calibri" w:hAnsi="Calibri" w:cs="Calibri"/>
        </w:rPr>
      </w:pPr>
      <w:r w:rsidRPr="003301AD">
        <w:rPr>
          <w:rFonts w:ascii="Calibri" w:hAnsi="Calibri" w:cs="Calibri"/>
        </w:rPr>
        <w:t xml:space="preserve">Schools are seen as key entry points but </w:t>
      </w:r>
      <w:r w:rsidRPr="003301AD">
        <w:rPr>
          <w:rFonts w:ascii="Calibri" w:hAnsi="Calibri" w:cs="Calibri"/>
          <w:b/>
          <w:bCs/>
        </w:rPr>
        <w:t xml:space="preserve">lack consistency </w:t>
      </w:r>
      <w:r w:rsidRPr="003301AD">
        <w:rPr>
          <w:rFonts w:ascii="Calibri" w:hAnsi="Calibri" w:cs="Calibri"/>
        </w:rPr>
        <w:t>mental health provision, and community resources vary widely.</w:t>
      </w:r>
    </w:p>
    <w:p w:rsidR="007E7857" w:rsidRPr="003301AD" w:rsidP="00904EE6">
      <w:pPr>
        <w:pStyle w:val="BodyText"/>
        <w:numPr>
          <w:ilvl w:val="0"/>
          <w:numId w:val="19"/>
        </w:numPr>
        <w:rPr>
          <w:rFonts w:ascii="Calibri" w:hAnsi="Calibri" w:cs="Calibri"/>
        </w:rPr>
      </w:pPr>
      <w:r w:rsidRPr="003301AD">
        <w:rPr>
          <w:rFonts w:ascii="Calibri" w:hAnsi="Calibri" w:cs="Calibri"/>
        </w:rPr>
        <w:t xml:space="preserve">Mental health support for younger children is often </w:t>
      </w:r>
      <w:r w:rsidRPr="003301AD">
        <w:rPr>
          <w:rFonts w:ascii="Calibri" w:hAnsi="Calibri" w:cs="Calibri"/>
          <w:b/>
          <w:bCs/>
        </w:rPr>
        <w:t>poorly signposted</w:t>
      </w:r>
      <w:r w:rsidRPr="003301AD">
        <w:rPr>
          <w:rFonts w:ascii="Calibri" w:hAnsi="Calibri" w:cs="Calibri"/>
        </w:rPr>
        <w:t>, leaving families to rely on informal networks.</w:t>
      </w:r>
    </w:p>
    <w:p w:rsidR="007E7857" w:rsidRPr="003301AD" w:rsidP="00904EE6">
      <w:pPr>
        <w:pStyle w:val="BodyText"/>
        <w:numPr>
          <w:ilvl w:val="0"/>
          <w:numId w:val="19"/>
        </w:numPr>
        <w:rPr>
          <w:rFonts w:ascii="Calibri" w:hAnsi="Calibri" w:cs="Calibri"/>
        </w:rPr>
      </w:pPr>
      <w:r w:rsidRPr="003301AD">
        <w:rPr>
          <w:rFonts w:ascii="Calibri" w:hAnsi="Calibri" w:cs="Calibri"/>
        </w:rPr>
        <w:t xml:space="preserve">Young people that have experienced school exclusions told us that schools often prioritise a punitive response to address student behaviour, rather than understanding the drivers of behaviour and linkages to mental health support that may address these drivers. It is therefore important that there are accessible </w:t>
      </w:r>
      <w:r w:rsidRPr="003301AD">
        <w:rPr>
          <w:rFonts w:ascii="Calibri" w:hAnsi="Calibri" w:cs="Calibri"/>
          <w:b/>
          <w:bCs/>
        </w:rPr>
        <w:t xml:space="preserve">entry points beyond education providers </w:t>
      </w:r>
      <w:r w:rsidRPr="003301AD">
        <w:rPr>
          <w:rFonts w:ascii="Calibri" w:hAnsi="Calibri" w:cs="Calibri"/>
        </w:rPr>
        <w:t>to mental health support are available for young people.</w:t>
      </w:r>
    </w:p>
    <w:p w:rsidR="007E7857" w:rsidRPr="003301AD" w:rsidP="008007E8">
      <w:pPr>
        <w:pStyle w:val="BodyText"/>
        <w:rPr>
          <w:rFonts w:ascii="Calibri" w:hAnsi="Calibri" w:cs="Calibri"/>
          <w:b/>
          <w:bCs/>
        </w:rPr>
      </w:pPr>
      <w:r w:rsidRPr="003301AD">
        <w:rPr>
          <w:rFonts w:ascii="Calibri" w:hAnsi="Calibri" w:cs="Calibri"/>
          <w:b/>
          <w:bCs/>
        </w:rPr>
        <w:t>What role should staff in early years settings, schools, colleges and universities play in supporting the mental health of children and young people, what support and training do they need to enable them to take on this role?  </w:t>
      </w:r>
    </w:p>
    <w:p w:rsidR="007E7857" w:rsidRPr="003301AD" w:rsidP="00C01D98">
      <w:pPr>
        <w:pStyle w:val="BodyText"/>
        <w:numPr>
          <w:ilvl w:val="0"/>
          <w:numId w:val="16"/>
        </w:numPr>
        <w:rPr>
          <w:rFonts w:ascii="Calibri" w:hAnsi="Calibri" w:cs="Calibri"/>
        </w:rPr>
      </w:pPr>
      <w:r w:rsidRPr="003301AD">
        <w:rPr>
          <w:rFonts w:ascii="Calibri" w:hAnsi="Calibri" w:cs="Calibri"/>
        </w:rPr>
        <w:t xml:space="preserve">Professionals stressed the need for stronger and more consistent </w:t>
      </w:r>
      <w:r w:rsidRPr="003301AD">
        <w:rPr>
          <w:rFonts w:ascii="Calibri" w:hAnsi="Calibri" w:cs="Calibri"/>
          <w:b/>
          <w:bCs/>
        </w:rPr>
        <w:t xml:space="preserve">training </w:t>
      </w:r>
      <w:r w:rsidRPr="003301AD">
        <w:rPr>
          <w:rFonts w:ascii="Calibri" w:hAnsi="Calibri" w:cs="Calibri"/>
        </w:rPr>
        <w:t>for mental health staff in schools. Schools lack consistent mental health provision and trained staff, limiting their ability to provide adequate support.</w:t>
      </w:r>
    </w:p>
    <w:p w:rsidR="007E7857" w:rsidRPr="003301AD" w:rsidP="00592EA2">
      <w:pPr>
        <w:pStyle w:val="BodyText"/>
        <w:rPr>
          <w:rFonts w:ascii="Calibri" w:hAnsi="Calibri" w:cs="Calibri"/>
          <w:b/>
          <w:bCs/>
        </w:rPr>
      </w:pPr>
      <w:r w:rsidRPr="003301AD">
        <w:rPr>
          <w:rFonts w:ascii="Calibri" w:hAnsi="Calibri" w:cs="Calibri"/>
          <w:b/>
          <w:bCs/>
        </w:rPr>
        <w:t>What opportunities are there to provide mental health support for children and young people through community-based approaches? What resources or support is needed to deliver them? </w:t>
      </w:r>
    </w:p>
    <w:p w:rsidR="007E7857" w:rsidRPr="003301AD" w:rsidP="005625D0">
      <w:pPr>
        <w:pStyle w:val="BodyText"/>
        <w:numPr>
          <w:ilvl w:val="0"/>
          <w:numId w:val="16"/>
        </w:numPr>
        <w:rPr>
          <w:rFonts w:ascii="Calibri" w:hAnsi="Calibri" w:cs="Calibri"/>
        </w:rPr>
      </w:pPr>
      <w:r w:rsidRPr="003301AD">
        <w:rPr>
          <w:rFonts w:ascii="Calibri" w:hAnsi="Calibri" w:cs="Calibri"/>
        </w:rPr>
        <w:t xml:space="preserve">Young people told us they want more </w:t>
      </w:r>
      <w:r w:rsidRPr="003301AD">
        <w:rPr>
          <w:rFonts w:ascii="Calibri" w:hAnsi="Calibri" w:cs="Calibri"/>
          <w:b/>
          <w:bCs/>
        </w:rPr>
        <w:t xml:space="preserve">alternative support formats </w:t>
      </w:r>
      <w:r w:rsidRPr="003301AD">
        <w:rPr>
          <w:rFonts w:ascii="Calibri" w:hAnsi="Calibri" w:cs="Calibri"/>
        </w:rPr>
        <w:t>including the opportunity to connect through activities and community-based groups.</w:t>
      </w:r>
    </w:p>
    <w:p w:rsidR="007E7857" w:rsidRPr="003301AD" w:rsidP="00491EF1">
      <w:pPr>
        <w:pStyle w:val="BodyText"/>
        <w:numPr>
          <w:ilvl w:val="0"/>
          <w:numId w:val="16"/>
        </w:numPr>
        <w:rPr>
          <w:rFonts w:ascii="Calibri" w:hAnsi="Calibri" w:cs="Calibri"/>
        </w:rPr>
      </w:pPr>
      <w:r w:rsidRPr="003301AD">
        <w:rPr>
          <w:rFonts w:ascii="Calibri" w:hAnsi="Calibri" w:cs="Calibri"/>
        </w:rPr>
        <w:t xml:space="preserve">Young people want services that offer </w:t>
      </w:r>
      <w:r w:rsidRPr="003301AD">
        <w:rPr>
          <w:rFonts w:ascii="Calibri" w:hAnsi="Calibri" w:cs="Calibri"/>
          <w:b/>
          <w:bCs/>
        </w:rPr>
        <w:t>flexible timings, consistent locations, and proactive communication</w:t>
      </w:r>
      <w:r w:rsidRPr="003301AD">
        <w:rPr>
          <w:rFonts w:ascii="Calibri" w:hAnsi="Calibri" w:cs="Calibri"/>
        </w:rPr>
        <w:t xml:space="preserve"> throughout </w:t>
      </w:r>
      <w:r w:rsidRPr="003301AD">
        <w:rPr>
          <w:rFonts w:ascii="Calibri" w:hAnsi="Calibri" w:cs="Calibri"/>
          <w:b/>
          <w:bCs/>
        </w:rPr>
        <w:t>waiting periods</w:t>
      </w:r>
      <w:r w:rsidRPr="003301AD">
        <w:rPr>
          <w:rFonts w:ascii="Calibri" w:hAnsi="Calibri" w:cs="Calibri"/>
        </w:rPr>
        <w:t>.</w:t>
      </w:r>
    </w:p>
    <w:p w:rsidR="007E7857" w:rsidRPr="003301AD" w:rsidP="00491EF1">
      <w:pPr>
        <w:pStyle w:val="BodyText"/>
        <w:numPr>
          <w:ilvl w:val="0"/>
          <w:numId w:val="16"/>
        </w:numPr>
        <w:rPr>
          <w:rFonts w:ascii="Calibri" w:hAnsi="Calibri" w:cs="Calibri"/>
        </w:rPr>
      </w:pPr>
      <w:r w:rsidRPr="003301AD">
        <w:rPr>
          <w:rFonts w:ascii="Calibri" w:hAnsi="Calibri" w:cs="Calibri"/>
        </w:rPr>
        <w:t xml:space="preserve">Access to non-clinical, person-centred support should </w:t>
      </w:r>
      <w:r w:rsidRPr="003301AD">
        <w:rPr>
          <w:rFonts w:ascii="Calibri" w:hAnsi="Calibri" w:cs="Calibri"/>
          <w:b/>
          <w:bCs/>
        </w:rPr>
        <w:t>not restricted based on diagnosis</w:t>
      </w:r>
      <w:r w:rsidRPr="003301AD">
        <w:rPr>
          <w:rFonts w:ascii="Calibri" w:hAnsi="Calibri" w:cs="Calibri"/>
        </w:rPr>
        <w:t>.</w:t>
      </w:r>
    </w:p>
    <w:p w:rsidR="007E7857" w:rsidRPr="003301AD" w:rsidP="00491EF1">
      <w:pPr>
        <w:pStyle w:val="BodyText"/>
        <w:numPr>
          <w:ilvl w:val="0"/>
          <w:numId w:val="16"/>
        </w:numPr>
        <w:rPr>
          <w:rFonts w:ascii="Calibri" w:hAnsi="Calibri" w:cs="Calibri"/>
        </w:rPr>
      </w:pPr>
      <w:r w:rsidRPr="003301AD">
        <w:rPr>
          <w:rFonts w:ascii="Calibri" w:hAnsi="Calibri" w:cs="Calibri"/>
        </w:rPr>
        <w:t xml:space="preserve">Services should be able to </w:t>
      </w:r>
      <w:r w:rsidRPr="003301AD">
        <w:rPr>
          <w:rFonts w:ascii="Calibri" w:hAnsi="Calibri" w:cs="Calibri"/>
          <w:b/>
          <w:bCs/>
        </w:rPr>
        <w:t xml:space="preserve">liaise with other services </w:t>
      </w:r>
      <w:r w:rsidRPr="003301AD">
        <w:rPr>
          <w:rFonts w:ascii="Calibri" w:hAnsi="Calibri" w:cs="Calibri"/>
        </w:rPr>
        <w:t>already involved in the young person’s life.</w:t>
      </w:r>
    </w:p>
    <w:p w:rsidR="007E7857" w:rsidRPr="003301AD" w:rsidP="00D0116B">
      <w:pPr>
        <w:pStyle w:val="Heading2"/>
        <w:rPr>
          <w:rFonts w:ascii="Calibri" w:hAnsi="Calibri" w:cs="Calibri"/>
          <w:color w:val="auto"/>
        </w:rPr>
      </w:pPr>
      <w:r w:rsidRPr="003301AD">
        <w:rPr>
          <w:rFonts w:ascii="Calibri" w:hAnsi="Calibri" w:cs="Calibri"/>
          <w:color w:val="auto"/>
        </w:rPr>
        <w:t>The role of NHS and specialist mental health services in support and delivery </w:t>
      </w:r>
    </w:p>
    <w:p w:rsidR="007E7857" w:rsidRPr="003301AD" w:rsidP="00F7704A">
      <w:pPr>
        <w:pStyle w:val="BodyText"/>
        <w:rPr>
          <w:rFonts w:ascii="Calibri" w:hAnsi="Calibri" w:cs="Calibri"/>
          <w:b/>
          <w:bCs/>
        </w:rPr>
      </w:pPr>
      <w:r w:rsidRPr="003301AD">
        <w:rPr>
          <w:rFonts w:ascii="Calibri" w:hAnsi="Calibri" w:cs="Calibri"/>
          <w:b/>
          <w:bCs/>
        </w:rPr>
        <w:t>What reforms to CAMHS would best support timely, equitable and continued access to specialist mental health care for children and young people? </w:t>
      </w:r>
    </w:p>
    <w:p w:rsidR="007E7857" w:rsidRPr="003301AD" w:rsidP="00DF2AC1">
      <w:pPr>
        <w:pStyle w:val="BodyText"/>
        <w:numPr>
          <w:ilvl w:val="0"/>
          <w:numId w:val="16"/>
        </w:numPr>
        <w:rPr>
          <w:rFonts w:ascii="Calibri" w:hAnsi="Calibri" w:cs="Calibri"/>
        </w:rPr>
      </w:pPr>
      <w:r w:rsidRPr="003301AD">
        <w:rPr>
          <w:rFonts w:ascii="Calibri" w:hAnsi="Calibri" w:cs="Calibri"/>
        </w:rPr>
        <w:t xml:space="preserve">We consistently heard that </w:t>
      </w:r>
      <w:r w:rsidRPr="003301AD">
        <w:rPr>
          <w:rFonts w:ascii="Calibri" w:hAnsi="Calibri" w:cs="Calibri"/>
          <w:b/>
          <w:bCs/>
        </w:rPr>
        <w:t xml:space="preserve">inflexibility </w:t>
      </w:r>
      <w:r w:rsidRPr="003301AD">
        <w:rPr>
          <w:rFonts w:ascii="Calibri" w:hAnsi="Calibri" w:cs="Calibri"/>
        </w:rPr>
        <w:t>from services, in terms of referral pathways and how they are delivered, prevents young people accessing support for their mental health and wellbeing. In terms of referral pathways, services should seek to provide flexible access points, including digital options and self-referral pathways. In terms of delivering support, services should offer flexibility in terms of timings, formats (online and face-to-face), and locations.</w:t>
      </w:r>
    </w:p>
    <w:p w:rsidR="007E7857" w:rsidRPr="003301AD" w:rsidP="00EA3705">
      <w:pPr>
        <w:pStyle w:val="BodyText"/>
        <w:numPr>
          <w:ilvl w:val="0"/>
          <w:numId w:val="16"/>
        </w:numPr>
        <w:rPr>
          <w:rFonts w:ascii="Calibri" w:hAnsi="Calibri" w:cs="Calibri"/>
        </w:rPr>
      </w:pPr>
      <w:r w:rsidRPr="003301AD">
        <w:rPr>
          <w:rFonts w:ascii="Calibri" w:hAnsi="Calibri" w:cs="Calibri"/>
        </w:rPr>
        <w:t xml:space="preserve">We heard that the system is currently </w:t>
      </w:r>
      <w:r w:rsidRPr="003301AD">
        <w:rPr>
          <w:rFonts w:ascii="Calibri" w:hAnsi="Calibri" w:cs="Calibri"/>
          <w:b/>
          <w:bCs/>
        </w:rPr>
        <w:t>overly medicalised and diagnosis-driven</w:t>
      </w:r>
      <w:r w:rsidRPr="003301AD">
        <w:rPr>
          <w:rFonts w:ascii="Calibri" w:hAnsi="Calibri" w:cs="Calibri"/>
        </w:rPr>
        <w:t>, forcing young people into narrow boxes to access support. Current models prioritise clinical guidelines and rely on a limited set of evidence-based interventions, neglecting prevention and psychosocial needs.</w:t>
      </w:r>
    </w:p>
    <w:p w:rsidR="007E7857" w:rsidRPr="003301AD" w:rsidP="00EA3705">
      <w:pPr>
        <w:pStyle w:val="BodyText"/>
        <w:numPr>
          <w:ilvl w:val="0"/>
          <w:numId w:val="16"/>
        </w:numPr>
        <w:rPr>
          <w:rFonts w:ascii="Calibri" w:hAnsi="Calibri" w:cs="Calibri"/>
        </w:rPr>
      </w:pPr>
      <w:r w:rsidRPr="003301AD">
        <w:rPr>
          <w:rFonts w:ascii="Calibri" w:hAnsi="Calibri" w:cs="Calibri"/>
        </w:rPr>
        <w:t xml:space="preserve">Young people and parents said that there was insufficient focus on </w:t>
      </w:r>
      <w:r w:rsidRPr="003301AD">
        <w:rPr>
          <w:rFonts w:ascii="Calibri" w:hAnsi="Calibri" w:cs="Calibri"/>
          <w:b/>
          <w:bCs/>
        </w:rPr>
        <w:t xml:space="preserve">lived experience expertise </w:t>
      </w:r>
      <w:r w:rsidRPr="003301AD">
        <w:rPr>
          <w:rFonts w:ascii="Calibri" w:hAnsi="Calibri" w:cs="Calibri"/>
        </w:rPr>
        <w:t>from services, and too few experts by experience in the workforce. Services should recognise the expertise held by people with lived experience (and their support networks where appropriate) in service design and seek to broaden recruitment practices to make them accessible to people with lived experience.</w:t>
      </w:r>
    </w:p>
    <w:p w:rsidR="007E7857" w:rsidRPr="003301AD" w:rsidP="00EA3705">
      <w:pPr>
        <w:pStyle w:val="BodyText"/>
        <w:numPr>
          <w:ilvl w:val="0"/>
          <w:numId w:val="16"/>
        </w:numPr>
        <w:rPr>
          <w:rFonts w:ascii="Calibri" w:hAnsi="Calibri" w:cs="Calibri"/>
        </w:rPr>
      </w:pPr>
      <w:r w:rsidRPr="003301AD">
        <w:rPr>
          <w:rFonts w:ascii="Calibri" w:hAnsi="Calibri" w:cs="Calibri"/>
        </w:rPr>
        <w:t xml:space="preserve">Long waits and lack of interim support are universal concerns. Young people want </w:t>
      </w:r>
      <w:r w:rsidRPr="003301AD">
        <w:rPr>
          <w:rFonts w:ascii="Calibri" w:hAnsi="Calibri" w:cs="Calibri"/>
          <w:b/>
          <w:bCs/>
        </w:rPr>
        <w:t xml:space="preserve">clear timelines and updates </w:t>
      </w:r>
      <w:r w:rsidRPr="003301AD">
        <w:rPr>
          <w:rFonts w:ascii="Calibri" w:hAnsi="Calibri" w:cs="Calibri"/>
        </w:rPr>
        <w:t>while they are on the waiting list for CAHMS.</w:t>
      </w:r>
    </w:p>
    <w:p w:rsidR="007E7857" w:rsidRPr="003301AD" w:rsidP="00EA3705">
      <w:pPr>
        <w:pStyle w:val="BodyText"/>
        <w:rPr>
          <w:rFonts w:ascii="Calibri" w:hAnsi="Calibri" w:cs="Calibri"/>
        </w:rPr>
      </w:pPr>
      <w:r w:rsidRPr="003301AD">
        <w:rPr>
          <w:rFonts w:ascii="Calibri" w:hAnsi="Calibri" w:cs="Calibri"/>
          <w:b/>
          <w:bCs/>
        </w:rPr>
        <w:t>How should the needs of children and young people who do not meet CAMHS thresholds be identified and addressed? </w:t>
      </w:r>
    </w:p>
    <w:p w:rsidR="007E7857" w:rsidRPr="003301AD" w:rsidP="00DE3A4B">
      <w:pPr>
        <w:pStyle w:val="BodyText"/>
        <w:numPr>
          <w:ilvl w:val="0"/>
          <w:numId w:val="16"/>
        </w:numPr>
        <w:rPr>
          <w:rFonts w:ascii="Calibri" w:hAnsi="Calibri" w:cs="Calibri"/>
        </w:rPr>
      </w:pPr>
      <w:r w:rsidRPr="003301AD">
        <w:rPr>
          <w:rFonts w:ascii="Calibri" w:hAnsi="Calibri" w:cs="Calibri"/>
        </w:rPr>
        <w:t xml:space="preserve">There is currently </w:t>
      </w:r>
      <w:r w:rsidRPr="003301AD">
        <w:rPr>
          <w:rFonts w:ascii="Calibri" w:hAnsi="Calibri" w:cs="Calibri"/>
          <w:b/>
          <w:bCs/>
        </w:rPr>
        <w:t xml:space="preserve">no middle ground </w:t>
      </w:r>
      <w:r w:rsidRPr="003301AD">
        <w:rPr>
          <w:rFonts w:ascii="Calibri" w:hAnsi="Calibri" w:cs="Calibri"/>
        </w:rPr>
        <w:t>in terms of access to support. Young people fall through the cracks as the support available is either too low level, or only accessible at crisis point. Young people want earlier support options and alternative support options if they do not meet CAHMS thresholds.</w:t>
      </w:r>
    </w:p>
    <w:p w:rsidR="007E7857" w:rsidRPr="003301AD" w:rsidP="00D0116B">
      <w:pPr>
        <w:pStyle w:val="Heading2"/>
        <w:rPr>
          <w:rFonts w:ascii="Calibri" w:hAnsi="Calibri" w:cs="Calibri"/>
          <w:color w:val="auto"/>
        </w:rPr>
      </w:pPr>
      <w:r w:rsidRPr="003301AD">
        <w:rPr>
          <w:rFonts w:ascii="Calibri" w:hAnsi="Calibri" w:cs="Calibri"/>
          <w:color w:val="auto"/>
        </w:rPr>
        <w:t>Integration between education, NHS and community provision   </w:t>
      </w:r>
    </w:p>
    <w:p w:rsidR="007E7857" w:rsidRPr="003301AD" w:rsidP="009416DD">
      <w:pPr>
        <w:pStyle w:val="BodyText"/>
        <w:rPr>
          <w:rFonts w:ascii="Calibri" w:hAnsi="Calibri" w:cs="Calibri"/>
          <w:b/>
          <w:bCs/>
        </w:rPr>
      </w:pPr>
      <w:r w:rsidRPr="003301AD">
        <w:rPr>
          <w:rFonts w:ascii="Calibri" w:hAnsi="Calibri" w:cs="Calibri"/>
          <w:b/>
          <w:bCs/>
        </w:rPr>
        <w:t>How effective are current early intervention models across health and education, in identifying mental health concerns in children and young people at the earliest possible stage? </w:t>
      </w:r>
    </w:p>
    <w:p w:rsidR="007E7857" w:rsidRPr="003301AD" w:rsidP="000E0204">
      <w:pPr>
        <w:pStyle w:val="BodyText"/>
        <w:numPr>
          <w:ilvl w:val="0"/>
          <w:numId w:val="18"/>
        </w:numPr>
        <w:rPr>
          <w:rFonts w:ascii="Calibri" w:hAnsi="Calibri" w:cs="Calibri"/>
        </w:rPr>
      </w:pPr>
      <w:r w:rsidRPr="003301AD">
        <w:rPr>
          <w:rFonts w:ascii="Calibri" w:hAnsi="Calibri" w:cs="Calibri"/>
        </w:rPr>
        <w:t xml:space="preserve">We heard that there are currently </w:t>
      </w:r>
      <w:r w:rsidRPr="003301AD">
        <w:rPr>
          <w:rFonts w:ascii="Calibri" w:hAnsi="Calibri" w:cs="Calibri"/>
          <w:b/>
          <w:bCs/>
        </w:rPr>
        <w:t xml:space="preserve">significant barriers </w:t>
      </w:r>
      <w:r w:rsidRPr="003301AD">
        <w:rPr>
          <w:rFonts w:ascii="Calibri" w:hAnsi="Calibri" w:cs="Calibri"/>
        </w:rPr>
        <w:t>to accessing early intervention: long waiting times, lack of awareness, underfunding, inappropriate service design, and overstretched school staff.</w:t>
      </w:r>
    </w:p>
    <w:p w:rsidR="007E7857" w:rsidRPr="003301AD" w:rsidP="000E0204">
      <w:pPr>
        <w:pStyle w:val="BodyText"/>
        <w:rPr>
          <w:rFonts w:ascii="Calibri" w:hAnsi="Calibri" w:cs="Calibri"/>
        </w:rPr>
      </w:pPr>
      <w:r w:rsidRPr="003301AD">
        <w:rPr>
          <w:rFonts w:ascii="Calibri" w:hAnsi="Calibri" w:cs="Calibri"/>
          <w:b/>
          <w:bCs/>
        </w:rPr>
        <w:t>How effective are current referral pathways between education, community services and NHS services in ensuring timely and appropriate access to mental health support for children and young people? </w:t>
      </w:r>
    </w:p>
    <w:p w:rsidR="007E7857" w:rsidRPr="003301AD" w:rsidP="095ED7BD">
      <w:pPr>
        <w:pStyle w:val="BodyText"/>
        <w:numPr>
          <w:ilvl w:val="0"/>
          <w:numId w:val="18"/>
        </w:numPr>
        <w:rPr>
          <w:rFonts w:ascii="Calibri" w:hAnsi="Calibri" w:cs="Calibri"/>
        </w:rPr>
      </w:pPr>
      <w:r w:rsidRPr="003301AD">
        <w:rPr>
          <w:rFonts w:ascii="Calibri" w:hAnsi="Calibri" w:cs="Calibri"/>
        </w:rPr>
        <w:t xml:space="preserve">Parents told us that local referral pathways are not clear and poorly signposted. Parents often feel like they </w:t>
      </w:r>
      <w:r w:rsidRPr="003301AD">
        <w:rPr>
          <w:rFonts w:ascii="Calibri" w:hAnsi="Calibri" w:cs="Calibri"/>
        </w:rPr>
        <w:t>have to</w:t>
      </w:r>
      <w:r w:rsidRPr="003301AD">
        <w:rPr>
          <w:rFonts w:ascii="Calibri" w:hAnsi="Calibri" w:cs="Calibri"/>
        </w:rPr>
        <w:t xml:space="preserve"> do their own research through joining Facebook groups or speaking to their peers to understand where to go. This places additional burden on families and delays access to support.</w:t>
      </w:r>
    </w:p>
    <w:p w:rsidR="007E7857" w:rsidRPr="003301AD" w:rsidP="095ED7BD">
      <w:pPr>
        <w:pStyle w:val="BodyText"/>
        <w:numPr>
          <w:ilvl w:val="0"/>
          <w:numId w:val="18"/>
        </w:numPr>
        <w:rPr>
          <w:rFonts w:ascii="Calibri" w:hAnsi="Calibri" w:cs="Calibri"/>
        </w:rPr>
      </w:pPr>
      <w:r w:rsidRPr="003301AD">
        <w:rPr>
          <w:rFonts w:ascii="Calibri" w:hAnsi="Calibri" w:cs="Calibri"/>
        </w:rPr>
        <w:t xml:space="preserve">Professionals highlighted that coordination between schools and statutory youth mental health services is particularly important. This was consistent with parents viewing schools as gatekeepers to further support and referral for young people. </w:t>
      </w:r>
    </w:p>
    <w:p w:rsidR="007E7857" w:rsidRPr="003301AD" w:rsidP="095ED7BD">
      <w:pPr>
        <w:pStyle w:val="BodyText"/>
        <w:numPr>
          <w:ilvl w:val="0"/>
          <w:numId w:val="18"/>
        </w:numPr>
        <w:rPr>
          <w:rFonts w:ascii="Calibri" w:hAnsi="Calibri" w:cs="Calibri"/>
        </w:rPr>
      </w:pPr>
      <w:r w:rsidRPr="003301AD">
        <w:rPr>
          <w:rFonts w:ascii="Calibri" w:hAnsi="Calibri" w:cs="Calibri"/>
        </w:rPr>
        <w:t>Literature also supported the importance of local referral pathways, in the context that mental health support services and touchpoints are otherwise fragmented.</w:t>
      </w:r>
    </w:p>
    <w:p w:rsidR="007E7857" w:rsidRPr="003301AD" w:rsidP="00277A9D">
      <w:pPr>
        <w:pStyle w:val="BodyText"/>
        <w:rPr>
          <w:rFonts w:ascii="Calibri" w:hAnsi="Calibri" w:cs="Calibri"/>
          <w:b/>
          <w:bCs/>
        </w:rPr>
      </w:pPr>
      <w:r w:rsidRPr="003301AD">
        <w:rPr>
          <w:rFonts w:ascii="Calibri" w:hAnsi="Calibri" w:cs="Calibri"/>
          <w:b/>
          <w:bCs/>
        </w:rPr>
        <w:t xml:space="preserve">How well do current pathways link to delivery of SEND services? </w:t>
      </w:r>
    </w:p>
    <w:p w:rsidR="007E7857" w:rsidRPr="003301AD" w:rsidP="00277A9D">
      <w:pPr>
        <w:pStyle w:val="BodyText"/>
        <w:rPr>
          <w:rFonts w:ascii="Calibri" w:hAnsi="Calibri" w:cs="Calibri"/>
          <w:u w:val="single"/>
        </w:rPr>
      </w:pPr>
      <w:r w:rsidRPr="003301AD">
        <w:rPr>
          <w:rFonts w:ascii="Calibri" w:hAnsi="Calibri" w:cs="Calibri"/>
          <w:u w:val="single"/>
        </w:rPr>
        <w:t>For Autistic young people</w:t>
      </w:r>
    </w:p>
    <w:p w:rsidR="007E7857" w:rsidRPr="003301AD" w:rsidP="002806DD">
      <w:pPr>
        <w:pStyle w:val="ListBullet"/>
        <w:numPr>
          <w:ilvl w:val="0"/>
          <w:numId w:val="18"/>
        </w:numPr>
        <w:rPr>
          <w:rFonts w:ascii="Calibri" w:hAnsi="Calibri" w:cs="Calibri"/>
        </w:rPr>
      </w:pPr>
      <w:r w:rsidRPr="003301AD">
        <w:rPr>
          <w:rFonts w:ascii="Calibri" w:hAnsi="Calibri" w:cs="Calibri"/>
        </w:rPr>
        <w:t xml:space="preserve">Mental health professionals often fail to understand autism and how it intersects with mental health. In many cases, the young person’s mental health needs are attributed to autism without recognising wider or underlying factors. </w:t>
      </w:r>
    </w:p>
    <w:p w:rsidR="007E7857" w:rsidRPr="003301AD" w:rsidP="002806DD">
      <w:pPr>
        <w:pStyle w:val="ListBullet"/>
        <w:numPr>
          <w:ilvl w:val="0"/>
          <w:numId w:val="18"/>
        </w:numPr>
        <w:rPr>
          <w:rFonts w:ascii="Calibri" w:hAnsi="Calibri" w:cs="Calibri"/>
        </w:rPr>
      </w:pPr>
      <w:r w:rsidRPr="003301AD">
        <w:rPr>
          <w:rFonts w:ascii="Calibri" w:hAnsi="Calibri" w:cs="Calibri"/>
        </w:rPr>
        <w:t>Standard therapies like CBT are rarely adapted, and often ineffective for autistic individuals.</w:t>
      </w:r>
    </w:p>
    <w:p w:rsidR="007E7857" w:rsidRPr="003301AD" w:rsidP="00277A9D">
      <w:pPr>
        <w:pStyle w:val="BodyText"/>
        <w:numPr>
          <w:ilvl w:val="0"/>
          <w:numId w:val="18"/>
        </w:numPr>
        <w:rPr>
          <w:rFonts w:ascii="Calibri" w:hAnsi="Calibri" w:cs="Calibri"/>
        </w:rPr>
      </w:pPr>
      <w:r w:rsidRPr="003301AD">
        <w:rPr>
          <w:rFonts w:ascii="Calibri" w:hAnsi="Calibri" w:cs="Calibri"/>
        </w:rPr>
        <w:t>Services impose rigid appointment structures, short-term treatment (6–8 sessions), and limited therapy options. Autistic young people need flexibility in appointment length, timing, and communication methods.</w:t>
      </w:r>
    </w:p>
    <w:p w:rsidR="007E7857" w:rsidRPr="003301AD" w:rsidP="00277A9D">
      <w:pPr>
        <w:pStyle w:val="BodyText"/>
        <w:numPr>
          <w:ilvl w:val="0"/>
          <w:numId w:val="18"/>
        </w:numPr>
        <w:rPr>
          <w:rFonts w:ascii="Calibri" w:hAnsi="Calibri" w:cs="Calibri"/>
        </w:rPr>
      </w:pPr>
      <w:r w:rsidRPr="003301AD">
        <w:rPr>
          <w:rFonts w:ascii="Calibri" w:hAnsi="Calibri" w:cs="Calibri"/>
        </w:rPr>
        <w:t xml:space="preserve">Being turned away for being autistic, even at crisis point, can create deep mistrust. </w:t>
      </w:r>
    </w:p>
    <w:p w:rsidR="007E7857" w:rsidRPr="003301AD" w:rsidP="095ED7BD">
      <w:pPr>
        <w:pStyle w:val="ListParagraph"/>
        <w:numPr>
          <w:ilvl w:val="0"/>
          <w:numId w:val="18"/>
        </w:numPr>
        <w:rPr>
          <w:rFonts w:ascii="Calibri" w:hAnsi="Calibri" w:cs="Calibri"/>
          <w:sz w:val="22"/>
          <w:szCs w:val="22"/>
        </w:rPr>
      </w:pPr>
      <w:r w:rsidRPr="003301AD">
        <w:rPr>
          <w:rFonts w:ascii="Calibri" w:hAnsi="Calibri" w:cs="Calibri"/>
          <w:sz w:val="22"/>
          <w:szCs w:val="22"/>
        </w:rPr>
        <w:t xml:space="preserve">Phone-only booking systems and lack of online options make access difficult. </w:t>
      </w:r>
    </w:p>
    <w:p w:rsidR="007E7857" w:rsidRPr="003301AD" w:rsidP="00CD4A42">
      <w:pPr>
        <w:pStyle w:val="ListParagraph"/>
        <w:rPr>
          <w:rFonts w:ascii="Calibri" w:hAnsi="Calibri" w:cs="Calibri"/>
          <w:sz w:val="22"/>
        </w:rPr>
      </w:pPr>
    </w:p>
    <w:p w:rsidR="007E7857" w:rsidRPr="003301AD" w:rsidP="00CD4A42">
      <w:pPr>
        <w:pStyle w:val="ListParagraph"/>
        <w:numPr>
          <w:ilvl w:val="0"/>
          <w:numId w:val="18"/>
        </w:numPr>
        <w:rPr>
          <w:rFonts w:ascii="Calibri" w:hAnsi="Calibri" w:cs="Calibri"/>
          <w:sz w:val="22"/>
        </w:rPr>
      </w:pPr>
      <w:r w:rsidRPr="003301AD">
        <w:rPr>
          <w:rFonts w:ascii="Calibri" w:hAnsi="Calibri" w:cs="Calibri"/>
          <w:sz w:val="22"/>
        </w:rPr>
        <w:t>Bright lights and clinical spaces increase anxiety; autistic young people want less clinical, more comfortable settings.</w:t>
      </w:r>
    </w:p>
    <w:p w:rsidR="007E7857" w:rsidRPr="003301AD" w:rsidP="00CD4A42">
      <w:pPr>
        <w:pStyle w:val="ListParagraph"/>
        <w:rPr>
          <w:rFonts w:ascii="Calibri" w:hAnsi="Calibri" w:cs="Calibri"/>
          <w:sz w:val="22"/>
        </w:rPr>
      </w:pPr>
    </w:p>
    <w:p w:rsidR="007E7857" w:rsidRPr="003301AD" w:rsidP="00CD4A42">
      <w:pPr>
        <w:pStyle w:val="ListParagraph"/>
        <w:numPr>
          <w:ilvl w:val="0"/>
          <w:numId w:val="18"/>
        </w:numPr>
        <w:rPr>
          <w:rFonts w:ascii="Calibri" w:hAnsi="Calibri" w:cs="Calibri"/>
          <w:sz w:val="22"/>
        </w:rPr>
      </w:pPr>
      <w:r w:rsidRPr="003301AD">
        <w:rPr>
          <w:rFonts w:ascii="Calibri" w:hAnsi="Calibri" w:cs="Calibri"/>
          <w:sz w:val="22"/>
        </w:rPr>
        <w:t>Unmasking can be misread as aggression; anxiety often misdiagnosed as social anxiety rather than sensory overload.</w:t>
      </w:r>
    </w:p>
    <w:p w:rsidR="007E7857" w:rsidRPr="003301AD" w:rsidP="00277A9D">
      <w:pPr>
        <w:pStyle w:val="BodyText"/>
        <w:numPr>
          <w:ilvl w:val="0"/>
          <w:numId w:val="18"/>
        </w:numPr>
        <w:rPr>
          <w:rFonts w:ascii="Calibri" w:hAnsi="Calibri" w:cs="Calibri"/>
        </w:rPr>
      </w:pPr>
      <w:r w:rsidRPr="003301AD">
        <w:rPr>
          <w:rFonts w:ascii="Calibri" w:hAnsi="Calibri" w:cs="Calibri"/>
        </w:rPr>
        <w:t>Schools and services fail to join up support relevant to SEND children and young people, especially around EHCP delays and transitions.</w:t>
      </w:r>
    </w:p>
    <w:p w:rsidR="007E7857" w:rsidRPr="003301AD" w:rsidP="008B2387">
      <w:pPr>
        <w:pStyle w:val="ListBullet"/>
        <w:numPr>
          <w:ilvl w:val="0"/>
          <w:numId w:val="18"/>
        </w:numPr>
        <w:rPr>
          <w:rFonts w:ascii="Calibri" w:hAnsi="Calibri" w:cs="Calibri"/>
        </w:rPr>
      </w:pPr>
      <w:r w:rsidRPr="003301AD">
        <w:rPr>
          <w:rFonts w:ascii="Calibri" w:hAnsi="Calibri" w:cs="Calibri"/>
        </w:rPr>
        <w:t>Over-reliance on lengthy questionnaires with unclear purposes frustrates young people, especially neurodivergent individuals.</w:t>
      </w:r>
    </w:p>
    <w:p w:rsidR="007E7857" w:rsidRPr="003301AD" w:rsidP="0023151B">
      <w:pPr>
        <w:pStyle w:val="BodyText"/>
        <w:rPr>
          <w:rFonts w:ascii="Calibri" w:hAnsi="Calibri" w:cs="Calibri"/>
          <w:u w:val="single"/>
        </w:rPr>
      </w:pPr>
      <w:r w:rsidRPr="003301AD">
        <w:rPr>
          <w:rFonts w:ascii="Calibri" w:hAnsi="Calibri" w:cs="Calibri"/>
          <w:u w:val="single"/>
        </w:rPr>
        <w:t>For Physically Disabled young people</w:t>
      </w:r>
    </w:p>
    <w:p w:rsidR="007E7857" w:rsidRPr="003301AD" w:rsidP="005C6579">
      <w:pPr>
        <w:pStyle w:val="ListBullet"/>
        <w:numPr>
          <w:ilvl w:val="0"/>
          <w:numId w:val="18"/>
        </w:numPr>
        <w:rPr>
          <w:rFonts w:ascii="Calibri" w:hAnsi="Calibri" w:cs="Calibri"/>
        </w:rPr>
      </w:pPr>
      <w:r w:rsidRPr="003301AD">
        <w:rPr>
          <w:rFonts w:ascii="Calibri" w:hAnsi="Calibri" w:cs="Calibri"/>
        </w:rPr>
        <w:t>Services are often physically inaccessible, and lack communication support (e.g.  British Sign Language relay) or reasonable adjustments. Accessibility information is rarely listed online, and crisis teams are not trained to support disabled or autistic young people.</w:t>
      </w:r>
    </w:p>
    <w:p w:rsidR="007E7857" w:rsidRPr="003301AD" w:rsidP="005C6579">
      <w:pPr>
        <w:pStyle w:val="ListBullet"/>
        <w:numPr>
          <w:ilvl w:val="0"/>
          <w:numId w:val="18"/>
        </w:numPr>
        <w:rPr>
          <w:rFonts w:ascii="Calibri" w:hAnsi="Calibri" w:cs="Calibri"/>
        </w:rPr>
      </w:pPr>
      <w:r w:rsidRPr="003301AD">
        <w:rPr>
          <w:rFonts w:ascii="Calibri" w:hAnsi="Calibri" w:cs="Calibri"/>
        </w:rPr>
        <w:t xml:space="preserve">Disability needs are forced into single categories; if too complex, services ‘can’t handle it’.  </w:t>
      </w:r>
    </w:p>
    <w:p w:rsidR="007E7857" w:rsidRPr="003301AD" w:rsidP="005C6579">
      <w:pPr>
        <w:pStyle w:val="ListBullet"/>
        <w:numPr>
          <w:ilvl w:val="0"/>
          <w:numId w:val="18"/>
        </w:numPr>
        <w:rPr>
          <w:rFonts w:ascii="Calibri" w:hAnsi="Calibri" w:cs="Calibri"/>
        </w:rPr>
      </w:pPr>
      <w:r w:rsidRPr="003301AD">
        <w:rPr>
          <w:rFonts w:ascii="Calibri" w:hAnsi="Calibri" w:cs="Calibri"/>
        </w:rPr>
        <w:t>Professionals dismiss or minimise experiences, break confidentiality, and fail to adapt communication styles. Lack of easy-read resources and multiple contact options (text, calls) adds to exclusion.</w:t>
      </w:r>
    </w:p>
    <w:p w:rsidR="007E7857" w:rsidRPr="003301AD" w:rsidP="005C6579">
      <w:pPr>
        <w:pStyle w:val="ListBullet"/>
        <w:numPr>
          <w:ilvl w:val="0"/>
          <w:numId w:val="18"/>
        </w:numPr>
        <w:rPr>
          <w:rFonts w:ascii="Calibri" w:hAnsi="Calibri" w:cs="Calibri"/>
        </w:rPr>
      </w:pPr>
      <w:r w:rsidRPr="003301AD">
        <w:rPr>
          <w:rFonts w:ascii="Calibri" w:hAnsi="Calibri" w:cs="Calibri"/>
        </w:rPr>
        <w:t>Distrust grows when families feel blamed for health issues or when professionals invalidate physical health concerns.</w:t>
      </w:r>
    </w:p>
    <w:p w:rsidR="007E7857" w:rsidRPr="003301AD" w:rsidP="005C6579">
      <w:pPr>
        <w:pStyle w:val="ListBullet"/>
        <w:numPr>
          <w:ilvl w:val="0"/>
          <w:numId w:val="18"/>
        </w:numPr>
        <w:rPr>
          <w:rFonts w:ascii="Calibri" w:hAnsi="Calibri" w:cs="Calibri"/>
        </w:rPr>
      </w:pPr>
      <w:r w:rsidRPr="003301AD">
        <w:rPr>
          <w:rFonts w:ascii="Calibri" w:hAnsi="Calibri" w:cs="Calibri"/>
        </w:rPr>
        <w:t>Crisis teams and mental health professionals have little awareness of existing disability specific processes in the system, including the dynamic support register.</w:t>
      </w:r>
    </w:p>
    <w:p w:rsidR="007E7857" w:rsidRPr="003301AD" w:rsidP="095ED7BD">
      <w:pPr>
        <w:pStyle w:val="ListBullet"/>
        <w:rPr>
          <w:rFonts w:ascii="Calibri" w:hAnsi="Calibri" w:cs="Calibri"/>
        </w:rPr>
      </w:pPr>
      <w:r w:rsidRPr="003301AD">
        <w:rPr>
          <w:rFonts w:ascii="Calibri" w:hAnsi="Calibri" w:cs="Calibri"/>
        </w:rPr>
        <w:t>Mental and physical health needs are deeply correlated, sometimes causing similar symptoms that are difficult to disentangle, and with issues in one (e.g. lack of pain management) causing issues in the other (e.g. anxiety from lack of pain management). However, accessing support for both can be challenging; young people often feel pressured to downplay mental health concerns to prioritise physical care, highlighting the need for integrated, holistic support systems.</w:t>
      </w:r>
    </w:p>
    <w:p w:rsidR="007E7857" w:rsidRPr="003301AD" w:rsidP="00CD4A42">
      <w:pPr>
        <w:pStyle w:val="BodyText"/>
        <w:rPr>
          <w:rFonts w:ascii="Calibri" w:hAnsi="Calibri" w:cs="Calibri"/>
          <w:b/>
          <w:bCs/>
        </w:rPr>
      </w:pPr>
      <w:r w:rsidRPr="003301AD">
        <w:rPr>
          <w:rFonts w:ascii="Calibri" w:hAnsi="Calibri" w:cs="Calibri"/>
          <w:b/>
          <w:bCs/>
        </w:rPr>
        <w:t>What changes would most effectively strengthen referral pathways for children with SEND? </w:t>
      </w:r>
    </w:p>
    <w:p w:rsidR="007E7857" w:rsidRPr="003301AD" w:rsidP="00CD4A42">
      <w:pPr>
        <w:pStyle w:val="BodyText"/>
        <w:rPr>
          <w:rFonts w:ascii="Calibri" w:hAnsi="Calibri" w:cs="Calibri"/>
          <w:u w:val="single"/>
        </w:rPr>
      </w:pPr>
      <w:r w:rsidRPr="003301AD">
        <w:rPr>
          <w:rFonts w:ascii="Calibri" w:hAnsi="Calibri" w:cs="Calibri"/>
          <w:u w:val="single"/>
        </w:rPr>
        <w:t>Autistic young people</w:t>
      </w:r>
    </w:p>
    <w:p w:rsidR="007E7857" w:rsidRPr="003301AD" w:rsidP="004E551D">
      <w:pPr>
        <w:pStyle w:val="ListBullet"/>
        <w:numPr>
          <w:ilvl w:val="0"/>
          <w:numId w:val="18"/>
        </w:numPr>
        <w:rPr>
          <w:rFonts w:ascii="Calibri" w:hAnsi="Calibri" w:cs="Calibri"/>
          <w:lang w:eastAsia="en-GB"/>
        </w:rPr>
      </w:pPr>
      <w:r w:rsidRPr="003301AD">
        <w:rPr>
          <w:rFonts w:ascii="Calibri" w:hAnsi="Calibri" w:cs="Calibri"/>
          <w:lang w:eastAsia="en-GB"/>
        </w:rPr>
        <w:t xml:space="preserve">Autism passports or one-page profiles to share communication preferences and triggers. </w:t>
      </w:r>
    </w:p>
    <w:p w:rsidR="007E7857" w:rsidRPr="003301AD" w:rsidP="095ED7BD">
      <w:pPr>
        <w:pStyle w:val="ListBullet"/>
        <w:rPr>
          <w:rFonts w:ascii="Calibri" w:hAnsi="Calibri" w:cs="Calibri"/>
          <w:lang w:eastAsia="en-GB"/>
        </w:rPr>
      </w:pPr>
      <w:r w:rsidRPr="003301AD">
        <w:rPr>
          <w:rFonts w:ascii="Calibri" w:hAnsi="Calibri" w:cs="Calibri"/>
          <w:lang w:eastAsia="en-GB"/>
        </w:rPr>
        <w:t xml:space="preserve">Joined-up services with smooth transitions between child and adult care. </w:t>
      </w:r>
    </w:p>
    <w:p w:rsidR="007E7857" w:rsidRPr="003301AD" w:rsidP="004E551D">
      <w:pPr>
        <w:pStyle w:val="ListBullet"/>
        <w:numPr>
          <w:ilvl w:val="0"/>
          <w:numId w:val="18"/>
        </w:numPr>
        <w:rPr>
          <w:rFonts w:ascii="Calibri" w:hAnsi="Calibri" w:cs="Calibri"/>
          <w:lang w:eastAsia="en-GB"/>
        </w:rPr>
      </w:pPr>
      <w:r w:rsidRPr="003301AD">
        <w:rPr>
          <w:rFonts w:ascii="Calibri" w:hAnsi="Calibri" w:cs="Calibri"/>
          <w:lang w:eastAsia="en-GB"/>
        </w:rPr>
        <w:t xml:space="preserve">Longer-term support, not capped at arbitrary session limits. </w:t>
      </w:r>
    </w:p>
    <w:p w:rsidR="007E7857" w:rsidRPr="003301AD" w:rsidP="004E551D">
      <w:pPr>
        <w:pStyle w:val="ListBullet"/>
        <w:numPr>
          <w:ilvl w:val="0"/>
          <w:numId w:val="18"/>
        </w:numPr>
        <w:rPr>
          <w:rFonts w:ascii="Calibri" w:hAnsi="Calibri" w:cs="Calibri"/>
          <w:lang w:eastAsia="en-GB"/>
        </w:rPr>
      </w:pPr>
      <w:r w:rsidRPr="003301AD">
        <w:rPr>
          <w:rFonts w:ascii="Calibri" w:hAnsi="Calibri" w:cs="Calibri"/>
          <w:lang w:eastAsia="en-GB"/>
        </w:rPr>
        <w:t xml:space="preserve">Neurodivergent professionals and lived experience embedded in services. </w:t>
      </w:r>
    </w:p>
    <w:p w:rsidR="007E7857" w:rsidRPr="003301AD" w:rsidP="095ED7BD">
      <w:pPr>
        <w:pStyle w:val="ListBullet"/>
        <w:rPr>
          <w:rFonts w:ascii="Calibri" w:hAnsi="Calibri" w:cs="Calibri"/>
          <w:lang w:eastAsia="en-GB"/>
        </w:rPr>
      </w:pPr>
      <w:r w:rsidRPr="003301AD">
        <w:rPr>
          <w:rFonts w:ascii="Calibri" w:hAnsi="Calibri" w:cs="Calibri"/>
          <w:lang w:eastAsia="en-GB"/>
        </w:rPr>
        <w:t>Autism training for professionals.</w:t>
      </w:r>
    </w:p>
    <w:p w:rsidR="007E7857" w:rsidRPr="003301AD" w:rsidP="00523167">
      <w:pPr>
        <w:pStyle w:val="ListBullet"/>
        <w:numPr>
          <w:ilvl w:val="0"/>
          <w:numId w:val="0"/>
        </w:numPr>
        <w:rPr>
          <w:rFonts w:ascii="Calibri" w:hAnsi="Calibri" w:cs="Calibri"/>
          <w:u w:val="single"/>
          <w:lang w:eastAsia="en-GB"/>
        </w:rPr>
      </w:pPr>
      <w:r w:rsidRPr="003301AD">
        <w:rPr>
          <w:rFonts w:ascii="Calibri" w:hAnsi="Calibri" w:cs="Calibri"/>
          <w:u w:val="single"/>
          <w:lang w:eastAsia="en-GB"/>
        </w:rPr>
        <w:t>Physically Disabled young people</w:t>
      </w:r>
    </w:p>
    <w:p w:rsidR="007E7857" w:rsidRPr="003301AD" w:rsidP="0023151B">
      <w:pPr>
        <w:pStyle w:val="ListBullet"/>
        <w:numPr>
          <w:ilvl w:val="0"/>
          <w:numId w:val="18"/>
        </w:numPr>
        <w:rPr>
          <w:rFonts w:ascii="Calibri" w:hAnsi="Calibri" w:cs="Calibri"/>
        </w:rPr>
      </w:pPr>
      <w:r w:rsidRPr="003301AD">
        <w:rPr>
          <w:rFonts w:ascii="Calibri" w:hAnsi="Calibri" w:cs="Calibri"/>
        </w:rPr>
        <w:t>Staff should reflect local communities and understand intersectional needs.</w:t>
      </w:r>
    </w:p>
    <w:p w:rsidR="007E7857" w:rsidRPr="003301AD" w:rsidP="0023151B">
      <w:pPr>
        <w:pStyle w:val="ListBullet"/>
        <w:numPr>
          <w:ilvl w:val="0"/>
          <w:numId w:val="18"/>
        </w:numPr>
        <w:rPr>
          <w:rFonts w:ascii="Calibri" w:hAnsi="Calibri" w:cs="Calibri"/>
        </w:rPr>
      </w:pPr>
      <w:r w:rsidRPr="003301AD">
        <w:rPr>
          <w:rFonts w:ascii="Calibri" w:hAnsi="Calibri" w:cs="Calibri"/>
        </w:rPr>
        <w:t>Disability communication training for mental health professionals.</w:t>
      </w:r>
    </w:p>
    <w:p w:rsidR="007E7857" w:rsidRPr="003301AD" w:rsidP="0023151B">
      <w:pPr>
        <w:pStyle w:val="ListBullet"/>
        <w:numPr>
          <w:ilvl w:val="0"/>
          <w:numId w:val="18"/>
        </w:numPr>
        <w:rPr>
          <w:rFonts w:ascii="Calibri" w:hAnsi="Calibri" w:cs="Calibri"/>
        </w:rPr>
      </w:pPr>
      <w:r w:rsidRPr="003301AD">
        <w:rPr>
          <w:rFonts w:ascii="Calibri" w:hAnsi="Calibri" w:cs="Calibri"/>
        </w:rPr>
        <w:t>Wider availability of the British Sign Language relay service.</w:t>
      </w:r>
    </w:p>
    <w:p w:rsidR="007E7857" w:rsidRPr="003301AD" w:rsidP="0023151B">
      <w:pPr>
        <w:pStyle w:val="ListBullet"/>
        <w:numPr>
          <w:ilvl w:val="0"/>
          <w:numId w:val="18"/>
        </w:numPr>
        <w:rPr>
          <w:rFonts w:ascii="Calibri" w:hAnsi="Calibri" w:cs="Calibri"/>
        </w:rPr>
      </w:pPr>
      <w:r w:rsidRPr="003301AD">
        <w:rPr>
          <w:rFonts w:ascii="Calibri" w:hAnsi="Calibri" w:cs="Calibri"/>
        </w:rPr>
        <w:t xml:space="preserve">Accessibility audits of services by people with lived experience. </w:t>
      </w:r>
    </w:p>
    <w:p w:rsidR="007E7857" w:rsidRPr="003301AD" w:rsidP="0023151B">
      <w:pPr>
        <w:pStyle w:val="ListBullet"/>
        <w:numPr>
          <w:ilvl w:val="0"/>
          <w:numId w:val="18"/>
        </w:numPr>
        <w:rPr>
          <w:rFonts w:ascii="Calibri" w:hAnsi="Calibri" w:cs="Calibri"/>
        </w:rPr>
      </w:pPr>
      <w:r w:rsidRPr="003301AD">
        <w:rPr>
          <w:rFonts w:ascii="Calibri" w:hAnsi="Calibri" w:cs="Calibri"/>
        </w:rPr>
        <w:t>More accessible transport options to mental health services.</w:t>
      </w:r>
    </w:p>
    <w:p w:rsidR="007E7857" w:rsidRPr="003301AD" w:rsidP="095ED7BD">
      <w:pPr>
        <w:pStyle w:val="ListBullet"/>
        <w:rPr>
          <w:rFonts w:ascii="Calibri" w:hAnsi="Calibri" w:cs="Calibri"/>
        </w:rPr>
      </w:pPr>
      <w:r w:rsidRPr="003301AD">
        <w:rPr>
          <w:rFonts w:ascii="Calibri" w:hAnsi="Calibri" w:cs="Calibri"/>
        </w:rPr>
        <w:t>More education for medical and mental health professionals on the link between mental health and physical health.</w:t>
      </w:r>
    </w:p>
    <w:p w:rsidR="007E7857" w:rsidRPr="003301AD" w:rsidP="0023151B">
      <w:pPr>
        <w:pStyle w:val="ListBullet"/>
        <w:numPr>
          <w:ilvl w:val="0"/>
          <w:numId w:val="18"/>
        </w:numPr>
        <w:rPr>
          <w:rFonts w:ascii="Calibri" w:hAnsi="Calibri" w:cs="Calibri"/>
        </w:rPr>
      </w:pPr>
      <w:r w:rsidRPr="003301AD">
        <w:rPr>
          <w:rFonts w:ascii="Calibri" w:hAnsi="Calibri" w:cs="Calibri"/>
        </w:rPr>
        <w:t xml:space="preserve">Having champions for specific disabilities embedded in services.  </w:t>
      </w:r>
    </w:p>
    <w:p w:rsidR="007E7857" w:rsidRPr="003301AD" w:rsidP="095ED7BD">
      <w:pPr>
        <w:pStyle w:val="ListBullet"/>
        <w:rPr>
          <w:rFonts w:ascii="Calibri" w:hAnsi="Calibri" w:cs="Calibri"/>
        </w:rPr>
      </w:pPr>
      <w:r w:rsidRPr="003301AD">
        <w:rPr>
          <w:rFonts w:ascii="Calibri" w:hAnsi="Calibri" w:cs="Calibri"/>
        </w:rPr>
        <w:t>Multi-disciplinary team meetings that mental health professionals attend.</w:t>
      </w:r>
    </w:p>
    <w:p w:rsidR="007E7857" w:rsidRPr="003301AD" w:rsidP="00C618F7">
      <w:pPr>
        <w:pStyle w:val="BodyText"/>
        <w:rPr>
          <w:rFonts w:ascii="Calibri" w:hAnsi="Calibri" w:cs="Calibri"/>
        </w:rPr>
      </w:pPr>
      <w:r w:rsidRPr="003301AD">
        <w:rPr>
          <w:rFonts w:ascii="Calibri" w:hAnsi="Calibri" w:cs="Calibri"/>
          <w:b/>
          <w:bCs/>
        </w:rPr>
        <w:t>How could pathways be improved to increase the continuity of support available to children and young people underserved by current provision? </w:t>
      </w:r>
    </w:p>
    <w:p w:rsidR="007E7857" w:rsidRPr="003301AD" w:rsidP="001B314B">
      <w:pPr>
        <w:pStyle w:val="BodyText"/>
        <w:numPr>
          <w:ilvl w:val="0"/>
          <w:numId w:val="18"/>
        </w:numPr>
        <w:rPr>
          <w:rFonts w:ascii="Calibri" w:hAnsi="Calibri" w:cs="Calibri"/>
        </w:rPr>
      </w:pPr>
      <w:r w:rsidRPr="003301AD">
        <w:rPr>
          <w:rFonts w:ascii="Calibri" w:hAnsi="Calibri" w:cs="Calibri"/>
        </w:rPr>
        <w:t>Young people that are undeserved by current provision from certain groups (e.g. with lived experience of school exclusions, Autistic young people) described a distrust of statutory systems generally such as schools, police, hospitals, the health system and the care system.</w:t>
      </w:r>
    </w:p>
    <w:p w:rsidR="007E7857" w:rsidRPr="003301AD" w:rsidP="00331149">
      <w:pPr>
        <w:pStyle w:val="BodyText"/>
        <w:numPr>
          <w:ilvl w:val="1"/>
          <w:numId w:val="18"/>
        </w:numPr>
        <w:rPr>
          <w:rFonts w:ascii="Calibri" w:hAnsi="Calibri" w:cs="Calibri"/>
        </w:rPr>
      </w:pPr>
      <w:r w:rsidRPr="003301AD">
        <w:rPr>
          <w:rFonts w:ascii="Calibri" w:hAnsi="Calibri" w:cs="Calibri"/>
        </w:rPr>
        <w:t>These young people want to be empowered to refer themselves into mental health services, rather than relying on fractured relationships with their parents, schools and other services to be referred into relevant services.</w:t>
      </w:r>
    </w:p>
    <w:p w:rsidR="007E7857" w:rsidRPr="003301AD" w:rsidP="00331149">
      <w:pPr>
        <w:pStyle w:val="BodyText"/>
        <w:numPr>
          <w:ilvl w:val="1"/>
          <w:numId w:val="18"/>
        </w:numPr>
        <w:rPr>
          <w:rFonts w:ascii="Calibri" w:hAnsi="Calibri" w:cs="Calibri"/>
        </w:rPr>
      </w:pPr>
      <w:r w:rsidRPr="003301AD">
        <w:rPr>
          <w:rFonts w:ascii="Calibri" w:hAnsi="Calibri" w:cs="Calibri"/>
        </w:rPr>
        <w:t>Their deep distrust of statutory systems also reduces their willingness to seek help from NHS CYPMHS or other statutory mental health services, and more likely to instead desire support from non-statutory services.</w:t>
      </w:r>
    </w:p>
    <w:p w:rsidR="007E7857" w:rsidRPr="003301AD" w:rsidP="00E22A05">
      <w:pPr>
        <w:pStyle w:val="ListBullet"/>
        <w:numPr>
          <w:ilvl w:val="0"/>
          <w:numId w:val="18"/>
        </w:numPr>
        <w:rPr>
          <w:rFonts w:ascii="Calibri" w:hAnsi="Calibri" w:cs="Calibri"/>
        </w:rPr>
      </w:pPr>
      <w:r w:rsidRPr="003301AD">
        <w:rPr>
          <w:rFonts w:ascii="Calibri" w:hAnsi="Calibri" w:cs="Calibri"/>
        </w:rPr>
        <w:t xml:space="preserve">Young people who have been excluded from school are also disproportionately likely to have experiences in </w:t>
      </w:r>
      <w:r w:rsidRPr="003301AD">
        <w:rPr>
          <w:rFonts w:ascii="Calibri" w:hAnsi="Calibri" w:cs="Calibri"/>
        </w:rPr>
        <w:t>care, and</w:t>
      </w:r>
      <w:r w:rsidRPr="003301AD">
        <w:rPr>
          <w:rFonts w:ascii="Calibri" w:hAnsi="Calibri" w:cs="Calibri"/>
        </w:rPr>
        <w:t xml:space="preserve"> interact with several statutory services via multiple statutory processes. Mental health services need stronger information sharing and joining up between relevant services for these young people.</w:t>
      </w:r>
    </w:p>
    <w:p w:rsidR="007E7857" w:rsidRPr="003301AD" w:rsidP="00C618F7">
      <w:pPr>
        <w:pStyle w:val="BodyText"/>
        <w:numPr>
          <w:ilvl w:val="0"/>
          <w:numId w:val="18"/>
        </w:numPr>
        <w:rPr>
          <w:rFonts w:ascii="Calibri" w:hAnsi="Calibri" w:cs="Calibri"/>
        </w:rPr>
      </w:pPr>
      <w:r w:rsidRPr="003301AD">
        <w:rPr>
          <w:rFonts w:ascii="Calibri" w:hAnsi="Calibri" w:cs="Calibri"/>
        </w:rPr>
        <w:t>Representation of the demographics of services users (e.g. being from different cultural backgrounds) and cultural understanding in staff for young people from marginalised backgrounds should also be prioritised. </w:t>
      </w:r>
    </w:p>
    <w:p w:rsidR="007E7857" w:rsidRPr="003301AD" w:rsidP="00867316">
      <w:pPr>
        <w:pStyle w:val="BodyText"/>
        <w:rPr>
          <w:rFonts w:ascii="Calibri" w:hAnsi="Calibri" w:cs="Calibri"/>
          <w:b/>
          <w:bCs/>
        </w:rPr>
      </w:pPr>
      <w:r w:rsidRPr="003301AD">
        <w:rPr>
          <w:rFonts w:ascii="Calibri" w:hAnsi="Calibri" w:cs="Calibri"/>
          <w:b/>
          <w:bCs/>
        </w:rPr>
        <w:t>What practical barriers affect joint working between education settings, local authorities, NHS services and voluntary and community sector organisations in supporting children and young people’s mental health, and how could these be addressed? </w:t>
      </w:r>
    </w:p>
    <w:p w:rsidR="007E7857" w:rsidRPr="003301AD" w:rsidP="00523167">
      <w:pPr>
        <w:pStyle w:val="BodyText"/>
        <w:numPr>
          <w:ilvl w:val="0"/>
          <w:numId w:val="18"/>
        </w:numPr>
        <w:rPr>
          <w:rFonts w:ascii="Calibri" w:hAnsi="Calibri" w:cs="Calibri"/>
        </w:rPr>
      </w:pPr>
      <w:r w:rsidRPr="003301AD">
        <w:rPr>
          <w:rFonts w:ascii="Calibri" w:hAnsi="Calibri" w:cs="Calibri"/>
        </w:rPr>
        <w:t>Professionals spoke about several barriers to joined up working:</w:t>
      </w:r>
    </w:p>
    <w:p w:rsidR="007E7857" w:rsidRPr="003301AD" w:rsidP="00523167">
      <w:pPr>
        <w:pStyle w:val="BodyText"/>
        <w:numPr>
          <w:ilvl w:val="1"/>
          <w:numId w:val="18"/>
        </w:numPr>
        <w:rPr>
          <w:rFonts w:ascii="Calibri" w:hAnsi="Calibri" w:cs="Calibri"/>
        </w:rPr>
      </w:pPr>
      <w:r w:rsidRPr="003301AD">
        <w:rPr>
          <w:rFonts w:ascii="Calibri" w:hAnsi="Calibri" w:cs="Calibri"/>
        </w:rPr>
        <w:t>It is difficult to find capacity for joined up working when they are otherwise stretched for resources.</w:t>
      </w:r>
    </w:p>
    <w:p w:rsidR="007E7857" w:rsidRPr="003301AD" w:rsidP="00523167">
      <w:pPr>
        <w:pStyle w:val="BodyText"/>
        <w:numPr>
          <w:ilvl w:val="1"/>
          <w:numId w:val="18"/>
        </w:numPr>
        <w:rPr>
          <w:rFonts w:ascii="Calibri" w:hAnsi="Calibri" w:cs="Calibri"/>
        </w:rPr>
      </w:pPr>
      <w:r w:rsidRPr="003301AD">
        <w:rPr>
          <w:rFonts w:ascii="Calibri" w:hAnsi="Calibri" w:cs="Calibri"/>
        </w:rPr>
        <w:t>It is rarely incentivised by commissioning and funding contracts. For example, sometimes KPIs that services are measured against incentivise the number of children and young people that service sees, and therefore disincentivises referring them onto another service, even if it may be more suitable.</w:t>
      </w:r>
    </w:p>
    <w:p w:rsidR="007E7857" w:rsidRPr="003301AD" w:rsidP="00523167">
      <w:pPr>
        <w:pStyle w:val="BodyText"/>
        <w:numPr>
          <w:ilvl w:val="1"/>
          <w:numId w:val="18"/>
        </w:numPr>
        <w:rPr>
          <w:rFonts w:ascii="Calibri" w:hAnsi="Calibri" w:cs="Calibri"/>
        </w:rPr>
      </w:pPr>
      <w:r w:rsidRPr="003301AD">
        <w:rPr>
          <w:rFonts w:ascii="Calibri" w:hAnsi="Calibri" w:cs="Calibri"/>
        </w:rPr>
        <w:t>Individual services have their own eligibility criteria which is often inconsistent with other services' eligibility criteria.</w:t>
      </w:r>
    </w:p>
    <w:p w:rsidR="007E7857" w:rsidRPr="003301AD" w:rsidP="00AB09D8">
      <w:pPr>
        <w:pStyle w:val="BodyText"/>
        <w:numPr>
          <w:ilvl w:val="1"/>
          <w:numId w:val="18"/>
        </w:numPr>
        <w:rPr>
          <w:rFonts w:ascii="Calibri" w:hAnsi="Calibri" w:cs="Calibri"/>
        </w:rPr>
      </w:pPr>
      <w:r w:rsidRPr="003301AD">
        <w:rPr>
          <w:rFonts w:ascii="Calibri" w:hAnsi="Calibri" w:cs="Calibri"/>
        </w:rPr>
        <w:t>There is some distrust between different types of mental health professionals, often prompted by a hierarchical narrative put forward by government.</w:t>
      </w:r>
    </w:p>
    <w:p w:rsidR="007E7857" w:rsidRPr="003301AD" w:rsidP="00AB09D8">
      <w:pPr>
        <w:pStyle w:val="BodyText"/>
        <w:numPr>
          <w:ilvl w:val="1"/>
          <w:numId w:val="18"/>
        </w:numPr>
        <w:rPr>
          <w:rFonts w:ascii="Calibri" w:hAnsi="Calibri" w:cs="Calibri"/>
        </w:rPr>
      </w:pPr>
      <w:r w:rsidRPr="003301AD">
        <w:rPr>
          <w:rFonts w:ascii="Calibri" w:hAnsi="Calibri" w:cs="Calibri"/>
        </w:rPr>
        <w:t>There is insufficient evidence on how to do joined up working.</w:t>
      </w:r>
    </w:p>
    <w:p w:rsidR="007E7857" w:rsidRPr="003301AD" w:rsidP="00AB09D8">
      <w:pPr>
        <w:pStyle w:val="BodyText"/>
        <w:numPr>
          <w:ilvl w:val="0"/>
          <w:numId w:val="18"/>
        </w:numPr>
        <w:rPr>
          <w:rFonts w:ascii="Calibri" w:hAnsi="Calibri" w:cs="Calibri"/>
        </w:rPr>
      </w:pPr>
      <w:r w:rsidRPr="003301AD">
        <w:rPr>
          <w:rFonts w:ascii="Calibri" w:hAnsi="Calibri" w:cs="Calibri"/>
        </w:rPr>
        <w:t>There are gaps during key transitions (e.g. moving from primary to secondary school or into adulthood).</w:t>
      </w:r>
    </w:p>
    <w:p w:rsidR="007E7857" w:rsidRPr="003301AD" w:rsidP="00BE3FFE">
      <w:pPr>
        <w:pStyle w:val="BodyText"/>
        <w:numPr>
          <w:ilvl w:val="0"/>
          <w:numId w:val="18"/>
        </w:numPr>
        <w:rPr>
          <w:rFonts w:ascii="Calibri" w:hAnsi="Calibri" w:cs="Calibri"/>
        </w:rPr>
      </w:pPr>
      <w:r w:rsidRPr="003301AD">
        <w:rPr>
          <w:rFonts w:ascii="Calibri" w:hAnsi="Calibri" w:cs="Calibri"/>
        </w:rPr>
        <w:t>There are not only barriers to joined up working across mental health services, but joint working between mental health services and non-mental health services that the young person is already engaging with (e.g. the care system, or disability support workers). Young people with a disability flagged that some relevant processes already exist (e.g. care education and treatment reviews) but are not effectively used.</w:t>
      </w:r>
    </w:p>
    <w:p w:rsidR="007E7857" w:rsidRPr="003301AD" w:rsidP="00867316">
      <w:pPr>
        <w:pStyle w:val="BodyText"/>
        <w:rPr>
          <w:rFonts w:ascii="Calibri" w:hAnsi="Calibri" w:cs="Calibri"/>
          <w:b/>
          <w:bCs/>
        </w:rPr>
      </w:pPr>
      <w:r w:rsidRPr="003301AD">
        <w:rPr>
          <w:rFonts w:ascii="Calibri" w:hAnsi="Calibri" w:cs="Calibri"/>
          <w:b/>
          <w:bCs/>
        </w:rPr>
        <w:t>Are there changes to commissioning and funding arrangements that would most improve the join up of local delivery of mental health support for children and young people? </w:t>
      </w:r>
    </w:p>
    <w:p w:rsidR="007E7857" w:rsidRPr="003301AD" w:rsidP="00867316">
      <w:pPr>
        <w:pStyle w:val="BodyText"/>
        <w:rPr>
          <w:rFonts w:ascii="Calibri" w:hAnsi="Calibri" w:cs="Calibri"/>
          <w:u w:val="single"/>
        </w:rPr>
      </w:pPr>
      <w:r w:rsidRPr="003301AD">
        <w:rPr>
          <w:rFonts w:ascii="Calibri" w:hAnsi="Calibri" w:cs="Calibri"/>
          <w:u w:val="single"/>
        </w:rPr>
        <w:t>Funding local systems change</w:t>
      </w:r>
    </w:p>
    <w:p w:rsidR="007E7857" w:rsidRPr="003301AD" w:rsidP="0089369E">
      <w:pPr>
        <w:pStyle w:val="BodyText"/>
        <w:numPr>
          <w:ilvl w:val="0"/>
          <w:numId w:val="18"/>
        </w:numPr>
        <w:rPr>
          <w:rFonts w:ascii="Calibri" w:hAnsi="Calibri" w:cs="Calibri"/>
        </w:rPr>
      </w:pPr>
      <w:r w:rsidRPr="003301AD">
        <w:rPr>
          <w:rFonts w:ascii="Calibri" w:hAnsi="Calibri" w:cs="Calibri"/>
        </w:rPr>
        <w:t xml:space="preserve">Focusing on funding systems change, would enable more young people to access the support that they need. This would require a shift away from focusing which </w:t>
      </w:r>
      <w:r w:rsidRPr="003301AD">
        <w:rPr>
          <w:rFonts w:ascii="Calibri" w:hAnsi="Calibri" w:cs="Calibri"/>
          <w:i/>
          <w:iCs/>
        </w:rPr>
        <w:t>interventions</w:t>
      </w:r>
      <w:r w:rsidRPr="003301AD">
        <w:rPr>
          <w:rFonts w:ascii="Calibri" w:hAnsi="Calibri" w:cs="Calibri"/>
        </w:rPr>
        <w:t xml:space="preserve"> are most effective, towards a focus on how local systems and networks can operate in a way that better responds to the needs of children and young people. </w:t>
      </w:r>
    </w:p>
    <w:p w:rsidR="007E7857" w:rsidRPr="003301AD" w:rsidP="0089369E">
      <w:pPr>
        <w:pStyle w:val="BodyText"/>
        <w:numPr>
          <w:ilvl w:val="0"/>
          <w:numId w:val="18"/>
        </w:numPr>
        <w:rPr>
          <w:rFonts w:ascii="Calibri" w:hAnsi="Calibri" w:cs="Calibri"/>
        </w:rPr>
      </w:pPr>
      <w:r w:rsidRPr="003301AD">
        <w:rPr>
          <w:rFonts w:ascii="Calibri" w:hAnsi="Calibri" w:cs="Calibri"/>
        </w:rPr>
        <w:t>Taking a place-led approach to systemic change would allow funders to address local barriers and develop a youth mental health system that is reflective of the specific needs of a community. A locally focused approach should not prevent learning across areas, and there should be opportunities for places to come together to share learning and best practice. Building a network of places through this approach, and joining them up, could result in an improved national picture.</w:t>
      </w:r>
    </w:p>
    <w:p w:rsidR="007E7857" w:rsidRPr="003301AD" w:rsidP="00F371D3">
      <w:pPr>
        <w:pStyle w:val="BodyText"/>
        <w:rPr>
          <w:rFonts w:ascii="Calibri" w:hAnsi="Calibri" w:cs="Calibri"/>
          <w:u w:val="single"/>
        </w:rPr>
      </w:pPr>
      <w:r w:rsidRPr="003301AD">
        <w:rPr>
          <w:rFonts w:ascii="Calibri" w:hAnsi="Calibri" w:cs="Calibri"/>
          <w:u w:val="single"/>
        </w:rPr>
        <w:t>Funding the ‘connective tissue’</w:t>
      </w:r>
    </w:p>
    <w:p w:rsidR="007E7857" w:rsidRPr="003301AD" w:rsidP="00523167">
      <w:pPr>
        <w:pStyle w:val="BodyText"/>
        <w:numPr>
          <w:ilvl w:val="0"/>
          <w:numId w:val="18"/>
        </w:numPr>
        <w:rPr>
          <w:rFonts w:ascii="Calibri" w:hAnsi="Calibri" w:cs="Calibri"/>
        </w:rPr>
      </w:pPr>
      <w:r w:rsidRPr="003301AD">
        <w:rPr>
          <w:rFonts w:ascii="Calibri" w:hAnsi="Calibri" w:cs="Calibri"/>
        </w:rPr>
        <w:t xml:space="preserve">Alongside service delivery, there needs to be investment in the infrastructure that enables collaboration between organisations that are working to improve young people’s mental health and wellbeing, that we’re describing as the ‘connective tissue’. A holistic view of wellbeing should be applied here, and funders should seek to connect the organisations that are important in enabling children and young people to ‘have a good childhood’. The kinds of infrastructure needed will vary across places, but might include signposting services, communities of practice, or data sharing platforms. </w:t>
      </w:r>
    </w:p>
    <w:p w:rsidR="007E7857" w:rsidRPr="003301AD" w:rsidP="00523167">
      <w:pPr>
        <w:pStyle w:val="BodyText"/>
        <w:numPr>
          <w:ilvl w:val="0"/>
          <w:numId w:val="18"/>
        </w:numPr>
        <w:rPr>
          <w:rFonts w:ascii="Calibri" w:hAnsi="Calibri" w:cs="Calibri"/>
        </w:rPr>
      </w:pPr>
      <w:r w:rsidRPr="003301AD">
        <w:rPr>
          <w:rFonts w:ascii="Calibri" w:hAnsi="Calibri" w:cs="Calibri"/>
        </w:rPr>
        <w:t>In some cases, enabling collaboration might involve funders changing their own practices. For example, designing funding rounds to incentivise collaboration, joint bids, or passing referrals on to more appropriate services.</w:t>
      </w:r>
    </w:p>
    <w:p w:rsidR="007E7857" w:rsidRPr="003301AD" w:rsidP="00F371D3">
      <w:pPr>
        <w:pStyle w:val="BodyText"/>
        <w:rPr>
          <w:rFonts w:ascii="Calibri" w:hAnsi="Calibri" w:cs="Calibri"/>
          <w:u w:val="single"/>
        </w:rPr>
      </w:pPr>
      <w:r w:rsidRPr="003301AD">
        <w:rPr>
          <w:rFonts w:ascii="Calibri" w:hAnsi="Calibri" w:cs="Calibri"/>
          <w:u w:val="single"/>
        </w:rPr>
        <w:t>Funders should play a greater role in working with services to generate evidence</w:t>
      </w:r>
    </w:p>
    <w:p w:rsidR="007E7857" w:rsidRPr="003301AD" w:rsidP="00523167">
      <w:pPr>
        <w:pStyle w:val="BodyText"/>
        <w:numPr>
          <w:ilvl w:val="0"/>
          <w:numId w:val="18"/>
        </w:numPr>
        <w:rPr>
          <w:rFonts w:ascii="Calibri" w:hAnsi="Calibri" w:cs="Calibri"/>
        </w:rPr>
      </w:pPr>
      <w:r w:rsidRPr="003301AD">
        <w:rPr>
          <w:rFonts w:ascii="Calibri" w:hAnsi="Calibri" w:cs="Calibri"/>
        </w:rPr>
        <w:t xml:space="preserve">Funders want to invest in interventions and ways of working that are effective. At the same time, there is not capacity in the system to generate that evidence. Alongside funding delivery, funders should invest in the evaluation of services to better develop the evidence base. </w:t>
      </w:r>
    </w:p>
    <w:p w:rsidR="007E7857" w:rsidRPr="003301AD" w:rsidP="00523167">
      <w:pPr>
        <w:pStyle w:val="BodyText"/>
        <w:numPr>
          <w:ilvl w:val="0"/>
          <w:numId w:val="18"/>
        </w:numPr>
        <w:rPr>
          <w:rFonts w:ascii="Calibri" w:hAnsi="Calibri" w:cs="Calibri"/>
        </w:rPr>
      </w:pPr>
      <w:r w:rsidRPr="003301AD">
        <w:rPr>
          <w:rFonts w:ascii="Calibri" w:hAnsi="Calibri" w:cs="Calibri"/>
        </w:rPr>
        <w:t xml:space="preserve">This should not be limited to the evaluation and development of new interventions but take a broader approach to building system-level evidence, as outlined above. Strengthening our evidence </w:t>
      </w:r>
      <w:r w:rsidRPr="003301AD">
        <w:rPr>
          <w:rFonts w:ascii="Calibri" w:hAnsi="Calibri" w:cs="Calibri"/>
        </w:rPr>
        <w:t>base and sharpening our understanding of how to adapt local systems to the needs of children and young people will be central to overcoming the systemic challenges we face.</w:t>
      </w:r>
    </w:p>
    <w:p w:rsidR="007E7857" w:rsidRPr="003301AD" w:rsidP="00F371D3">
      <w:pPr>
        <w:pStyle w:val="BodyText"/>
        <w:rPr>
          <w:rFonts w:ascii="Calibri" w:hAnsi="Calibri" w:cs="Calibri"/>
        </w:rPr>
      </w:pPr>
    </w:p>
    <w:p w:rsidR="007E7857" w:rsidRPr="003301AD" w:rsidP="00BB7A8D">
      <w:pPr>
        <w:pStyle w:val="BodyText"/>
        <w:rPr>
          <w:rFonts w:ascii="Calibri" w:hAnsi="Calibri" w:cs="Calibri"/>
        </w:rPr>
      </w:pPr>
      <w:r w:rsidRPr="003301AD">
        <w:rPr>
          <w:rFonts w:ascii="Calibri" w:hAnsi="Calibri" w:cs="Calibri"/>
          <w:i/>
          <w:iCs/>
        </w:rPr>
        <w:t>March 2026</w:t>
      </w:r>
    </w:p>
    <w:sectPr w:rsidSect="00D07B91">
      <w:pgSz w:w="11906" w:h="16838"/>
      <w:pgMar w:top="1418" w:right="1134" w:bottom="1418" w:left="1134" w:header="567" w:footer="567"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808E65AC"/>
    <w:lvl w:ilvl="0">
      <w:start w:val="1"/>
      <w:numFmt w:val="decimal"/>
      <w:lvlText w:val="%1."/>
      <w:lvlJc w:val="left"/>
      <w:pPr>
        <w:tabs>
          <w:tab w:val="num" w:pos="1492"/>
        </w:tabs>
        <w:ind w:left="1492" w:hanging="360"/>
      </w:pPr>
    </w:lvl>
  </w:abstractNum>
  <w:abstractNum w:abstractNumId="1">
    <w:nsid w:val="FFFFFF7D"/>
    <w:multiLevelType w:val="singleLevel"/>
    <w:tmpl w:val="6AA0F93A"/>
    <w:lvl w:ilvl="0">
      <w:start w:val="1"/>
      <w:numFmt w:val="decimal"/>
      <w:lvlText w:val="%1."/>
      <w:lvlJc w:val="left"/>
      <w:pPr>
        <w:tabs>
          <w:tab w:val="num" w:pos="1209"/>
        </w:tabs>
        <w:ind w:left="1209" w:hanging="360"/>
      </w:pPr>
    </w:lvl>
  </w:abstractNum>
  <w:abstractNum w:abstractNumId="2">
    <w:nsid w:val="FFFFFF7E"/>
    <w:multiLevelType w:val="singleLevel"/>
    <w:tmpl w:val="C53E7052"/>
    <w:lvl w:ilvl="0">
      <w:start w:val="1"/>
      <w:numFmt w:val="decimal"/>
      <w:lvlText w:val="%1."/>
      <w:lvlJc w:val="left"/>
      <w:pPr>
        <w:tabs>
          <w:tab w:val="num" w:pos="926"/>
        </w:tabs>
        <w:ind w:left="926" w:hanging="360"/>
      </w:pPr>
    </w:lvl>
  </w:abstractNum>
  <w:abstractNum w:abstractNumId="3">
    <w:nsid w:val="FFFFFF7F"/>
    <w:multiLevelType w:val="singleLevel"/>
    <w:tmpl w:val="CF4AED42"/>
    <w:lvl w:ilvl="0">
      <w:start w:val="1"/>
      <w:numFmt w:val="decimal"/>
      <w:lvlText w:val="%1."/>
      <w:lvlJc w:val="left"/>
      <w:pPr>
        <w:tabs>
          <w:tab w:val="num" w:pos="643"/>
        </w:tabs>
        <w:ind w:left="643" w:hanging="360"/>
      </w:pPr>
    </w:lvl>
  </w:abstractNum>
  <w:abstractNum w:abstractNumId="4">
    <w:nsid w:val="FFFFFF80"/>
    <w:multiLevelType w:val="singleLevel"/>
    <w:tmpl w:val="B71083A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C50029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42A070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E94A44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AF8AC34"/>
    <w:lvl w:ilvl="0">
      <w:start w:val="1"/>
      <w:numFmt w:val="decimal"/>
      <w:lvlText w:val="%1."/>
      <w:lvlJc w:val="left"/>
      <w:pPr>
        <w:tabs>
          <w:tab w:val="num" w:pos="360"/>
        </w:tabs>
        <w:ind w:left="360" w:hanging="360"/>
      </w:pPr>
    </w:lvl>
  </w:abstractNum>
  <w:abstractNum w:abstractNumId="9">
    <w:nsid w:val="FFFFFF89"/>
    <w:multiLevelType w:val="singleLevel"/>
    <w:tmpl w:val="590EE4EA"/>
    <w:lvl w:ilvl="0">
      <w:start w:val="1"/>
      <w:numFmt w:val="bullet"/>
      <w:lvlText w:val=""/>
      <w:lvlJc w:val="left"/>
      <w:pPr>
        <w:tabs>
          <w:tab w:val="num" w:pos="360"/>
        </w:tabs>
        <w:ind w:left="360" w:hanging="360"/>
      </w:pPr>
      <w:rPr>
        <w:rFonts w:ascii="Symbol" w:hAnsi="Symbol" w:hint="default"/>
      </w:rPr>
    </w:lvl>
  </w:abstractNum>
  <w:abstractNum w:abstractNumId="10">
    <w:nsid w:val="33173CBF"/>
    <w:multiLevelType w:val="hybridMultilevel"/>
    <w:tmpl w:val="F58EDB34"/>
    <w:lvl w:ilvl="0">
      <w:start w:val="0"/>
      <w:numFmt w:val="bullet"/>
      <w:lvlText w:val=""/>
      <w:lvlJc w:val="left"/>
      <w:pPr>
        <w:ind w:left="720" w:hanging="360"/>
      </w:pPr>
      <w:rPr>
        <w:rFonts w:ascii="Symbol" w:hAnsi="Symbol"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CAF4CEB"/>
    <w:multiLevelType w:val="multilevel"/>
    <w:tmpl w:val="3FC4CA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84423CA"/>
    <w:multiLevelType w:val="multilevel"/>
    <w:tmpl w:val="FE882C88"/>
    <w:styleLink w:val="ListNumbers"/>
    <w:lvl w:ilvl="0">
      <w:start w:val="1"/>
      <w:numFmt w:val="decimal"/>
      <w:pStyle w:val="ListNumber"/>
      <w:lvlText w:val="%1."/>
      <w:lvlJc w:val="left"/>
      <w:pPr>
        <w:ind w:left="567" w:hanging="283"/>
      </w:pPr>
      <w:rPr>
        <w:rFonts w:hint="default"/>
      </w:rPr>
    </w:lvl>
    <w:lvl w:ilvl="1">
      <w:start w:val="1"/>
      <w:numFmt w:val="decimal"/>
      <w:lvlText w:val="%2."/>
      <w:lvlJc w:val="left"/>
      <w:pPr>
        <w:ind w:left="851" w:hanging="283"/>
      </w:pPr>
      <w:rPr>
        <w:rFonts w:hint="default"/>
      </w:rPr>
    </w:lvl>
    <w:lvl w:ilvl="2">
      <w:start w:val="1"/>
      <w:numFmt w:val="none"/>
      <w:lvlJc w:val="left"/>
      <w:pPr>
        <w:ind w:left="1135" w:hanging="283"/>
      </w:pPr>
      <w:rPr>
        <w:rFonts w:hint="default"/>
      </w:rPr>
    </w:lvl>
    <w:lvl w:ilvl="3">
      <w:start w:val="1"/>
      <w:numFmt w:val="none"/>
      <w:lvlJc w:val="left"/>
      <w:pPr>
        <w:ind w:left="1419" w:hanging="283"/>
      </w:pPr>
      <w:rPr>
        <w:rFonts w:hint="default"/>
      </w:rPr>
    </w:lvl>
    <w:lvl w:ilvl="4">
      <w:start w:val="1"/>
      <w:numFmt w:val="none"/>
      <w:lvlJc w:val="left"/>
      <w:pPr>
        <w:ind w:left="1703" w:hanging="283"/>
      </w:pPr>
      <w:rPr>
        <w:rFonts w:hint="default"/>
      </w:rPr>
    </w:lvl>
    <w:lvl w:ilvl="5">
      <w:start w:val="1"/>
      <w:numFmt w:val="none"/>
      <w:lvlJc w:val="left"/>
      <w:pPr>
        <w:ind w:left="1987" w:hanging="283"/>
      </w:pPr>
      <w:rPr>
        <w:rFonts w:hint="default"/>
      </w:rPr>
    </w:lvl>
    <w:lvl w:ilvl="6">
      <w:start w:val="1"/>
      <w:numFmt w:val="none"/>
      <w:lvlJc w:val="left"/>
      <w:pPr>
        <w:ind w:left="2271" w:hanging="283"/>
      </w:pPr>
      <w:rPr>
        <w:rFonts w:hint="default"/>
      </w:rPr>
    </w:lvl>
    <w:lvl w:ilvl="7">
      <w:start w:val="1"/>
      <w:numFmt w:val="none"/>
      <w:lvlJc w:val="left"/>
      <w:pPr>
        <w:ind w:left="2555" w:hanging="283"/>
      </w:pPr>
      <w:rPr>
        <w:rFonts w:hint="default"/>
      </w:rPr>
    </w:lvl>
    <w:lvl w:ilvl="8">
      <w:start w:val="1"/>
      <w:numFmt w:val="none"/>
      <w:lvlJc w:val="left"/>
      <w:pPr>
        <w:ind w:left="2839" w:hanging="283"/>
      </w:pPr>
      <w:rPr>
        <w:rFonts w:hint="default"/>
      </w:rPr>
    </w:lvl>
  </w:abstractNum>
  <w:abstractNum w:abstractNumId="13">
    <w:nsid w:val="5FEA6F3F"/>
    <w:multiLevelType w:val="multilevel"/>
    <w:tmpl w:val="FE882C88"/>
    <w:numStyleLink w:val="ListNumbers"/>
  </w:abstractNum>
  <w:abstractNum w:abstractNumId="14">
    <w:nsid w:val="6E976AC6"/>
    <w:multiLevelType w:val="multilevel"/>
    <w:tmpl w:val="117C2E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1994E63"/>
    <w:multiLevelType w:val="multilevel"/>
    <w:tmpl w:val="4CBC2320"/>
    <w:styleLink w:val="ListBullets"/>
    <w:lvl w:ilvl="0">
      <w:start w:val="1"/>
      <w:numFmt w:val="bullet"/>
      <w:pStyle w:val="ListBullet"/>
      <w:lvlText w:val=""/>
      <w:lvlJc w:val="left"/>
      <w:pPr>
        <w:ind w:left="567" w:hanging="283"/>
      </w:pPr>
      <w:rPr>
        <w:rFonts w:ascii="Symbol" w:hAnsi="Symbol" w:hint="default"/>
      </w:rPr>
    </w:lvl>
    <w:lvl w:ilvl="1">
      <w:start w:val="1"/>
      <w:numFmt w:val="bullet"/>
      <w:lvlText w:val=""/>
      <w:lvlJc w:val="left"/>
      <w:pPr>
        <w:ind w:left="851" w:hanging="283"/>
      </w:pPr>
      <w:rPr>
        <w:rFonts w:ascii="Symbol" w:hAnsi="Symbol" w:hint="default"/>
      </w:rPr>
    </w:lvl>
    <w:lvl w:ilvl="2">
      <w:start w:val="1"/>
      <w:numFmt w:val="none"/>
      <w:lvlText w:val="%3"/>
      <w:lvlJc w:val="left"/>
      <w:pPr>
        <w:ind w:left="1135" w:hanging="283"/>
      </w:pPr>
      <w:rPr>
        <w:rFonts w:hint="default"/>
      </w:rPr>
    </w:lvl>
    <w:lvl w:ilvl="3">
      <w:start w:val="1"/>
      <w:numFmt w:val="none"/>
      <w:lvlJc w:val="left"/>
      <w:pPr>
        <w:ind w:left="1419" w:hanging="283"/>
      </w:pPr>
      <w:rPr>
        <w:rFonts w:hint="default"/>
      </w:rPr>
    </w:lvl>
    <w:lvl w:ilvl="4">
      <w:start w:val="1"/>
      <w:numFmt w:val="none"/>
      <w:lvlJc w:val="left"/>
      <w:pPr>
        <w:ind w:left="1703" w:hanging="283"/>
      </w:pPr>
      <w:rPr>
        <w:rFonts w:hint="default"/>
      </w:rPr>
    </w:lvl>
    <w:lvl w:ilvl="5">
      <w:start w:val="1"/>
      <w:numFmt w:val="none"/>
      <w:lvlJc w:val="left"/>
      <w:pPr>
        <w:ind w:left="1987" w:hanging="283"/>
      </w:pPr>
      <w:rPr>
        <w:rFonts w:hint="default"/>
      </w:rPr>
    </w:lvl>
    <w:lvl w:ilvl="6">
      <w:start w:val="1"/>
      <w:numFmt w:val="none"/>
      <w:lvlJc w:val="left"/>
      <w:pPr>
        <w:ind w:left="2271" w:hanging="283"/>
      </w:pPr>
      <w:rPr>
        <w:rFonts w:hint="default"/>
      </w:rPr>
    </w:lvl>
    <w:lvl w:ilvl="7">
      <w:start w:val="1"/>
      <w:numFmt w:val="none"/>
      <w:lvlJc w:val="left"/>
      <w:pPr>
        <w:ind w:left="2555" w:hanging="283"/>
      </w:pPr>
      <w:rPr>
        <w:rFonts w:hint="default"/>
      </w:rPr>
    </w:lvl>
    <w:lvl w:ilvl="8">
      <w:start w:val="1"/>
      <w:numFmt w:val="none"/>
      <w:lvlJc w:val="left"/>
      <w:pPr>
        <w:ind w:left="2839" w:hanging="283"/>
      </w:pPr>
      <w:rPr>
        <w:rFonts w:hint="default"/>
      </w:rPr>
    </w:lvl>
  </w:abstractNum>
  <w:abstractNum w:abstractNumId="16">
    <w:nsid w:val="74FE7459"/>
    <w:multiLevelType w:val="multilevel"/>
    <w:tmpl w:val="742AD0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C761CA3"/>
    <w:multiLevelType w:val="multilevel"/>
    <w:tmpl w:val="FE882C88"/>
    <w:numStyleLink w:val="ListNumbers"/>
  </w:abstractNum>
  <w:abstractNum w:abstractNumId="18">
    <w:nsid w:val="7D6F63D5"/>
    <w:multiLevelType w:val="multilevel"/>
    <w:tmpl w:val="FE882C88"/>
    <w:numStyleLink w:val="ListNumbers"/>
  </w:abstractNum>
  <w:num w:numId="1">
    <w:abstractNumId w:val="9"/>
  </w:num>
  <w:num w:numId="2">
    <w:abstractNumId w:val="15"/>
  </w:num>
  <w:num w:numId="3">
    <w:abstractNumId w:val="17"/>
  </w:num>
  <w:num w:numId="4">
    <w:abstractNumId w:val="8"/>
  </w:num>
  <w:num w:numId="5">
    <w:abstractNumId w:val="12"/>
  </w:num>
  <w:num w:numId="6">
    <w:abstractNumId w:val="18"/>
  </w:num>
  <w:num w:numId="7">
    <w:abstractNumId w:val="13"/>
  </w:num>
  <w:num w:numId="8">
    <w:abstractNumId w:val="7"/>
  </w:num>
  <w:num w:numId="9">
    <w:abstractNumId w:val="6"/>
  </w:num>
  <w:num w:numId="10">
    <w:abstractNumId w:val="5"/>
  </w:num>
  <w:num w:numId="11">
    <w:abstractNumId w:val="4"/>
  </w:num>
  <w:num w:numId="12">
    <w:abstractNumId w:val="3"/>
  </w:num>
  <w:num w:numId="13">
    <w:abstractNumId w:val="2"/>
  </w:num>
  <w:num w:numId="14">
    <w:abstractNumId w:val="1"/>
  </w:num>
  <w:num w:numId="15">
    <w:abstractNumId w:val="0"/>
  </w:num>
  <w:num w:numId="16">
    <w:abstractNumId w:val="16"/>
  </w:num>
  <w:num w:numId="17">
    <w:abstractNumId w:val="11"/>
  </w:num>
  <w:num w:numId="18">
    <w:abstractNumId w:val="14"/>
  </w:num>
  <w:num w:numId="19">
    <w:abstractNumId w:val="10"/>
  </w:num>
  <w:num w:numId="20">
    <w:abstractNumId w:val="13"/>
    <w:lvlOverride w:ilvl="0">
      <w:lvl w:ilvl="0">
        <w:start w:val="1"/>
        <w:numFmt w:val="decimal"/>
        <w:pStyle w:val="ListNumber"/>
        <w:lvlText w:val="%1."/>
        <w:lvlJc w:val="left"/>
        <w:pPr>
          <w:ind w:left="283" w:hanging="283"/>
        </w:pPr>
        <w:rPr>
          <w:rFonts w:hint="default"/>
          <w:b/>
          <w:bCs/>
        </w:rPr>
      </w:lvl>
    </w:lvlOverride>
    <w:lvlOverride w:ilvl="1">
      <w:lvl w:ilvl="1">
        <w:start w:val="1"/>
        <w:numFmt w:val="decimal"/>
        <w:lvlText w:val="%2."/>
        <w:lvlJc w:val="left"/>
        <w:pPr>
          <w:ind w:left="851" w:hanging="283"/>
        </w:pPr>
        <w:rPr>
          <w:rFonts w:hint="default"/>
        </w:rPr>
      </w:lvl>
    </w:lvlOverride>
    <w:lvlOverride w:ilvl="2">
      <w:lvl w:ilvl="2">
        <w:start w:val="1"/>
        <w:numFmt w:val="none"/>
        <w:lvlJc w:val="left"/>
        <w:pPr>
          <w:ind w:left="1135" w:hanging="283"/>
        </w:pPr>
        <w:rPr>
          <w:rFonts w:hint="default"/>
        </w:rPr>
      </w:lvl>
    </w:lvlOverride>
    <w:lvlOverride w:ilvl="3">
      <w:lvl w:ilvl="3">
        <w:start w:val="1"/>
        <w:numFmt w:val="none"/>
        <w:lvlJc w:val="left"/>
        <w:pPr>
          <w:ind w:left="1419" w:hanging="283"/>
        </w:pPr>
        <w:rPr>
          <w:rFonts w:hint="default"/>
        </w:rPr>
      </w:lvl>
    </w:lvlOverride>
    <w:lvlOverride w:ilvl="4">
      <w:lvl w:ilvl="4">
        <w:start w:val="1"/>
        <w:numFmt w:val="none"/>
        <w:lvlJc w:val="left"/>
        <w:pPr>
          <w:ind w:left="1703" w:hanging="283"/>
        </w:pPr>
        <w:rPr>
          <w:rFonts w:hint="default"/>
        </w:rPr>
      </w:lvl>
    </w:lvlOverride>
    <w:lvlOverride w:ilvl="5">
      <w:lvl w:ilvl="5">
        <w:start w:val="1"/>
        <w:numFmt w:val="none"/>
        <w:lvlJc w:val="left"/>
        <w:pPr>
          <w:ind w:left="1987" w:hanging="283"/>
        </w:pPr>
        <w:rPr>
          <w:rFonts w:hint="default"/>
        </w:rPr>
      </w:lvl>
    </w:lvlOverride>
    <w:lvlOverride w:ilvl="6">
      <w:lvl w:ilvl="6">
        <w:start w:val="1"/>
        <w:numFmt w:val="none"/>
        <w:lvlJc w:val="left"/>
        <w:pPr>
          <w:ind w:left="2271" w:hanging="283"/>
        </w:pPr>
        <w:rPr>
          <w:rFonts w:hint="default"/>
        </w:rPr>
      </w:lvl>
    </w:lvlOverride>
    <w:lvlOverride w:ilvl="7">
      <w:lvl w:ilvl="7">
        <w:start w:val="1"/>
        <w:numFmt w:val="none"/>
        <w:lvlJc w:val="left"/>
        <w:pPr>
          <w:ind w:left="2555" w:hanging="283"/>
        </w:pPr>
        <w:rPr>
          <w:rFonts w:hint="default"/>
        </w:rPr>
      </w:lvl>
    </w:lvlOverride>
    <w:lvlOverride w:ilvl="8">
      <w:lvl w:ilvl="8">
        <w:start w:val="1"/>
        <w:numFmt w:val="none"/>
        <w:lvlJc w:val="left"/>
        <w:pPr>
          <w:ind w:left="2839" w:hanging="283"/>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5" w:unhideWhenUsed="1" w:qFormat="1"/>
    <w:lsdException w:name="List Number" w:uiPriority="15"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49" w:qFormat="1"/>
    <w:lsdException w:name="Closing" w:semiHidden="1" w:unhideWhenUsed="1"/>
    <w:lsdException w:name="Signature" w:semiHidden="1" w:unhideWhenUsed="1"/>
    <w:lsdException w:name="Default Paragraph Font" w:semiHidden="1" w:uiPriority="1" w:unhideWhenUsed="1"/>
    <w:lsdException w:name="Body Text" w:semiHidden="1" w:uiPriority="14"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semiHidden/>
    <w:qFormat/>
    <w:rsid w:val="004B69B6"/>
    <w:pPr>
      <w:spacing w:after="200"/>
    </w:pPr>
  </w:style>
  <w:style w:type="paragraph" w:styleId="Heading1">
    <w:name w:val="heading 1"/>
    <w:basedOn w:val="BaseHeading"/>
    <w:next w:val="BodyText"/>
    <w:link w:val="Heading1Char"/>
    <w:uiPriority w:val="9"/>
    <w:qFormat/>
    <w:rsid w:val="0020544C"/>
    <w:pPr>
      <w:pageBreakBefore/>
      <w:spacing w:after="1500"/>
      <w:outlineLvl w:val="0"/>
    </w:pPr>
    <w:rPr>
      <w:rFonts w:eastAsiaTheme="majorEastAsia" w:cstheme="majorBidi"/>
      <w:color w:val="000000" w:themeColor="text1"/>
      <w:sz w:val="40"/>
      <w:szCs w:val="32"/>
    </w:rPr>
  </w:style>
  <w:style w:type="paragraph" w:styleId="Heading2">
    <w:name w:val="heading 2"/>
    <w:basedOn w:val="BaseHeading"/>
    <w:next w:val="BodyText"/>
    <w:link w:val="Heading2Char"/>
    <w:uiPriority w:val="9"/>
    <w:unhideWhenUsed/>
    <w:qFormat/>
    <w:rsid w:val="006F6466"/>
    <w:pPr>
      <w:spacing w:after="200"/>
      <w:outlineLvl w:val="1"/>
    </w:pPr>
    <w:rPr>
      <w:rFonts w:eastAsiaTheme="majorEastAsia" w:cstheme="majorBidi"/>
      <w:b/>
      <w:color w:val="666666"/>
      <w:sz w:val="32"/>
      <w:szCs w:val="26"/>
    </w:rPr>
  </w:style>
  <w:style w:type="paragraph" w:styleId="Heading3">
    <w:name w:val="heading 3"/>
    <w:basedOn w:val="BaseHeading"/>
    <w:next w:val="BodyText"/>
    <w:link w:val="Heading3Char"/>
    <w:uiPriority w:val="9"/>
    <w:unhideWhenUsed/>
    <w:qFormat/>
    <w:rsid w:val="00E53ABA"/>
    <w:pPr>
      <w:spacing w:after="200"/>
      <w:outlineLvl w:val="2"/>
    </w:pPr>
    <w:rPr>
      <w:rFonts w:eastAsiaTheme="majorEastAsia" w:cstheme="majorBidi"/>
      <w:b/>
      <w:bCs/>
      <w:color w:val="000000" w:themeColor="text1"/>
      <w:sz w:val="24"/>
      <w:szCs w:val="24"/>
    </w:rPr>
  </w:style>
  <w:style w:type="paragraph" w:styleId="Heading4">
    <w:name w:val="heading 4"/>
    <w:basedOn w:val="Normal"/>
    <w:next w:val="Normal"/>
    <w:link w:val="Heading4Char"/>
    <w:uiPriority w:val="9"/>
    <w:semiHidden/>
    <w:qFormat/>
    <w:rsid w:val="00B007AB"/>
    <w:pPr>
      <w:keepNext/>
      <w:keepLines/>
      <w:spacing w:before="40" w:after="0"/>
      <w:outlineLvl w:val="3"/>
    </w:pPr>
    <w:rPr>
      <w:rFonts w:asciiTheme="majorHAnsi" w:eastAsiaTheme="majorEastAsia" w:hAnsiTheme="majorHAnsi" w:cstheme="majorBidi"/>
      <w:i/>
      <w:iCs/>
      <w:color w:val="4C1B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BaseText"/>
    <w:link w:val="BodyTextChar"/>
    <w:uiPriority w:val="14"/>
    <w:unhideWhenUsed/>
    <w:qFormat/>
    <w:rsid w:val="00B007AB"/>
    <w:pPr>
      <w:spacing w:after="200"/>
    </w:pPr>
  </w:style>
  <w:style w:type="character" w:customStyle="1" w:styleId="BodyTextChar">
    <w:name w:val="Body Text Char"/>
    <w:basedOn w:val="DefaultParagraphFont"/>
    <w:link w:val="BodyText"/>
    <w:uiPriority w:val="14"/>
    <w:rsid w:val="00B007AB"/>
  </w:style>
  <w:style w:type="character" w:customStyle="1" w:styleId="Heading1Char">
    <w:name w:val="Heading 1 Char"/>
    <w:basedOn w:val="DefaultParagraphFont"/>
    <w:link w:val="Heading1"/>
    <w:uiPriority w:val="9"/>
    <w:rsid w:val="0020544C"/>
    <w:rPr>
      <w:rFonts w:asciiTheme="majorHAnsi" w:eastAsiaTheme="majorEastAsia" w:hAnsiTheme="majorHAnsi" w:cstheme="majorBidi"/>
      <w:color w:val="000000" w:themeColor="text1"/>
      <w:sz w:val="40"/>
      <w:szCs w:val="32"/>
    </w:rPr>
  </w:style>
  <w:style w:type="character" w:customStyle="1" w:styleId="Heading2Char">
    <w:name w:val="Heading 2 Char"/>
    <w:basedOn w:val="DefaultParagraphFont"/>
    <w:link w:val="Heading2"/>
    <w:uiPriority w:val="9"/>
    <w:rsid w:val="006F6466"/>
    <w:rPr>
      <w:rFonts w:asciiTheme="majorHAnsi" w:eastAsiaTheme="majorEastAsia" w:hAnsiTheme="majorHAnsi" w:cstheme="majorBidi"/>
      <w:b/>
      <w:color w:val="666666"/>
      <w:sz w:val="32"/>
      <w:szCs w:val="26"/>
    </w:rPr>
  </w:style>
  <w:style w:type="character" w:customStyle="1" w:styleId="Heading3Char">
    <w:name w:val="Heading 3 Char"/>
    <w:basedOn w:val="DefaultParagraphFont"/>
    <w:link w:val="Heading3"/>
    <w:uiPriority w:val="9"/>
    <w:rsid w:val="00E53ABA"/>
    <w:rPr>
      <w:rFonts w:asciiTheme="majorHAnsi" w:eastAsiaTheme="majorEastAsia" w:hAnsiTheme="majorHAnsi" w:cstheme="majorBidi"/>
      <w:b/>
      <w:bCs/>
      <w:color w:val="000000" w:themeColor="text1"/>
      <w:sz w:val="24"/>
      <w:szCs w:val="24"/>
    </w:rPr>
  </w:style>
  <w:style w:type="character" w:customStyle="1" w:styleId="Heading4Char">
    <w:name w:val="Heading 4 Char"/>
    <w:basedOn w:val="DefaultParagraphFont"/>
    <w:link w:val="Heading4"/>
    <w:uiPriority w:val="9"/>
    <w:semiHidden/>
    <w:rsid w:val="006F6466"/>
    <w:rPr>
      <w:rFonts w:asciiTheme="majorHAnsi" w:eastAsiaTheme="majorEastAsia" w:hAnsiTheme="majorHAnsi" w:cstheme="majorBidi"/>
      <w:i/>
      <w:iCs/>
      <w:color w:val="4C1B61" w:themeColor="accent1" w:themeShade="BF"/>
    </w:rPr>
  </w:style>
  <w:style w:type="paragraph" w:styleId="Title">
    <w:name w:val="Title"/>
    <w:basedOn w:val="BaseHeading"/>
    <w:next w:val="Subtitle"/>
    <w:link w:val="TitleChar"/>
    <w:uiPriority w:val="49"/>
    <w:qFormat/>
    <w:rsid w:val="00ED6BB7"/>
    <w:pPr>
      <w:spacing w:after="200"/>
    </w:pPr>
    <w:rPr>
      <w:rFonts w:eastAsiaTheme="majorEastAsia" w:cstheme="majorBidi"/>
      <w:color w:val="881866" w:themeColor="accent5"/>
      <w:sz w:val="60"/>
      <w:szCs w:val="56"/>
    </w:rPr>
  </w:style>
  <w:style w:type="character" w:customStyle="1" w:styleId="TitleChar">
    <w:name w:val="Title Char"/>
    <w:basedOn w:val="DefaultParagraphFont"/>
    <w:link w:val="Title"/>
    <w:uiPriority w:val="49"/>
    <w:rsid w:val="00ED6BB7"/>
    <w:rPr>
      <w:rFonts w:asciiTheme="majorHAnsi" w:eastAsiaTheme="majorEastAsia" w:hAnsiTheme="majorHAnsi" w:cstheme="majorBidi"/>
      <w:color w:val="881866" w:themeColor="accent5"/>
      <w:sz w:val="60"/>
      <w:szCs w:val="56"/>
    </w:rPr>
  </w:style>
  <w:style w:type="paragraph" w:styleId="Subtitle">
    <w:name w:val="Subtitle"/>
    <w:basedOn w:val="BaseHeading"/>
    <w:next w:val="BodyText"/>
    <w:link w:val="SubtitleChar"/>
    <w:uiPriority w:val="50"/>
    <w:qFormat/>
    <w:rsid w:val="00B007AB"/>
    <w:pPr>
      <w:numPr>
        <w:ilvl w:val="1"/>
      </w:numPr>
      <w:spacing w:after="200"/>
    </w:pPr>
    <w:rPr>
      <w:rFonts w:eastAsiaTheme="minorEastAsia"/>
      <w:b/>
      <w:color w:val="666666"/>
      <w:sz w:val="32"/>
    </w:rPr>
  </w:style>
  <w:style w:type="character" w:customStyle="1" w:styleId="SubtitleChar">
    <w:name w:val="Subtitle Char"/>
    <w:basedOn w:val="DefaultParagraphFont"/>
    <w:link w:val="Subtitle"/>
    <w:uiPriority w:val="50"/>
    <w:rsid w:val="00B007AB"/>
    <w:rPr>
      <w:rFonts w:asciiTheme="majorHAnsi" w:eastAsiaTheme="minorEastAsia" w:hAnsiTheme="majorHAnsi" w:cstheme="majorHAnsi"/>
      <w:b/>
      <w:color w:val="666666"/>
      <w:sz w:val="32"/>
    </w:rPr>
  </w:style>
  <w:style w:type="paragraph" w:customStyle="1" w:styleId="BaseStyle">
    <w:name w:val="___Base Style"/>
    <w:uiPriority w:val="99"/>
    <w:semiHidden/>
    <w:rsid w:val="00B007AB"/>
    <w:pPr>
      <w:spacing w:after="0" w:line="276" w:lineRule="auto"/>
    </w:pPr>
  </w:style>
  <w:style w:type="paragraph" w:customStyle="1" w:styleId="BaseTable">
    <w:name w:val="___Base Table"/>
    <w:uiPriority w:val="99"/>
    <w:semiHidden/>
    <w:rsid w:val="00B007AB"/>
  </w:style>
  <w:style w:type="paragraph" w:customStyle="1" w:styleId="BaseText">
    <w:name w:val="__Base Text"/>
    <w:basedOn w:val="BaseStyle"/>
    <w:uiPriority w:val="99"/>
    <w:semiHidden/>
    <w:rsid w:val="006F6466"/>
    <w:pPr>
      <w:spacing w:line="360" w:lineRule="auto"/>
    </w:pPr>
    <w:rPr>
      <w:sz w:val="22"/>
    </w:rPr>
  </w:style>
  <w:style w:type="paragraph" w:customStyle="1" w:styleId="BaseHeading">
    <w:name w:val="__Base Heading"/>
    <w:basedOn w:val="BaseStyle"/>
    <w:next w:val="BodyText"/>
    <w:uiPriority w:val="99"/>
    <w:semiHidden/>
    <w:rsid w:val="00B007AB"/>
    <w:pPr>
      <w:keepNext/>
      <w:keepLines/>
      <w:spacing w:line="360" w:lineRule="auto"/>
    </w:pPr>
    <w:rPr>
      <w:rFonts w:asciiTheme="majorHAnsi" w:hAnsiTheme="majorHAnsi" w:cstheme="majorHAnsi"/>
    </w:rPr>
  </w:style>
  <w:style w:type="table" w:customStyle="1" w:styleId="Plain">
    <w:name w:val="Plain"/>
    <w:basedOn w:val="TableNormal"/>
    <w:rsid w:val="00B007AB"/>
    <w:pPr>
      <w:spacing w:after="0" w:line="240" w:lineRule="auto"/>
    </w:pPr>
    <w:tblPr/>
    <w:tcPr>
      <w:shd w:val="clear" w:color="auto" w:fill="auto"/>
      <w:tcMar>
        <w:left w:w="0" w:type="dxa"/>
        <w:right w:w="0" w:type="dxa"/>
      </w:tcMar>
    </w:tcPr>
  </w:style>
  <w:style w:type="paragraph" w:customStyle="1" w:styleId="1ptspacer">
    <w:name w:val="__1pt spacer"/>
    <w:basedOn w:val="BaseStyle"/>
    <w:next w:val="BodyText"/>
    <w:uiPriority w:val="99"/>
    <w:semiHidden/>
    <w:rsid w:val="00B007AB"/>
    <w:pPr>
      <w:spacing w:line="20" w:lineRule="exact"/>
    </w:pPr>
    <w:rPr>
      <w:sz w:val="2"/>
    </w:rPr>
  </w:style>
  <w:style w:type="paragraph" w:customStyle="1" w:styleId="BaseSECTION">
    <w:name w:val="__Base SECTION"/>
    <w:basedOn w:val="BaseText"/>
    <w:next w:val="BodyText"/>
    <w:uiPriority w:val="99"/>
    <w:semiHidden/>
    <w:rsid w:val="00B007AB"/>
    <w:pPr>
      <w:spacing w:line="20" w:lineRule="exact"/>
    </w:pPr>
    <w:rPr>
      <w:color w:val="0000FF"/>
    </w:rPr>
  </w:style>
  <w:style w:type="paragraph" w:customStyle="1" w:styleId="Placeholder">
    <w:name w:val="__Placeholder"/>
    <w:basedOn w:val="BaseText"/>
    <w:next w:val="BodyText"/>
    <w:uiPriority w:val="99"/>
    <w:semiHidden/>
    <w:rsid w:val="00B007AB"/>
    <w:pPr>
      <w:spacing w:line="240" w:lineRule="auto"/>
      <w:jc w:val="center"/>
    </w:pPr>
  </w:style>
  <w:style w:type="paragraph" w:customStyle="1" w:styleId="TableSpaceAfter">
    <w:name w:val="__TableSpaceAfter"/>
    <w:basedOn w:val="BaseStyle"/>
    <w:next w:val="BodyText"/>
    <w:uiPriority w:val="99"/>
    <w:semiHidden/>
    <w:rsid w:val="00B007AB"/>
    <w:pPr>
      <w:spacing w:line="20" w:lineRule="exact"/>
    </w:pPr>
    <w:rPr>
      <w:sz w:val="2"/>
    </w:rPr>
  </w:style>
  <w:style w:type="paragraph" w:styleId="ListBullet">
    <w:name w:val="List Bullet"/>
    <w:basedOn w:val="BodyText"/>
    <w:uiPriority w:val="15"/>
    <w:unhideWhenUsed/>
    <w:qFormat/>
    <w:rsid w:val="007A4EA5"/>
    <w:pPr>
      <w:numPr>
        <w:numId w:val="2"/>
      </w:numPr>
      <w:ind w:left="568" w:hanging="284"/>
    </w:pPr>
  </w:style>
  <w:style w:type="paragraph" w:customStyle="1" w:styleId="TableText">
    <w:name w:val="Table Text"/>
    <w:basedOn w:val="BaseTable"/>
    <w:uiPriority w:val="22"/>
    <w:qFormat/>
    <w:rsid w:val="00B007AB"/>
  </w:style>
  <w:style w:type="paragraph" w:customStyle="1" w:styleId="Covertext">
    <w:name w:val="Cover text"/>
    <w:basedOn w:val="Diagramimagecaption"/>
    <w:uiPriority w:val="51"/>
    <w:rsid w:val="00741ED9"/>
  </w:style>
  <w:style w:type="character" w:styleId="Hyperlink">
    <w:name w:val="Hyperlink"/>
    <w:basedOn w:val="DefaultParagraphFont"/>
    <w:uiPriority w:val="99"/>
    <w:rsid w:val="0012693F"/>
    <w:rPr>
      <w:color w:val="EC0080"/>
      <w:u w:val="single"/>
    </w:rPr>
  </w:style>
  <w:style w:type="character" w:styleId="BookTitle">
    <w:name w:val="Book Title"/>
    <w:basedOn w:val="DefaultParagraphFont"/>
    <w:uiPriority w:val="33"/>
    <w:semiHidden/>
    <w:qFormat/>
    <w:rsid w:val="00B007AB"/>
    <w:rPr>
      <w:b/>
      <w:bCs/>
      <w:i/>
      <w:iCs/>
      <w:spacing w:val="5"/>
    </w:rPr>
  </w:style>
  <w:style w:type="character" w:styleId="Emphasis">
    <w:name w:val="Emphasis"/>
    <w:basedOn w:val="DefaultParagraphFont"/>
    <w:uiPriority w:val="20"/>
    <w:semiHidden/>
    <w:qFormat/>
    <w:rsid w:val="00B007AB"/>
    <w:rPr>
      <w:i/>
      <w:iCs/>
    </w:rPr>
  </w:style>
  <w:style w:type="character" w:styleId="IntenseEmphasis">
    <w:name w:val="Intense Emphasis"/>
    <w:basedOn w:val="DefaultParagraphFont"/>
    <w:uiPriority w:val="21"/>
    <w:semiHidden/>
    <w:qFormat/>
    <w:rsid w:val="00B007AB"/>
    <w:rPr>
      <w:i/>
      <w:iCs/>
      <w:color w:val="662583" w:themeColor="accent1"/>
    </w:rPr>
  </w:style>
  <w:style w:type="paragraph" w:styleId="IntenseQuote">
    <w:name w:val="Intense Quote"/>
    <w:basedOn w:val="Normal"/>
    <w:next w:val="Normal"/>
    <w:link w:val="IntenseQuoteChar"/>
    <w:uiPriority w:val="30"/>
    <w:semiHidden/>
    <w:qFormat/>
    <w:rsid w:val="00B007AB"/>
    <w:pPr>
      <w:pBdr>
        <w:top w:val="single" w:sz="4" w:space="10" w:color="662583" w:themeColor="accent1"/>
        <w:bottom w:val="single" w:sz="4" w:space="10" w:color="662583" w:themeColor="accent1"/>
      </w:pBdr>
      <w:spacing w:before="360" w:after="360"/>
      <w:ind w:left="864" w:right="864"/>
      <w:jc w:val="center"/>
    </w:pPr>
    <w:rPr>
      <w:i/>
      <w:iCs/>
      <w:color w:val="662583" w:themeColor="accent1"/>
    </w:rPr>
  </w:style>
  <w:style w:type="character" w:customStyle="1" w:styleId="IntenseQuoteChar">
    <w:name w:val="Intense Quote Char"/>
    <w:basedOn w:val="DefaultParagraphFont"/>
    <w:link w:val="IntenseQuote"/>
    <w:uiPriority w:val="30"/>
    <w:rsid w:val="00B007AB"/>
    <w:rPr>
      <w:i/>
      <w:iCs/>
      <w:color w:val="662583" w:themeColor="accent1"/>
    </w:rPr>
  </w:style>
  <w:style w:type="character" w:styleId="IntenseReference">
    <w:name w:val="Intense Reference"/>
    <w:basedOn w:val="DefaultParagraphFont"/>
    <w:uiPriority w:val="32"/>
    <w:semiHidden/>
    <w:qFormat/>
    <w:rsid w:val="00B007AB"/>
    <w:rPr>
      <w:b/>
      <w:bCs/>
      <w:smallCaps/>
      <w:color w:val="662583" w:themeColor="accent1"/>
      <w:spacing w:val="5"/>
    </w:rPr>
  </w:style>
  <w:style w:type="paragraph" w:styleId="ListParagraph">
    <w:name w:val="List Paragraph"/>
    <w:basedOn w:val="Normal"/>
    <w:uiPriority w:val="34"/>
    <w:semiHidden/>
    <w:qFormat/>
    <w:rsid w:val="00B007AB"/>
    <w:pPr>
      <w:ind w:left="720"/>
      <w:contextualSpacing/>
    </w:pPr>
  </w:style>
  <w:style w:type="paragraph" w:styleId="NoSpacing">
    <w:name w:val="No Spacing"/>
    <w:uiPriority w:val="1"/>
    <w:semiHidden/>
    <w:qFormat/>
    <w:rsid w:val="00B007AB"/>
    <w:pPr>
      <w:spacing w:after="0" w:line="240" w:lineRule="auto"/>
    </w:pPr>
  </w:style>
  <w:style w:type="paragraph" w:styleId="Quote">
    <w:name w:val="Quote"/>
    <w:basedOn w:val="Normal"/>
    <w:next w:val="Normal"/>
    <w:link w:val="QuoteChar"/>
    <w:uiPriority w:val="29"/>
    <w:semiHidden/>
    <w:qFormat/>
    <w:rsid w:val="00B007A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007AB"/>
    <w:rPr>
      <w:i/>
      <w:iCs/>
      <w:color w:val="404040" w:themeColor="text1" w:themeTint="BF"/>
    </w:rPr>
  </w:style>
  <w:style w:type="character" w:styleId="Strong">
    <w:name w:val="Strong"/>
    <w:basedOn w:val="DefaultParagraphFont"/>
    <w:uiPriority w:val="22"/>
    <w:semiHidden/>
    <w:qFormat/>
    <w:rsid w:val="00B007AB"/>
    <w:rPr>
      <w:b/>
      <w:bCs/>
    </w:rPr>
  </w:style>
  <w:style w:type="character" w:styleId="SubtleEmphasis">
    <w:name w:val="Subtle Emphasis"/>
    <w:basedOn w:val="DefaultParagraphFont"/>
    <w:uiPriority w:val="19"/>
    <w:semiHidden/>
    <w:qFormat/>
    <w:rsid w:val="00B007AB"/>
    <w:rPr>
      <w:i/>
      <w:iCs/>
      <w:color w:val="404040" w:themeColor="text1" w:themeTint="BF"/>
    </w:rPr>
  </w:style>
  <w:style w:type="character" w:styleId="SubtleReference">
    <w:name w:val="Subtle Reference"/>
    <w:basedOn w:val="DefaultParagraphFont"/>
    <w:uiPriority w:val="31"/>
    <w:semiHidden/>
    <w:qFormat/>
    <w:rsid w:val="00B007AB"/>
    <w:rPr>
      <w:smallCaps/>
      <w:color w:val="5A5A5A" w:themeColor="text1" w:themeTint="A5"/>
    </w:rPr>
  </w:style>
  <w:style w:type="paragraph" w:styleId="Header">
    <w:name w:val="header"/>
    <w:basedOn w:val="Footer"/>
    <w:link w:val="HeaderChar"/>
    <w:uiPriority w:val="97"/>
    <w:unhideWhenUsed/>
    <w:rsid w:val="00E53ABA"/>
  </w:style>
  <w:style w:type="character" w:customStyle="1" w:styleId="HeaderChar">
    <w:name w:val="Header Char"/>
    <w:basedOn w:val="DefaultParagraphFont"/>
    <w:link w:val="Header"/>
    <w:uiPriority w:val="97"/>
    <w:rsid w:val="00E8669A"/>
    <w:rPr>
      <w:color w:val="666666"/>
      <w:sz w:val="18"/>
    </w:rPr>
  </w:style>
  <w:style w:type="paragraph" w:styleId="Footer">
    <w:name w:val="footer"/>
    <w:basedOn w:val="BodyText"/>
    <w:link w:val="FooterChar"/>
    <w:uiPriority w:val="98"/>
    <w:unhideWhenUsed/>
    <w:rsid w:val="00E643B1"/>
    <w:pPr>
      <w:spacing w:after="0"/>
      <w:jc w:val="right"/>
    </w:pPr>
    <w:rPr>
      <w:color w:val="666666"/>
      <w:sz w:val="18"/>
    </w:rPr>
  </w:style>
  <w:style w:type="character" w:customStyle="1" w:styleId="FooterChar">
    <w:name w:val="Footer Char"/>
    <w:basedOn w:val="DefaultParagraphFont"/>
    <w:link w:val="Footer"/>
    <w:uiPriority w:val="98"/>
    <w:rsid w:val="00E8669A"/>
    <w:rPr>
      <w:color w:val="666666"/>
      <w:sz w:val="18"/>
    </w:rPr>
  </w:style>
  <w:style w:type="character" w:styleId="PlaceholderText">
    <w:name w:val="Placeholder Text"/>
    <w:basedOn w:val="DefaultParagraphFont"/>
    <w:uiPriority w:val="99"/>
    <w:semiHidden/>
    <w:rsid w:val="00FC1B1F"/>
    <w:rPr>
      <w:color w:val="808080"/>
    </w:rPr>
  </w:style>
  <w:style w:type="paragraph" w:customStyle="1" w:styleId="Pull-outquote">
    <w:name w:val="Pull-out quote"/>
    <w:basedOn w:val="BodyText"/>
    <w:next w:val="Pull-outquoteauthor"/>
    <w:uiPriority w:val="19"/>
    <w:qFormat/>
    <w:rsid w:val="007901ED"/>
    <w:rPr>
      <w:i/>
      <w:iCs/>
      <w:color w:val="662583" w:themeColor="accent1"/>
    </w:rPr>
  </w:style>
  <w:style w:type="paragraph" w:customStyle="1" w:styleId="Pull-outquoteauthor">
    <w:name w:val="Pull-out quote author"/>
    <w:basedOn w:val="BodyText"/>
    <w:next w:val="BodyText"/>
    <w:uiPriority w:val="19"/>
    <w:qFormat/>
    <w:rsid w:val="007B1C21"/>
    <w:pPr>
      <w:jc w:val="right"/>
    </w:pPr>
    <w:rPr>
      <w:b/>
      <w:bCs/>
      <w:color w:val="666666"/>
    </w:rPr>
  </w:style>
  <w:style w:type="numbering" w:customStyle="1" w:styleId="ListBullets">
    <w:name w:val="List Bullets"/>
    <w:uiPriority w:val="99"/>
    <w:rsid w:val="007A4EA5"/>
    <w:pPr>
      <w:numPr>
        <w:numId w:val="2"/>
      </w:numPr>
    </w:pPr>
  </w:style>
  <w:style w:type="paragraph" w:styleId="ListNumber">
    <w:name w:val="List Number"/>
    <w:basedOn w:val="BodyText"/>
    <w:uiPriority w:val="15"/>
    <w:qFormat/>
    <w:rsid w:val="007A4EA5"/>
    <w:pPr>
      <w:numPr>
        <w:numId w:val="7"/>
      </w:numPr>
    </w:pPr>
  </w:style>
  <w:style w:type="numbering" w:customStyle="1" w:styleId="ListNumbers">
    <w:name w:val="List Numbers"/>
    <w:uiPriority w:val="99"/>
    <w:rsid w:val="00506CA4"/>
    <w:pPr>
      <w:numPr>
        <w:numId w:val="5"/>
      </w:numPr>
    </w:pPr>
  </w:style>
  <w:style w:type="paragraph" w:customStyle="1" w:styleId="Diagramimagecaption">
    <w:name w:val="Diagram/image caption"/>
    <w:basedOn w:val="BodyText"/>
    <w:next w:val="BodyText"/>
    <w:uiPriority w:val="19"/>
    <w:qFormat/>
    <w:rsid w:val="00813BC3"/>
    <w:rPr>
      <w:color w:val="666666"/>
      <w:sz w:val="18"/>
      <w:szCs w:val="18"/>
    </w:rPr>
  </w:style>
  <w:style w:type="paragraph" w:customStyle="1" w:styleId="Textboxcontent">
    <w:name w:val="Text box content"/>
    <w:basedOn w:val="BodyText"/>
    <w:uiPriority w:val="20"/>
    <w:qFormat/>
    <w:rsid w:val="00813BC3"/>
    <w:pPr>
      <w:pBdr>
        <w:top w:val="single" w:sz="18" w:space="12" w:color="662583" w:themeColor="accent1"/>
        <w:left w:val="single" w:sz="18" w:space="6" w:color="662583" w:themeColor="accent1"/>
        <w:bottom w:val="single" w:sz="18" w:space="10" w:color="662583" w:themeColor="accent1"/>
        <w:right w:val="single" w:sz="18" w:space="6" w:color="662583" w:themeColor="accent1"/>
      </w:pBdr>
      <w:ind w:left="170" w:right="170"/>
    </w:pPr>
  </w:style>
  <w:style w:type="paragraph" w:customStyle="1" w:styleId="Textboxtitle">
    <w:name w:val="Text box title"/>
    <w:basedOn w:val="Textboxcontent"/>
    <w:next w:val="Textboxcontent"/>
    <w:uiPriority w:val="19"/>
    <w:qFormat/>
    <w:rsid w:val="00E53ABA"/>
    <w:pPr>
      <w:spacing w:before="200"/>
    </w:pPr>
    <w:rPr>
      <w:b/>
    </w:rPr>
  </w:style>
  <w:style w:type="paragraph" w:styleId="EndnoteText">
    <w:name w:val="endnote text"/>
    <w:basedOn w:val="BodyText"/>
    <w:link w:val="EndnoteTextChar"/>
    <w:uiPriority w:val="96"/>
    <w:rsid w:val="00E53ABA"/>
    <w:rPr>
      <w:color w:val="666666"/>
      <w:sz w:val="18"/>
    </w:rPr>
  </w:style>
  <w:style w:type="character" w:customStyle="1" w:styleId="EndnoteTextChar">
    <w:name w:val="Endnote Text Char"/>
    <w:basedOn w:val="DefaultParagraphFont"/>
    <w:link w:val="EndnoteText"/>
    <w:uiPriority w:val="96"/>
    <w:rsid w:val="00E8669A"/>
    <w:rPr>
      <w:color w:val="666666"/>
      <w:sz w:val="18"/>
    </w:rPr>
  </w:style>
  <w:style w:type="paragraph" w:styleId="FootnoteText">
    <w:name w:val="footnote text"/>
    <w:basedOn w:val="BodyText"/>
    <w:link w:val="FootnoteTextChar"/>
    <w:uiPriority w:val="96"/>
    <w:rsid w:val="00E53ABA"/>
    <w:rPr>
      <w:color w:val="666666"/>
      <w:sz w:val="18"/>
    </w:rPr>
  </w:style>
  <w:style w:type="character" w:customStyle="1" w:styleId="FootnoteTextChar">
    <w:name w:val="Footnote Text Char"/>
    <w:basedOn w:val="DefaultParagraphFont"/>
    <w:link w:val="FootnoteText"/>
    <w:uiPriority w:val="96"/>
    <w:rsid w:val="00E8669A"/>
    <w:rPr>
      <w:color w:val="666666"/>
      <w:sz w:val="18"/>
    </w:rPr>
  </w:style>
  <w:style w:type="table" w:customStyle="1" w:styleId="NPCtable">
    <w:name w:val="NPC table"/>
    <w:basedOn w:val="TableNormal"/>
    <w:uiPriority w:val="99"/>
    <w:rsid w:val="00741ED9"/>
    <w:pPr>
      <w:spacing w:before="100" w:after="100" w:line="360" w:lineRule="auto"/>
    </w:pPr>
    <w:tblPr>
      <w:tblBorders>
        <w:top w:val="single" w:sz="4" w:space="0" w:color="662583" w:themeColor="accent1"/>
        <w:left w:val="single" w:sz="4" w:space="0" w:color="662583" w:themeColor="accent1"/>
        <w:bottom w:val="single" w:sz="4" w:space="0" w:color="662583" w:themeColor="accent1"/>
        <w:right w:val="single" w:sz="4" w:space="0" w:color="662583" w:themeColor="accent1"/>
        <w:insideH w:val="single" w:sz="4" w:space="0" w:color="662583" w:themeColor="accent1"/>
        <w:insideV w:val="single" w:sz="4" w:space="0" w:color="662583" w:themeColor="accent1"/>
      </w:tblBorders>
    </w:tblPr>
    <w:tblStylePr w:type="firstRow">
      <w:pPr>
        <w:jc w:val="center"/>
      </w:pPr>
      <w:rPr>
        <w:b/>
        <w:color w:val="FFFFFF" w:themeColor="background1"/>
      </w:rPr>
      <w:tblPr/>
      <w:tcPr>
        <w:shd w:val="clear" w:color="auto" w:fill="662583" w:themeFill="accent1"/>
      </w:tcPr>
    </w:tblStylePr>
  </w:style>
  <w:style w:type="character" w:customStyle="1" w:styleId="UnresolvedMention1">
    <w:name w:val="Unresolved Mention1"/>
    <w:basedOn w:val="DefaultParagraphFont"/>
    <w:uiPriority w:val="99"/>
    <w:semiHidden/>
    <w:unhideWhenUsed/>
    <w:rsid w:val="007A4670"/>
    <w:rPr>
      <w:color w:val="605E5C"/>
      <w:shd w:val="clear" w:color="auto" w:fill="E1DFDD"/>
    </w:rPr>
  </w:style>
  <w:style w:type="paragraph" w:styleId="NormalWeb">
    <w:name w:val="Normal (Web)"/>
    <w:basedOn w:val="Normal"/>
    <w:uiPriority w:val="99"/>
    <w:semiHidden/>
    <w:unhideWhenUsed/>
    <w:rsid w:val="00D0116B"/>
    <w:rPr>
      <w:rFonts w:ascii="Times New Roman" w:hAnsi="Times New Roman" w:cs="Times New Roman"/>
      <w:sz w:val="24"/>
      <w:szCs w:val="24"/>
    </w:rPr>
  </w:style>
  <w:style w:type="character" w:styleId="FootnoteReference">
    <w:name w:val="footnote reference"/>
    <w:basedOn w:val="DefaultParagraphFont"/>
    <w:uiPriority w:val="99"/>
    <w:semiHidden/>
    <w:unhideWhenUsed/>
    <w:rsid w:val="005C657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NPC Colours">
      <a:dk1>
        <a:srgbClr val="000000"/>
      </a:dk1>
      <a:lt1>
        <a:sysClr val="window" lastClr="FFFFFF"/>
      </a:lt1>
      <a:dk2>
        <a:srgbClr val="F26F21"/>
      </a:dk2>
      <a:lt2>
        <a:srgbClr val="FFCA05"/>
      </a:lt2>
      <a:accent1>
        <a:srgbClr val="662583"/>
      </a:accent1>
      <a:accent2>
        <a:srgbClr val="F89C1C"/>
      </a:accent2>
      <a:accent3>
        <a:srgbClr val="EC0080"/>
      </a:accent3>
      <a:accent4>
        <a:srgbClr val="FFCA05"/>
      </a:accent4>
      <a:accent5>
        <a:srgbClr val="881866"/>
      </a:accent5>
      <a:accent6>
        <a:srgbClr val="F26F21"/>
      </a:accent6>
      <a:hlink>
        <a:srgbClr val="0C0C0C"/>
      </a:hlink>
      <a:folHlink>
        <a:srgbClr val="7F7F7F"/>
      </a:folHlink>
    </a:clrScheme>
    <a:fontScheme name="NPC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CYM0145</dc:title>
  <cp:revision>0</cp:revision>
</cp:coreProperties>
</file>