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63CBB" w:rsidRPr="00AB5B10" w:rsidP="00B63CBB">
      <w:pPr>
        <w:pStyle w:val="Heading1"/>
        <w:rPr>
          <w:rFonts w:ascii="Calibri" w:hAnsi="Calibri" w:cs="Calibri"/>
          <w:b w:val="0"/>
          <w:bCs w:val="0"/>
        </w:rPr>
      </w:pPr>
    </w:p>
    <w:p w:rsidR="00B63CBB" w:rsidRPr="00AB5B10" w:rsidP="00B63CBB">
      <w:pPr>
        <w:pStyle w:val="Heading1"/>
        <w:rPr>
          <w:rFonts w:ascii="Calibri" w:hAnsi="Calibri" w:cs="Calibri"/>
          <w:b w:val="0"/>
          <w:bCs w:val="0"/>
        </w:rPr>
      </w:pPr>
      <w:r w:rsidRPr="00AB5B10">
        <w:rPr>
          <w:rFonts w:ascii="Calibri" w:hAnsi="Calibri" w:cs="Calibri"/>
          <w:b w:val="0"/>
          <w:bCs w:val="0"/>
        </w:rPr>
        <w:t>Written Evidence Submitted by Family Action (CYM0143)</w:t>
      </w:r>
    </w:p>
    <w:p w:rsidR="00B63CBB" w:rsidRPr="00AB5B10" w:rsidP="00B63CBB">
      <w:pPr>
        <w:pStyle w:val="Heading1"/>
        <w:rPr>
          <w:rFonts w:ascii="Calibri" w:hAnsi="Calibri" w:cs="Calibri"/>
        </w:rPr>
      </w:pPr>
    </w:p>
    <w:p w:rsidR="00B63CBB" w:rsidRPr="00AB5B10" w:rsidP="00B63CBB">
      <w:pPr>
        <w:pStyle w:val="Heading1"/>
        <w:rPr>
          <w:rFonts w:ascii="Calibri" w:hAnsi="Calibri" w:cs="Calibri"/>
        </w:rPr>
      </w:pPr>
    </w:p>
    <w:p w:rsidR="00B63CBB" w:rsidRPr="00AB5B10" w:rsidP="00B63CBB">
      <w:pPr>
        <w:pStyle w:val="Heading1"/>
        <w:rPr>
          <w:rFonts w:ascii="Calibri" w:hAnsi="Calibri" w:cs="Calibri"/>
        </w:rPr>
      </w:pPr>
    </w:p>
    <w:p w:rsidR="00B63CBB" w:rsidRPr="00AB5B10" w:rsidP="00B63CBB">
      <w:pPr>
        <w:pStyle w:val="Heading1"/>
        <w:rPr>
          <w:rFonts w:ascii="Calibri" w:hAnsi="Calibri" w:cs="Calibri"/>
        </w:rPr>
      </w:pPr>
    </w:p>
    <w:p w:rsidR="002645E3" w:rsidRPr="00AB5B10" w:rsidP="00B63CBB">
      <w:pPr>
        <w:pStyle w:val="Heading1"/>
        <w:rPr>
          <w:rFonts w:ascii="Calibri" w:hAnsi="Calibri" w:cs="Calibri"/>
        </w:rPr>
      </w:pPr>
      <w:r w:rsidRPr="00AB5B10">
        <w:rPr>
          <w:rFonts w:ascii="Calibri" w:hAnsi="Calibri" w:cs="Calibri"/>
        </w:rPr>
        <w:t>Children and Young People's Mental Health Inquiry Call for Evidence – Family Action Evidence Submission</w:t>
      </w:r>
    </w:p>
    <w:p w:rsidR="002645E3" w:rsidRPr="00AB5B10" w:rsidP="00414F4F">
      <w:pPr>
        <w:spacing w:after="0"/>
        <w:rPr>
          <w:rFonts w:ascii="Calibri" w:hAnsi="Calibri" w:cs="Calibri"/>
        </w:rPr>
      </w:pPr>
      <w:r w:rsidRPr="00AB5B10">
        <w:rPr>
          <w:rFonts w:ascii="Calibri" w:hAnsi="Calibri" w:cs="Calibri"/>
        </w:rPr>
        <w:t xml:space="preserve">Family Action is a national charity, founded in 1869, supporting individuals and families through change, challenge, and crisis. We protect children, support young people and adults, and provide direct, practical assistance to families and communities. </w:t>
      </w:r>
    </w:p>
    <w:p w:rsidR="002645E3" w:rsidRPr="00AB5B10" w:rsidP="00414F4F">
      <w:pPr>
        <w:spacing w:after="0"/>
        <w:rPr>
          <w:rFonts w:ascii="Calibri" w:hAnsi="Calibri" w:cs="Calibri"/>
        </w:rPr>
      </w:pPr>
    </w:p>
    <w:p w:rsidR="002645E3" w:rsidRPr="00AB5B10" w:rsidP="00414F4F">
      <w:pPr>
        <w:spacing w:after="0"/>
        <w:rPr>
          <w:rFonts w:ascii="Calibri" w:hAnsi="Calibri" w:cs="Calibri"/>
        </w:rPr>
      </w:pPr>
      <w:r w:rsidRPr="00AB5B10">
        <w:rPr>
          <w:rFonts w:ascii="Calibri" w:hAnsi="Calibri" w:cs="Calibri"/>
        </w:rPr>
        <w:t>We provide a range of services supporting the mental health and wellbeing of children, young people and their families, including information and advice, mentoring, drop-in support, counselling and therapy. We also deliver SENDIAS, support for children and families who are seeking diagnosis, and work with schools to support staff to better understand children’s needs. We have also recently merged with the Bromley by Bow Centre. This submission collates evidence from across our service delivery.</w:t>
      </w:r>
    </w:p>
    <w:p w:rsidR="002645E3" w:rsidRPr="00AB5B10" w:rsidP="00B63CBB">
      <w:pPr>
        <w:pStyle w:val="Heading2"/>
        <w:rPr>
          <w:rFonts w:ascii="Calibri" w:hAnsi="Calibri" w:cs="Calibri"/>
          <w:color w:val="auto"/>
        </w:rPr>
      </w:pPr>
      <w:r w:rsidRPr="00AB5B10">
        <w:rPr>
          <w:rFonts w:ascii="Calibri" w:hAnsi="Calibri" w:cs="Calibri"/>
          <w:color w:val="auto"/>
        </w:rPr>
        <w:t>The role of education and community settings in support and delivery  </w:t>
      </w:r>
    </w:p>
    <w:p w:rsidR="002645E3" w:rsidRPr="00AB5B10" w:rsidP="000640AF">
      <w:pPr>
        <w:pStyle w:val="Header3"/>
        <w:rPr>
          <w:rFonts w:ascii="Calibri" w:hAnsi="Calibri" w:cs="Calibri"/>
          <w:color w:val="auto"/>
        </w:rPr>
      </w:pPr>
      <w:r w:rsidRPr="00AB5B10">
        <w:rPr>
          <w:rFonts w:ascii="Calibri" w:hAnsi="Calibri" w:cs="Calibri"/>
          <w:color w:val="auto"/>
        </w:rPr>
        <w:t>What is required to achieve the Government’s manifesto commitments on provision of mental health support in schools and colleges? </w:t>
      </w:r>
    </w:p>
    <w:p w:rsidR="002645E3" w:rsidRPr="00AB5B10" w:rsidP="000640AF">
      <w:pPr>
        <w:numPr>
          <w:ilvl w:val="1"/>
          <w:numId w:val="23"/>
        </w:numPr>
        <w:spacing w:after="0"/>
        <w:rPr>
          <w:rFonts w:ascii="Calibri" w:hAnsi="Calibri" w:cs="Calibri"/>
        </w:rPr>
      </w:pPr>
      <w:r w:rsidRPr="00AB5B10">
        <w:rPr>
          <w:rFonts w:ascii="Calibri" w:hAnsi="Calibri" w:cs="Calibri"/>
        </w:rPr>
        <w:t>To what extent does the rollout of Education Mental Health Practitioners and Mental Health Support Teams support in delivering on this commitment?  </w:t>
      </w:r>
    </w:p>
    <w:p w:rsidR="002645E3" w:rsidRPr="00AB5B10" w:rsidP="00A91273">
      <w:pPr>
        <w:spacing w:after="0"/>
        <w:ind w:left="1440"/>
        <w:rPr>
          <w:rFonts w:ascii="Calibri" w:hAnsi="Calibri" w:cs="Calibri"/>
        </w:rPr>
      </w:pPr>
    </w:p>
    <w:p w:rsidR="002645E3" w:rsidRPr="00AB5B10" w:rsidP="00AA2269">
      <w:pPr>
        <w:spacing w:after="0"/>
        <w:rPr>
          <w:rFonts w:ascii="Calibri" w:hAnsi="Calibri" w:cs="Calibri"/>
        </w:rPr>
      </w:pPr>
      <w:r w:rsidRPr="00AB5B10">
        <w:rPr>
          <w:rFonts w:ascii="Calibri" w:hAnsi="Calibri" w:cs="Calibri"/>
        </w:rPr>
        <w:t>Dedicated support within schools is to be welcomed, provided that there is consistent quality whilst also allowing flexibility for schools to meet the needs of their pupils. However, it is not enough to only provide support within the school setting. We work with the whole family wherever possible, as we know that children and young people (CYP) are not only affected by what is happening within their family, but their family understanding their needs and supporting them to access mental health provision is also vital.</w:t>
      </w:r>
    </w:p>
    <w:p w:rsidR="002645E3" w:rsidRPr="00AB5B10" w:rsidP="000640AF">
      <w:pPr>
        <w:pStyle w:val="Header3"/>
        <w:rPr>
          <w:rFonts w:ascii="Calibri" w:hAnsi="Calibri" w:cs="Calibri"/>
          <w:color w:val="auto"/>
        </w:rPr>
      </w:pPr>
      <w:r w:rsidRPr="00AB5B10">
        <w:rPr>
          <w:rFonts w:ascii="Calibri" w:hAnsi="Calibri" w:cs="Calibri"/>
          <w:color w:val="auto"/>
        </w:rPr>
        <w:t>What opportunities are there to provide mental health support for children and young people through community</w:t>
      </w:r>
      <w:r w:rsidRPr="00AB5B10">
        <w:rPr>
          <w:rFonts w:ascii="Calibri" w:hAnsi="Calibri" w:cs="Calibri"/>
          <w:color w:val="auto"/>
        </w:rPr>
        <w:noBreakHyphen/>
        <w:t>based approaches? What resources or support is needed to deliver them? </w:t>
      </w:r>
    </w:p>
    <w:p w:rsidR="002645E3" w:rsidRPr="00AB5B10" w:rsidP="000640AF">
      <w:pPr>
        <w:numPr>
          <w:ilvl w:val="1"/>
          <w:numId w:val="23"/>
        </w:numPr>
        <w:spacing w:after="0"/>
        <w:rPr>
          <w:rFonts w:ascii="Calibri" w:hAnsi="Calibri" w:cs="Calibri"/>
        </w:rPr>
      </w:pPr>
      <w:r w:rsidRPr="00AB5B10">
        <w:rPr>
          <w:rFonts w:ascii="Calibri" w:hAnsi="Calibri" w:cs="Calibri"/>
        </w:rPr>
        <w:t>To what extent will Best Start Family Hubs help to secure good mental health and wellbeing in the early years? </w:t>
      </w:r>
    </w:p>
    <w:p w:rsidR="002645E3" w:rsidRPr="00AB5B10" w:rsidP="000640AF">
      <w:pPr>
        <w:numPr>
          <w:ilvl w:val="1"/>
          <w:numId w:val="23"/>
        </w:numPr>
        <w:spacing w:after="0"/>
        <w:rPr>
          <w:rFonts w:ascii="Calibri" w:hAnsi="Calibri" w:cs="Calibri"/>
        </w:rPr>
      </w:pPr>
      <w:r w:rsidRPr="00AB5B10">
        <w:rPr>
          <w:rFonts w:ascii="Calibri" w:hAnsi="Calibri" w:cs="Calibri"/>
        </w:rPr>
        <w:t>What mental health support should be available through Young Futures Hubs, and how should these hubs connect with other local services? </w:t>
      </w:r>
    </w:p>
    <w:p w:rsidR="002645E3" w:rsidRPr="00AB5B10" w:rsidP="000640AF">
      <w:pPr>
        <w:numPr>
          <w:ilvl w:val="1"/>
          <w:numId w:val="23"/>
        </w:numPr>
        <w:spacing w:after="0"/>
        <w:rPr>
          <w:rFonts w:ascii="Calibri" w:hAnsi="Calibri" w:cs="Calibri"/>
        </w:rPr>
      </w:pPr>
      <w:r w:rsidRPr="00AB5B10">
        <w:rPr>
          <w:rFonts w:ascii="Calibri" w:hAnsi="Calibri" w:cs="Calibri"/>
        </w:rPr>
        <w:t>How can the Government maximise the impact that Early Support Hubs have in meeting children and young people’s mental health needs? </w:t>
      </w:r>
    </w:p>
    <w:p w:rsidR="002645E3" w:rsidRPr="00AB5B10" w:rsidP="00C8303E">
      <w:pPr>
        <w:spacing w:after="0"/>
        <w:rPr>
          <w:rFonts w:ascii="Calibri" w:eastAsia="DM Sans" w:hAnsi="Calibri" w:cs="Calibri"/>
          <w:sz w:val="22"/>
          <w:szCs w:val="22"/>
        </w:rPr>
      </w:pPr>
    </w:p>
    <w:p w:rsidR="002645E3" w:rsidRPr="00AB5B10" w:rsidP="00C8303E">
      <w:pPr>
        <w:spacing w:after="0"/>
        <w:rPr>
          <w:rFonts w:ascii="Calibri" w:eastAsia="DM Sans" w:hAnsi="Calibri" w:cs="Calibri"/>
        </w:rPr>
      </w:pPr>
      <w:r w:rsidRPr="00AB5B10">
        <w:rPr>
          <w:rFonts w:ascii="Calibri" w:eastAsia="DM Sans" w:hAnsi="Calibri" w:cs="Calibri"/>
        </w:rPr>
        <w:t>We currently deliver the Hackney Early Support Hub and have learnt that it is important to be able to provide services in a variety of locations, including in ways that means services can come to young people, rather than them come to us. We do this through working in partnership with multiple other local organisations, including providing a mobile bus-based service. We have been part of the ‘Health Spot’ Pilot through this the Hub, where an evaluation found that timely availability of services was a key factor in young people accessing support. It also focuses on relationship-based practice, so that trust is developed with young people.</w:t>
      </w:r>
    </w:p>
    <w:p w:rsidR="002645E3" w:rsidRPr="00AB5B10" w:rsidP="00C8303E">
      <w:pPr>
        <w:spacing w:after="0"/>
        <w:rPr>
          <w:rFonts w:ascii="Calibri" w:eastAsia="DM Sans" w:hAnsi="Calibri" w:cs="Calibri"/>
        </w:rPr>
      </w:pPr>
    </w:p>
    <w:p w:rsidR="002645E3" w:rsidRPr="00AB5B10" w:rsidP="00C8303E">
      <w:pPr>
        <w:spacing w:after="0"/>
        <w:rPr>
          <w:rFonts w:ascii="Calibri" w:eastAsia="DM Sans" w:hAnsi="Calibri" w:cs="Calibri"/>
        </w:rPr>
      </w:pPr>
      <w:r w:rsidRPr="00AB5B10">
        <w:rPr>
          <w:rFonts w:ascii="Calibri" w:eastAsia="DM Sans" w:hAnsi="Calibri" w:cs="Calibri"/>
        </w:rPr>
        <w:t>There needs to be clarity on the different support provided by Early Support Hubs and Young Futures Hubs, how long these services will run for and the referral pathways between services. It has been confusing to both our staff and young people we work with to have communication from government pledging multiple support ‘hubs’ at the same time, especially as the hub model is often described as ‘no wrong door’ or a ‘one stop shop’.</w:t>
      </w:r>
    </w:p>
    <w:p w:rsidR="002645E3" w:rsidRPr="00AB5B10" w:rsidP="00B63CBB">
      <w:pPr>
        <w:pStyle w:val="Heading2"/>
        <w:rPr>
          <w:rFonts w:ascii="Calibri" w:hAnsi="Calibri" w:cs="Calibri"/>
          <w:color w:val="auto"/>
        </w:rPr>
      </w:pPr>
      <w:r w:rsidRPr="00AB5B10">
        <w:rPr>
          <w:rFonts w:ascii="Calibri" w:hAnsi="Calibri" w:cs="Calibri"/>
          <w:color w:val="auto"/>
        </w:rPr>
        <w:t>The role of NHS and specialist mental health services in support and delivery </w:t>
      </w:r>
    </w:p>
    <w:p w:rsidR="002645E3" w:rsidRPr="00AB5B10" w:rsidP="000640AF">
      <w:pPr>
        <w:pStyle w:val="Header3"/>
        <w:rPr>
          <w:rFonts w:ascii="Calibri" w:hAnsi="Calibri" w:cs="Calibri"/>
          <w:color w:val="auto"/>
        </w:rPr>
      </w:pPr>
      <w:r w:rsidRPr="00AB5B10">
        <w:rPr>
          <w:rFonts w:ascii="Calibri" w:hAnsi="Calibri" w:cs="Calibri"/>
          <w:color w:val="auto"/>
        </w:rPr>
        <w:t>What reforms to CAMHS would best support timely, equitable and continued access to specialist mental health care for children and young people? </w:t>
      </w:r>
    </w:p>
    <w:p w:rsidR="002645E3" w:rsidRPr="00AB5B10" w:rsidP="000640AF">
      <w:pPr>
        <w:numPr>
          <w:ilvl w:val="1"/>
          <w:numId w:val="24"/>
        </w:numPr>
        <w:spacing w:after="0"/>
        <w:rPr>
          <w:rFonts w:ascii="Calibri" w:hAnsi="Calibri" w:cs="Calibri"/>
        </w:rPr>
      </w:pPr>
      <w:r w:rsidRPr="00AB5B10">
        <w:rPr>
          <w:rFonts w:ascii="Calibri" w:hAnsi="Calibri" w:cs="Calibri"/>
        </w:rPr>
        <w:t>Are NHS services being delivered in the right physical locations? </w:t>
      </w:r>
    </w:p>
    <w:p w:rsidR="002645E3" w:rsidRPr="00AB5B10" w:rsidP="0097383E">
      <w:pPr>
        <w:spacing w:after="0"/>
        <w:ind w:left="1440"/>
        <w:rPr>
          <w:rFonts w:ascii="Calibri" w:hAnsi="Calibri" w:cs="Calibri"/>
        </w:rPr>
      </w:pPr>
    </w:p>
    <w:p w:rsidR="002645E3" w:rsidRPr="00AB5B10" w:rsidP="007D7190">
      <w:pPr>
        <w:rPr>
          <w:rFonts w:ascii="Calibri" w:hAnsi="Calibri" w:cs="Calibri"/>
        </w:rPr>
      </w:pPr>
      <w:r w:rsidRPr="00AB5B10">
        <w:rPr>
          <w:rFonts w:ascii="Calibri" w:hAnsi="Calibri" w:cs="Calibri"/>
        </w:rPr>
        <w:t>CAMHS clinicians working part time within Family Hubs, schools or VCS services improves confidence and decision making across the whole workforce. This enables non clinical staff to provide safe, early interventions with the reassurance of clinical oversight.</w:t>
      </w:r>
    </w:p>
    <w:p w:rsidR="002645E3" w:rsidRPr="00AB5B10" w:rsidP="004C141C">
      <w:pPr>
        <w:spacing w:after="0"/>
        <w:rPr>
          <w:rFonts w:ascii="Calibri" w:hAnsi="Calibri" w:cs="Calibri"/>
        </w:rPr>
      </w:pPr>
      <w:r w:rsidRPr="00AB5B10">
        <w:rPr>
          <w:rFonts w:ascii="Calibri" w:hAnsi="Calibri" w:cs="Calibri"/>
        </w:rPr>
        <w:t>As outlined above, it is important that NHS services are available in a variety of locations, including mobile offers. Family Action’s service experience indicates that CYP and their families engage more consistently when provision is:</w:t>
      </w:r>
    </w:p>
    <w:p w:rsidR="002645E3" w:rsidRPr="00AB5B10" w:rsidP="004C141C">
      <w:pPr>
        <w:pStyle w:val="Bullets"/>
        <w:rPr>
          <w:rFonts w:ascii="Calibri" w:hAnsi="Calibri" w:cs="Calibri"/>
          <w:color w:val="auto"/>
        </w:rPr>
      </w:pPr>
      <w:r w:rsidRPr="00AB5B10">
        <w:rPr>
          <w:rFonts w:ascii="Calibri" w:hAnsi="Calibri" w:cs="Calibri"/>
          <w:color w:val="auto"/>
        </w:rPr>
        <w:t>in non-stigmatising, easily accessible spaces;</w:t>
      </w:r>
    </w:p>
    <w:p w:rsidR="002645E3" w:rsidRPr="00AB5B10" w:rsidP="004C141C">
      <w:pPr>
        <w:pStyle w:val="Bullets"/>
        <w:rPr>
          <w:rFonts w:ascii="Calibri" w:hAnsi="Calibri" w:cs="Calibri"/>
          <w:color w:val="auto"/>
        </w:rPr>
      </w:pPr>
      <w:r w:rsidRPr="00AB5B10">
        <w:rPr>
          <w:rFonts w:ascii="Calibri" w:hAnsi="Calibri" w:cs="Calibri"/>
          <w:color w:val="auto"/>
        </w:rPr>
        <w:t>embedded in locations families already use (Family Hubs, youth centres, children’s centres, schools);</w:t>
      </w:r>
    </w:p>
    <w:p w:rsidR="002645E3" w:rsidRPr="00AB5B10" w:rsidP="004C141C">
      <w:pPr>
        <w:pStyle w:val="Bullets"/>
        <w:rPr>
          <w:rFonts w:ascii="Calibri" w:hAnsi="Calibri" w:cs="Calibri"/>
          <w:color w:val="auto"/>
        </w:rPr>
      </w:pPr>
      <w:r w:rsidRPr="00AB5B10">
        <w:rPr>
          <w:rFonts w:ascii="Calibri" w:hAnsi="Calibri" w:cs="Calibri"/>
          <w:color w:val="auto"/>
        </w:rPr>
        <w:t>flexible across rural and urban areas, with outreach capacity.</w:t>
      </w:r>
    </w:p>
    <w:p w:rsidR="002645E3" w:rsidRPr="00AB5B10" w:rsidP="004C141C">
      <w:pPr>
        <w:pStyle w:val="Bullets"/>
        <w:numPr>
          <w:ilvl w:val="0"/>
          <w:numId w:val="0"/>
        </w:numPr>
        <w:rPr>
          <w:rFonts w:ascii="Calibri" w:hAnsi="Calibri" w:cs="Calibri"/>
          <w:color w:val="auto"/>
        </w:rPr>
      </w:pPr>
      <w:r w:rsidRPr="00AB5B10">
        <w:rPr>
          <w:rFonts w:ascii="Calibri" w:hAnsi="Calibri" w:cs="Calibri"/>
          <w:color w:val="auto"/>
        </w:rPr>
        <w:t>Parents repeatedly report that navigating between multiple agencies is burdensome and exacerbates stress. Bringing CAMHS into existing community infrastructure enables:</w:t>
      </w:r>
    </w:p>
    <w:p w:rsidR="002645E3" w:rsidRPr="00AB5B10" w:rsidP="004C141C">
      <w:pPr>
        <w:pStyle w:val="Bullets"/>
        <w:rPr>
          <w:rFonts w:ascii="Calibri" w:hAnsi="Calibri" w:cs="Calibri"/>
          <w:color w:val="auto"/>
        </w:rPr>
      </w:pPr>
      <w:r w:rsidRPr="00AB5B10">
        <w:rPr>
          <w:rFonts w:ascii="Calibri" w:hAnsi="Calibri" w:cs="Calibri"/>
          <w:color w:val="auto"/>
        </w:rPr>
        <w:t>warm handovers from early help to clinical teams;</w:t>
      </w:r>
    </w:p>
    <w:p w:rsidR="002645E3" w:rsidRPr="00AB5B10" w:rsidP="004C141C">
      <w:pPr>
        <w:pStyle w:val="Bullets"/>
        <w:rPr>
          <w:rFonts w:ascii="Calibri" w:hAnsi="Calibri" w:cs="Calibri"/>
          <w:color w:val="auto"/>
        </w:rPr>
      </w:pPr>
      <w:r w:rsidRPr="00AB5B10">
        <w:rPr>
          <w:rFonts w:ascii="Calibri" w:hAnsi="Calibri" w:cs="Calibri"/>
          <w:color w:val="auto"/>
        </w:rPr>
        <w:t>joint assessments and shared care planning;</w:t>
      </w:r>
    </w:p>
    <w:p w:rsidR="002645E3" w:rsidRPr="00AB5B10" w:rsidP="004C141C">
      <w:pPr>
        <w:pStyle w:val="Bullets"/>
        <w:rPr>
          <w:rFonts w:ascii="Calibri" w:hAnsi="Calibri" w:cs="Calibri"/>
          <w:color w:val="auto"/>
        </w:rPr>
      </w:pPr>
      <w:r w:rsidRPr="00AB5B10">
        <w:rPr>
          <w:rFonts w:ascii="Calibri" w:hAnsi="Calibri" w:cs="Calibri"/>
          <w:color w:val="auto"/>
        </w:rPr>
        <w:t>better reach into underserved communities, including those impacted by poverty, rural isolation or digital exclusion.</w:t>
      </w:r>
    </w:p>
    <w:p w:rsidR="002645E3" w:rsidRPr="00AB5B10" w:rsidP="00C8338B">
      <w:pPr>
        <w:pStyle w:val="Bullets"/>
        <w:numPr>
          <w:ilvl w:val="0"/>
          <w:numId w:val="0"/>
        </w:numPr>
        <w:ind w:left="454" w:hanging="454"/>
        <w:rPr>
          <w:rFonts w:ascii="Calibri" w:hAnsi="Calibri" w:cs="Calibri"/>
          <w:color w:val="auto"/>
        </w:rPr>
      </w:pPr>
    </w:p>
    <w:p w:rsidR="002645E3" w:rsidRPr="00AB5B10" w:rsidP="008F4277">
      <w:pPr>
        <w:pStyle w:val="Bullets"/>
        <w:numPr>
          <w:ilvl w:val="0"/>
          <w:numId w:val="0"/>
        </w:numPr>
        <w:ind w:left="454"/>
        <w:rPr>
          <w:rFonts w:ascii="Calibri" w:hAnsi="Calibri" w:cs="Calibri"/>
          <w:color w:val="auto"/>
        </w:rPr>
      </w:pPr>
      <w:r w:rsidRPr="00AB5B10">
        <w:rPr>
          <w:rFonts w:ascii="Calibri" w:hAnsi="Calibri" w:cs="Calibri"/>
          <w:color w:val="auto"/>
        </w:rPr>
        <w:t>The Bromley by Bow Centre has had clear success with a building that is designed for multiple ways to enter it and interact, and this more informal approach, rather than gates and one exit/entry could also provide a way to provide services that feel more accessible to young people, more community based and less medicalised.</w:t>
      </w:r>
    </w:p>
    <w:p w:rsidR="002645E3" w:rsidRPr="00AB5B10" w:rsidP="00B63CBB">
      <w:pPr>
        <w:pStyle w:val="Heading2"/>
        <w:rPr>
          <w:rFonts w:ascii="Calibri" w:hAnsi="Calibri" w:cs="Calibri"/>
          <w:color w:val="auto"/>
        </w:rPr>
      </w:pPr>
      <w:r w:rsidRPr="00AB5B10">
        <w:rPr>
          <w:rFonts w:ascii="Calibri" w:hAnsi="Calibri" w:cs="Calibri"/>
          <w:color w:val="auto"/>
        </w:rPr>
        <w:t>Integration between education, NHS and community provision   </w:t>
      </w:r>
    </w:p>
    <w:p w:rsidR="002645E3" w:rsidRPr="00AB5B10" w:rsidP="000640AF">
      <w:pPr>
        <w:pStyle w:val="Header3"/>
        <w:rPr>
          <w:rFonts w:ascii="Calibri" w:hAnsi="Calibri" w:cs="Calibri"/>
          <w:color w:val="auto"/>
        </w:rPr>
      </w:pPr>
      <w:r w:rsidRPr="00AB5B10">
        <w:rPr>
          <w:rFonts w:ascii="Calibri" w:hAnsi="Calibri" w:cs="Calibri"/>
          <w:color w:val="auto"/>
        </w:rPr>
        <w:t>What factors are driving recent trends in children and young people’s mental health, and how have changes in service thresholds influenced both the presentation of need and access to early support? </w:t>
      </w:r>
    </w:p>
    <w:p w:rsidR="002645E3" w:rsidRPr="00AB5B10" w:rsidP="001B0624">
      <w:pPr>
        <w:rPr>
          <w:rFonts w:ascii="Calibri" w:hAnsi="Calibri" w:cs="Calibri"/>
        </w:rPr>
      </w:pPr>
      <w:r w:rsidRPr="00AB5B10">
        <w:rPr>
          <w:rFonts w:ascii="Calibri" w:hAnsi="Calibri" w:cs="Calibri"/>
        </w:rPr>
        <w:t>Reasons for Mental Health referrals need to be segmented in more detail to see the underlying causes behind rising numbers, especially where this relates to unmet SEND needs, or the effects of a young person’s external environment. Long waits for support with neurodivergence can increase CYP anxiety and feelings of isolation through difference from their peers and not understanding this. The impact of COVID-19 on the health and wellbeing of children and young people (CYP) is still emerging, with many CYP experiencing isolation, lack of social networks and the ongoing impacts of disrupted education and transitions.</w:t>
      </w:r>
    </w:p>
    <w:p w:rsidR="002645E3" w:rsidRPr="00AB5B10" w:rsidP="00730413">
      <w:pPr>
        <w:rPr>
          <w:rFonts w:ascii="Calibri" w:hAnsi="Calibri" w:cs="Calibri"/>
        </w:rPr>
      </w:pPr>
      <w:r w:rsidRPr="00AB5B10">
        <w:rPr>
          <w:rFonts w:ascii="Calibri" w:hAnsi="Calibri" w:cs="Calibri"/>
        </w:rPr>
        <w:t>We are also seeing mental health needs driven by increased pressure on families related to the cost of living. We see, in particular through our work that poverty affects emotional wellbeing and relationships with peers, parents and wider family. It can be isolating and limit access to wider opportunities that would support wellbeing. It is not just the impacts of unstable family finances that affect children’s mental health, but they worry about family finances themselves – for example, our survey of 2000 parents across the UK in 2025 found that 32% felt their children would be worried about the costs of Christmas and family finances.</w:t>
      </w:r>
    </w:p>
    <w:p w:rsidR="002645E3" w:rsidRPr="00AB5B10" w:rsidP="000640AF">
      <w:pPr>
        <w:pStyle w:val="Header3"/>
        <w:rPr>
          <w:rFonts w:ascii="Calibri" w:hAnsi="Calibri" w:cs="Calibri"/>
          <w:color w:val="auto"/>
        </w:rPr>
      </w:pPr>
      <w:r w:rsidRPr="00AB5B10">
        <w:rPr>
          <w:rFonts w:ascii="Calibri" w:hAnsi="Calibri" w:cs="Calibri"/>
          <w:color w:val="auto"/>
        </w:rPr>
        <w:t>What evidence is there that effective delivery of mental health support for children and young people in education settings and open-access provision reduces demand on CAMHS and acute NHS services? </w:t>
      </w:r>
    </w:p>
    <w:p w:rsidR="002645E3" w:rsidRPr="00AB5B10" w:rsidP="000640AF">
      <w:pPr>
        <w:numPr>
          <w:ilvl w:val="1"/>
          <w:numId w:val="25"/>
        </w:numPr>
        <w:spacing w:after="0"/>
        <w:rPr>
          <w:rFonts w:ascii="Calibri" w:hAnsi="Calibri" w:cs="Calibri"/>
        </w:rPr>
      </w:pPr>
      <w:r w:rsidRPr="00AB5B10">
        <w:rPr>
          <w:rFonts w:ascii="Calibri" w:hAnsi="Calibri" w:cs="Calibri"/>
        </w:rPr>
        <w:t>How effective are current early</w:t>
      </w:r>
      <w:r w:rsidRPr="00AB5B10">
        <w:rPr>
          <w:rFonts w:ascii="Calibri" w:hAnsi="Calibri" w:cs="Calibri"/>
        </w:rPr>
        <w:noBreakHyphen/>
        <w:t>intervention models across health and education, in identifying mental health concerns in children and young people at the earliest possible stage?  </w:t>
      </w:r>
    </w:p>
    <w:p w:rsidR="002645E3" w:rsidRPr="00AB5B10" w:rsidP="000640AF">
      <w:pPr>
        <w:numPr>
          <w:ilvl w:val="1"/>
          <w:numId w:val="25"/>
        </w:numPr>
        <w:spacing w:after="0"/>
        <w:rPr>
          <w:rFonts w:ascii="Calibri" w:hAnsi="Calibri" w:cs="Calibri"/>
        </w:rPr>
      </w:pPr>
      <w:r w:rsidRPr="00AB5B10">
        <w:rPr>
          <w:rFonts w:ascii="Calibri" w:hAnsi="Calibri" w:cs="Calibri"/>
        </w:rPr>
        <w:t>How effective are current referral pathways between education, community services and NHS services in ensuring timely and appropriate access to mental health support for children and young people? </w:t>
      </w:r>
    </w:p>
    <w:p w:rsidR="002645E3" w:rsidRPr="00AB5B10" w:rsidP="000640AF">
      <w:pPr>
        <w:numPr>
          <w:ilvl w:val="1"/>
          <w:numId w:val="25"/>
        </w:numPr>
        <w:spacing w:after="0"/>
        <w:rPr>
          <w:rFonts w:ascii="Calibri" w:hAnsi="Calibri" w:cs="Calibri"/>
        </w:rPr>
      </w:pPr>
      <w:r w:rsidRPr="00AB5B10">
        <w:rPr>
          <w:rFonts w:ascii="Calibri" w:hAnsi="Calibri" w:cs="Calibri"/>
        </w:rPr>
        <w:t>How could pathways be improved to increase the continuity of support available to children and young people underserved by current provision? </w:t>
      </w:r>
    </w:p>
    <w:p w:rsidR="002645E3" w:rsidRPr="00AB5B10" w:rsidP="0009519F">
      <w:pPr>
        <w:spacing w:after="0"/>
        <w:rPr>
          <w:rFonts w:ascii="Calibri" w:hAnsi="Calibri" w:cs="Calibri"/>
        </w:rPr>
      </w:pPr>
    </w:p>
    <w:p w:rsidR="002645E3" w:rsidRPr="00AB5B10" w:rsidP="001E0C84">
      <w:pPr>
        <w:spacing w:after="0"/>
        <w:rPr>
          <w:rFonts w:ascii="Calibri" w:hAnsi="Calibri" w:cs="Calibri"/>
        </w:rPr>
      </w:pPr>
      <w:r w:rsidRPr="00AB5B10">
        <w:rPr>
          <w:rFonts w:ascii="Calibri" w:hAnsi="Calibri" w:cs="Calibri"/>
        </w:rPr>
        <w:t>Mental Health is still treated too separately from considerations about other conditions, and the structural issues that can contribute to mental health issues in the first place. Too often we still focus on the patient and not their wider family circumstances, as outlined above. The roll out of Social Prescribing across the NHS has helped to address some of these issues, but there is huge regional inequality in the services that Social Prescribing staff can refer people on to, and there is a need to explore much more how this type of support can work for children and within secondary care, which we trialled with Healthy London Partnership and evaluated in 2018. The ongoing funding of only staff costs and not clinical supervision and other management charges in Social Prescribing, also makes it very difficult for the VCS to support provision of Social Prescribing without having to subsidise the provision of these services from our own charitable resources. This is a problem that could be easily fixed with a little extra investment</w:t>
      </w:r>
    </w:p>
    <w:p w:rsidR="002645E3" w:rsidRPr="00AB5B10" w:rsidP="001E0C84">
      <w:pPr>
        <w:spacing w:after="0"/>
        <w:rPr>
          <w:rFonts w:ascii="Calibri" w:hAnsi="Calibri" w:cs="Calibri"/>
        </w:rPr>
      </w:pPr>
    </w:p>
    <w:p w:rsidR="002645E3" w:rsidRPr="00AB5B10" w:rsidP="00CE2C0A">
      <w:pPr>
        <w:rPr>
          <w:rFonts w:ascii="Calibri" w:hAnsi="Calibri" w:cs="Calibri"/>
        </w:rPr>
      </w:pPr>
      <w:r w:rsidRPr="00AB5B10">
        <w:rPr>
          <w:rFonts w:ascii="Calibri" w:hAnsi="Calibri" w:cs="Calibri"/>
        </w:rPr>
        <w:t>In our experience, there is also no planned transition between children’s and adult’s services, with adult services not always being able to meet the needs of young adults, and CAMHS waiting lists shortening the time available for children’s services to address needs before the transition in law to adulthood happens. Our Off Centre Service in Hackney is one of the few services we know of that can work with young people and young adults up to the age of 25, and the peak age of our referrals is 18 (42% of referrals in 2023). We work closely with adult mental health neighbourhood teams.</w:t>
      </w:r>
    </w:p>
    <w:p w:rsidR="002645E3" w:rsidRPr="00AB5B10" w:rsidP="000640AF">
      <w:pPr>
        <w:pStyle w:val="Header3"/>
        <w:rPr>
          <w:rFonts w:ascii="Calibri" w:hAnsi="Calibri" w:cs="Calibri"/>
          <w:color w:val="auto"/>
        </w:rPr>
      </w:pPr>
      <w:r w:rsidRPr="00AB5B10">
        <w:rPr>
          <w:rFonts w:ascii="Calibri" w:hAnsi="Calibri" w:cs="Calibri"/>
          <w:color w:val="auto"/>
        </w:rPr>
        <w:t>What practical barriers affect joint working between education settings, local authorities, NHS services and voluntary and community sector organisations in supporting children and young people’s mental health, and how could these be addressed? </w:t>
      </w:r>
    </w:p>
    <w:p w:rsidR="002645E3" w:rsidRPr="00AB5B10" w:rsidP="000640AF">
      <w:pPr>
        <w:numPr>
          <w:ilvl w:val="1"/>
          <w:numId w:val="25"/>
        </w:numPr>
        <w:spacing w:after="0"/>
        <w:rPr>
          <w:rFonts w:ascii="Calibri" w:hAnsi="Calibri" w:cs="Calibri"/>
        </w:rPr>
      </w:pPr>
      <w:r w:rsidRPr="00AB5B10">
        <w:rPr>
          <w:rFonts w:ascii="Calibri" w:hAnsi="Calibri" w:cs="Calibri"/>
        </w:rPr>
        <w:t>How can education-based, voluntary and community, and health workforces collaborate to optimise the mental health workforce and ensure sufficient support for children within capacity constraints? </w:t>
      </w:r>
    </w:p>
    <w:p w:rsidR="002645E3" w:rsidRPr="00AB5B10" w:rsidP="00E40468">
      <w:pPr>
        <w:spacing w:after="0"/>
        <w:rPr>
          <w:rFonts w:ascii="Calibri" w:hAnsi="Calibri" w:cs="Calibri"/>
        </w:rPr>
      </w:pPr>
    </w:p>
    <w:p w:rsidR="002645E3" w:rsidRPr="00AB5B10" w:rsidP="000568BF">
      <w:pPr>
        <w:spacing w:after="0"/>
        <w:rPr>
          <w:rFonts w:ascii="Calibri" w:hAnsi="Calibri" w:cs="Calibri"/>
        </w:rPr>
      </w:pPr>
      <w:r w:rsidRPr="00AB5B10">
        <w:rPr>
          <w:rFonts w:ascii="Calibri" w:hAnsi="Calibri" w:cs="Calibri"/>
        </w:rPr>
        <w:t>There is still a lack of parity of esteem between the NHS workforce and the VCS workforce that provides related services, such as children’s therapeutic support, and this can hinder partnership working. We know in some areas, the wider range of modalities we can use compared to NHS services, or the ability to work with other modalities in one service with clear boundaries is valued, but we are often not engaged with on a broader planning level of how a locality will meet need through various pathways, leading to us receiving referrals where if we take the case, the child is removed from the waiting list, but we may not be addressing all the needs that led to them being on the waiting list in the first place. This causes safeguarding issues and can mean our staff managing an unacceptably high level of risk. Considerations of the total work-force available to meet CYP mental health needs should reflect on how many staff there are in other sectors/organisations, not just the NHS, and how they can help. This more holistic approach to workforce would increase the total capacity available to support the NHS without requiring the NHS to recruit more staff itself as the only possible solution. In our children’s therapeutic services, we are unable to take cases where the mental health risk threshold is too high. We could take these cases if CAMHS worked in partnership with us better to manage the risk, but they will not do so without clinical governance of our service – these issues need to be explored to provide joined up, effective and efficient services.</w:t>
      </w:r>
    </w:p>
    <w:p w:rsidR="002645E3" w:rsidRPr="00AB5B10" w:rsidP="000568BF">
      <w:pPr>
        <w:spacing w:after="0"/>
        <w:rPr>
          <w:rFonts w:ascii="Calibri" w:hAnsi="Calibri" w:cs="Calibri"/>
        </w:rPr>
      </w:pPr>
    </w:p>
    <w:p w:rsidR="002645E3" w:rsidRPr="00AB5B10" w:rsidP="000640AF">
      <w:pPr>
        <w:numPr>
          <w:ilvl w:val="1"/>
          <w:numId w:val="25"/>
        </w:numPr>
        <w:spacing w:after="0"/>
        <w:rPr>
          <w:rFonts w:ascii="Calibri" w:hAnsi="Calibri" w:cs="Calibri"/>
        </w:rPr>
      </w:pPr>
      <w:r w:rsidRPr="00AB5B10">
        <w:rPr>
          <w:rFonts w:ascii="Calibri" w:hAnsi="Calibri" w:cs="Calibri"/>
        </w:rPr>
        <w:t>Are resources targeted to where they are most needed? Are there changes to commissioning and funding arrangements that would most improve the join up of local delivery of mental health support for children and young people? </w:t>
      </w:r>
    </w:p>
    <w:p w:rsidR="002645E3" w:rsidRPr="00AB5B10" w:rsidP="006C0A06">
      <w:pPr>
        <w:spacing w:after="0"/>
        <w:rPr>
          <w:rFonts w:ascii="Calibri" w:hAnsi="Calibri" w:cs="Calibri"/>
        </w:rPr>
      </w:pPr>
    </w:p>
    <w:p w:rsidR="002645E3" w:rsidRPr="00AB5B10" w:rsidP="007573F0">
      <w:pPr>
        <w:spacing w:after="0"/>
        <w:rPr>
          <w:rFonts w:ascii="Calibri" w:hAnsi="Calibri" w:cs="Calibri"/>
        </w:rPr>
      </w:pPr>
      <w:r w:rsidRPr="00AB5B10">
        <w:rPr>
          <w:rFonts w:ascii="Calibri" w:hAnsi="Calibri" w:cs="Calibri"/>
        </w:rPr>
        <w:t>Despite the intention of ICBs to improve partnership working, this has actually created a fragmented picture, and it takes a lot of time for voluntary sector providers to find out who is the right person to talk to within these structures to discuss population needs and ideas.</w:t>
      </w:r>
    </w:p>
    <w:p w:rsidR="002645E3" w:rsidRPr="00AB5B10" w:rsidP="007573F0">
      <w:pPr>
        <w:spacing w:after="0"/>
        <w:rPr>
          <w:rFonts w:ascii="Calibri" w:hAnsi="Calibri" w:cs="Calibri"/>
        </w:rPr>
      </w:pPr>
    </w:p>
    <w:p w:rsidR="002645E3" w:rsidRPr="00AB5B10" w:rsidP="006C0A06">
      <w:pPr>
        <w:spacing w:after="0"/>
        <w:rPr>
          <w:rFonts w:ascii="Calibri" w:hAnsi="Calibri" w:cs="Calibri"/>
        </w:rPr>
      </w:pPr>
      <w:r w:rsidRPr="00AB5B10">
        <w:rPr>
          <w:rFonts w:ascii="Calibri" w:hAnsi="Calibri" w:cs="Calibri"/>
        </w:rPr>
        <w:t>Shared funding commitments for roles like social prescribers and mental health practitioners should be evaluated and, where necessary, enable alternative contracting and funding arrangements co-designed between primary care/ICBs and providers. Now that there is a growing and diversified workforce pool in primary care, it is essential that this is better connected to other system partners and a workforce strategy is developed alongside this.</w:t>
      </w:r>
    </w:p>
    <w:p w:rsidR="002645E3" w:rsidRPr="00AB5B10" w:rsidP="006C0A06">
      <w:pPr>
        <w:spacing w:after="0"/>
        <w:rPr>
          <w:rFonts w:ascii="Calibri" w:hAnsi="Calibri" w:cs="Calibri"/>
        </w:rPr>
      </w:pPr>
    </w:p>
    <w:p w:rsidR="002645E3" w:rsidRPr="00AB5B10" w:rsidP="000640AF">
      <w:pPr>
        <w:numPr>
          <w:ilvl w:val="1"/>
          <w:numId w:val="25"/>
        </w:numPr>
        <w:spacing w:after="0"/>
        <w:rPr>
          <w:rFonts w:ascii="Calibri" w:hAnsi="Calibri" w:cs="Calibri"/>
        </w:rPr>
      </w:pPr>
      <w:r w:rsidRPr="00AB5B10">
        <w:rPr>
          <w:rFonts w:ascii="Calibri" w:hAnsi="Calibri" w:cs="Calibri"/>
        </w:rPr>
        <w:t>What role should ICBs and local authorities play in joining-up mental health support in health and education settings? </w:t>
      </w:r>
    </w:p>
    <w:p w:rsidR="002645E3" w:rsidRPr="00AB5B10" w:rsidP="006C0A06">
      <w:pPr>
        <w:spacing w:after="0"/>
        <w:ind w:left="1440"/>
        <w:rPr>
          <w:rFonts w:ascii="Calibri" w:hAnsi="Calibri" w:cs="Calibri"/>
        </w:rPr>
      </w:pPr>
    </w:p>
    <w:p w:rsidR="002645E3" w:rsidRPr="00AB5B10" w:rsidP="00C975DF">
      <w:pPr>
        <w:rPr>
          <w:rFonts w:ascii="Calibri" w:hAnsi="Calibri" w:cs="Calibri"/>
        </w:rPr>
      </w:pPr>
      <w:r w:rsidRPr="00AB5B10">
        <w:rPr>
          <w:rFonts w:ascii="Calibri" w:hAnsi="Calibri" w:cs="Calibri"/>
        </w:rPr>
        <w:t>ICBs and Local Authorities need to support the development of better understanding of how and where adult health needs are linked to CYP impacts and support needs and vice versa. For example, we run Young Carers services across the country, and are aware that in many cases where their parent is receiving support from the NHS, this information is not linked with social care to make sure that young person is receiving appropriate support. Where this means that young person doesn’t or can’t access appropriate support, the resulting stress, pressure and isolation from their peers, will inexorably impact on their own mental health and wellbeing. We ran a successful trial in Windsor and Maidenhead Young Carers Service to increase identification of Young Carers through healthcare settings, training practitioners in using questions and conversation pathways during adult healthcare consultations and linking these to SNOMED CT codes for carers so that this information was included within NHS systems.</w:t>
      </w:r>
    </w:p>
    <w:p w:rsidR="002645E3" w:rsidRPr="00AB5B10" w:rsidP="000640AF">
      <w:pPr>
        <w:pStyle w:val="Header3"/>
        <w:rPr>
          <w:rFonts w:ascii="Calibri" w:hAnsi="Calibri" w:cs="Calibri"/>
          <w:color w:val="auto"/>
        </w:rPr>
      </w:pPr>
      <w:r w:rsidRPr="00AB5B10">
        <w:rPr>
          <w:rStyle w:val="Header3Char"/>
          <w:rFonts w:ascii="Calibri" w:hAnsi="Calibri" w:cs="Calibri"/>
          <w:b/>
          <w:color w:val="auto"/>
        </w:rPr>
        <w:t>Is there sufficient alignment between the strategies and reviews of the Department of Health and social care and Department for Education</w:t>
      </w:r>
      <w:r w:rsidRPr="00AB5B10">
        <w:rPr>
          <w:rFonts w:ascii="Calibri" w:hAnsi="Calibri" w:cs="Calibri"/>
          <w:color w:val="auto"/>
        </w:rPr>
        <w:t>?  </w:t>
      </w:r>
    </w:p>
    <w:p w:rsidR="002645E3" w:rsidRPr="00AB5B10" w:rsidP="000640AF">
      <w:pPr>
        <w:numPr>
          <w:ilvl w:val="1"/>
          <w:numId w:val="25"/>
        </w:numPr>
        <w:spacing w:after="0"/>
        <w:rPr>
          <w:rFonts w:ascii="Calibri" w:hAnsi="Calibri" w:cs="Calibri"/>
        </w:rPr>
      </w:pPr>
      <w:r w:rsidRPr="00AB5B10">
        <w:rPr>
          <w:rFonts w:ascii="Calibri" w:hAnsi="Calibri" w:cs="Calibri"/>
        </w:rPr>
        <w:t>How can accountability for outcomes be better shared across government? </w:t>
      </w:r>
    </w:p>
    <w:p w:rsidR="002645E3" w:rsidRPr="00AB5B10" w:rsidP="000640AF">
      <w:pPr>
        <w:numPr>
          <w:ilvl w:val="1"/>
          <w:numId w:val="25"/>
        </w:numPr>
        <w:spacing w:after="0"/>
        <w:rPr>
          <w:rFonts w:ascii="Calibri" w:hAnsi="Calibri" w:cs="Calibri"/>
        </w:rPr>
      </w:pPr>
      <w:r w:rsidRPr="00AB5B10">
        <w:rPr>
          <w:rFonts w:ascii="Calibri" w:hAnsi="Calibri" w:cs="Calibri"/>
        </w:rPr>
        <w:t>How can public services be held accountable for delivering these outcomes? </w:t>
      </w:r>
    </w:p>
    <w:p w:rsidR="002645E3" w:rsidRPr="00AB5B10" w:rsidP="0097383E">
      <w:pPr>
        <w:spacing w:after="0"/>
        <w:ind w:left="1440"/>
        <w:rPr>
          <w:rFonts w:ascii="Calibri" w:hAnsi="Calibri" w:cs="Calibri"/>
        </w:rPr>
      </w:pPr>
    </w:p>
    <w:p w:rsidR="002645E3" w:rsidRPr="00AB5B10" w:rsidP="00414F4F">
      <w:pPr>
        <w:spacing w:after="0"/>
        <w:rPr>
          <w:rFonts w:ascii="Calibri" w:hAnsi="Calibri" w:cs="Calibri"/>
        </w:rPr>
      </w:pPr>
      <w:r w:rsidRPr="00AB5B10">
        <w:rPr>
          <w:rFonts w:ascii="Calibri" w:hAnsi="Calibri" w:cs="Calibri"/>
        </w:rPr>
        <w:t xml:space="preserve">We are pleased to see the inclusion of more CYP focused elements in the Medium Term Planning Framework released by NHSE recently, though we are aware through our attendance of NHSE Stakeholder Council meetings that it is an ongoing challenge to keep the specific health needs of children and young people central in ongoing planning and accountability frameworks – too often they are seen as a population group for whom adult services can be adapted, rather than the whole population at a stage in life whose needs should be central to decision making and accountability structures. </w:t>
      </w:r>
    </w:p>
    <w:p w:rsidR="00EA76B4" w:rsidRPr="00AB5B10" w:rsidP="00414F4F">
      <w:pPr>
        <w:spacing w:after="0"/>
        <w:rPr>
          <w:rFonts w:ascii="Calibri" w:hAnsi="Calibri" w:cs="Calibri"/>
        </w:rPr>
      </w:pPr>
    </w:p>
    <w:p w:rsidR="00EA76B4" w:rsidRPr="00AB5B10" w:rsidP="00414F4F">
      <w:pPr>
        <w:spacing w:after="0"/>
        <w:rPr>
          <w:rFonts w:ascii="Calibri" w:hAnsi="Calibri" w:cs="Calibri"/>
          <w:i/>
          <w:iCs/>
        </w:rPr>
      </w:pPr>
      <w:r>
        <w:rPr>
          <w:rFonts w:ascii="Calibri" w:hAnsi="Calibri" w:cs="Calibri"/>
          <w:i/>
          <w:iCs/>
        </w:rPr>
        <w:t>March</w:t>
      </w:r>
      <w:r w:rsidRPr="00AB5B10">
        <w:rPr>
          <w:rFonts w:ascii="Calibri" w:hAnsi="Calibri" w:cs="Calibri"/>
          <w:i/>
          <w:iCs/>
        </w:rPr>
        <w:t xml:space="preserve"> 2026</w:t>
      </w:r>
    </w:p>
    <w:p w:rsidR="002645E3" w:rsidRPr="00AB5B10" w:rsidP="00414F4F">
      <w:pPr>
        <w:spacing w:after="0"/>
        <w:rPr>
          <w:rFonts w:ascii="Calibri" w:hAnsi="Calibri" w:cs="Calibri"/>
        </w:rPr>
      </w:pPr>
    </w:p>
    <w:sectPr w:rsidSect="007351F7">
      <w:pgSz w:w="11906" w:h="16838"/>
      <w:pgMar w:top="851" w:right="1080" w:bottom="1440" w:left="1080" w:header="709" w:footer="709"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VAG Rounded Std">
    <w:altName w:val="Calibri"/>
    <w:charset w:val="00"/>
    <w:family w:val="swiss"/>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VAG Rounded">
    <w:altName w:val="Calibri"/>
    <w:charset w:val="00"/>
    <w:family w:val="auto"/>
    <w:pitch w:val="variable"/>
    <w:sig w:usb0="80000003" w:usb1="00000000" w:usb2="00000000" w:usb3="00000000" w:csb0="00000001" w:csb1="00000000"/>
  </w:font>
  <w:font w:name="VAGRounded LT Bold">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1F4383"/>
    <w:multiLevelType w:val="hybridMultilevel"/>
    <w:tmpl w:val="EABE2EB4"/>
    <w:lvl w:ilvl="0">
      <w:start w:val="1"/>
      <w:numFmt w:val="bullet"/>
      <w:lvlText w:val=""/>
      <w:lvlJc w:val="left"/>
      <w:pPr>
        <w:ind w:left="720" w:hanging="360"/>
      </w:pPr>
      <w:rPr>
        <w:rFonts w:ascii="Symbol" w:hAnsi="Symbol" w:hint="default"/>
        <w:u w:color="BDCF3C"/>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2BE69CE"/>
    <w:multiLevelType w:val="multilevel"/>
    <w:tmpl w:val="BF3E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5850F3"/>
    <w:multiLevelType w:val="multilevel"/>
    <w:tmpl w:val="94B0C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2022BF"/>
    <w:multiLevelType w:val="multilevel"/>
    <w:tmpl w:val="5F82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3C0BB4"/>
    <w:multiLevelType w:val="multilevel"/>
    <w:tmpl w:val="5DC85424"/>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5">
    <w:nsid w:val="0E0500D1"/>
    <w:multiLevelType w:val="multilevel"/>
    <w:tmpl w:val="05420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2D1455"/>
    <w:multiLevelType w:val="multilevel"/>
    <w:tmpl w:val="4CAE1D9A"/>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7">
    <w:nsid w:val="0FAA2556"/>
    <w:multiLevelType w:val="multilevel"/>
    <w:tmpl w:val="28A25378"/>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8">
    <w:nsid w:val="104D1D4A"/>
    <w:multiLevelType w:val="hybridMultilevel"/>
    <w:tmpl w:val="6C24FE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4B10E78"/>
    <w:multiLevelType w:val="multilevel"/>
    <w:tmpl w:val="83FCBCCE"/>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10">
    <w:nsid w:val="15451A7D"/>
    <w:multiLevelType w:val="multilevel"/>
    <w:tmpl w:val="C18CC614"/>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11">
    <w:nsid w:val="16846873"/>
    <w:multiLevelType w:val="multilevel"/>
    <w:tmpl w:val="887C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7169C3"/>
    <w:multiLevelType w:val="multilevel"/>
    <w:tmpl w:val="3C1C4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926B02"/>
    <w:multiLevelType w:val="multilevel"/>
    <w:tmpl w:val="4C884EA2"/>
    <w:lvl w:ilvl="0">
      <w:start w:val="1"/>
      <w:numFmt w:val="decimal"/>
      <w:pStyle w:val="Numberedbullets"/>
      <w:lvlText w:val="%1."/>
      <w:lvlJc w:val="left"/>
      <w:pPr>
        <w:ind w:left="454" w:hanging="454"/>
      </w:pPr>
      <w:rPr>
        <w:rFonts w:ascii="DM Sans" w:hAnsi="DM Sans" w:hint="default"/>
        <w:b/>
        <w:i w:val="0"/>
        <w:color w:val="178351"/>
      </w:rPr>
    </w:lvl>
    <w:lvl w:ilvl="1">
      <w:start w:val="1"/>
      <w:numFmt w:val="lowerLetter"/>
      <w:lvlText w:val="%2."/>
      <w:lvlJc w:val="left"/>
      <w:pPr>
        <w:ind w:left="908" w:hanging="454"/>
      </w:pPr>
      <w:rPr>
        <w:rFonts w:hint="default"/>
      </w:rPr>
    </w:lvl>
    <w:lvl w:ilvl="2">
      <w:start w:val="1"/>
      <w:numFmt w:val="lowerRoman"/>
      <w:lvlText w:val="%3."/>
      <w:lvlJc w:val="righ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14">
    <w:nsid w:val="2B3841A0"/>
    <w:multiLevelType w:val="hybridMultilevel"/>
    <w:tmpl w:val="CFF0B20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B440FC1"/>
    <w:multiLevelType w:val="multilevel"/>
    <w:tmpl w:val="1F16ED3C"/>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16">
    <w:nsid w:val="2D6773EA"/>
    <w:multiLevelType w:val="multilevel"/>
    <w:tmpl w:val="6EE6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D1686A"/>
    <w:multiLevelType w:val="multilevel"/>
    <w:tmpl w:val="0868E8CC"/>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18">
    <w:nsid w:val="3DD31891"/>
    <w:multiLevelType w:val="multilevel"/>
    <w:tmpl w:val="7A82741C"/>
    <w:lvl w:ilvl="0">
      <w:start w:val="1"/>
      <w:numFmt w:val="bullet"/>
      <w:lvlText w:val=""/>
      <w:lvlJc w:val="left"/>
      <w:pPr>
        <w:ind w:left="680" w:hanging="340"/>
      </w:pPr>
      <w:rPr>
        <w:rFonts w:ascii="Symbol" w:hAnsi="Symbol" w:hint="default"/>
        <w:color w:val="178351"/>
      </w:rPr>
    </w:lvl>
    <w:lvl w:ilvl="1">
      <w:start w:val="1"/>
      <w:numFmt w:val="bullet"/>
      <w:lvlText w:val=""/>
      <w:lvlJc w:val="left"/>
      <w:pPr>
        <w:ind w:left="1020" w:hanging="340"/>
      </w:pPr>
      <w:rPr>
        <w:rFonts w:ascii="Symbol" w:hAnsi="Symbol" w:hint="default"/>
        <w:b w:val="0"/>
        <w:i w:val="0"/>
        <w:color w:val="178351"/>
      </w:rPr>
    </w:lvl>
    <w:lvl w:ilvl="2">
      <w:start w:val="1"/>
      <w:numFmt w:val="bullet"/>
      <w:lvlText w:val="o"/>
      <w:lvlJc w:val="left"/>
      <w:pPr>
        <w:ind w:left="1360" w:hanging="340"/>
      </w:pPr>
      <w:rPr>
        <w:rFonts w:ascii="Courier New" w:hAnsi="Courier New" w:hint="default"/>
        <w:b w:val="0"/>
        <w:i w:val="0"/>
      </w:rPr>
    </w:lvl>
    <w:lvl w:ilvl="3">
      <w:start w:val="1"/>
      <w:numFmt w:val="bullet"/>
      <w:lvlText w:val=""/>
      <w:lvlJc w:val="left"/>
      <w:pPr>
        <w:ind w:left="1700" w:hanging="340"/>
      </w:pPr>
      <w:rPr>
        <w:rFonts w:ascii="Symbol" w:hAnsi="Symbol" w:hint="default"/>
      </w:rPr>
    </w:lvl>
    <w:lvl w:ilvl="4">
      <w:start w:val="1"/>
      <w:numFmt w:val="bullet"/>
      <w:lvlText w:val="o"/>
      <w:lvlJc w:val="left"/>
      <w:pPr>
        <w:ind w:left="2040" w:hanging="340"/>
      </w:pPr>
      <w:rPr>
        <w:rFonts w:ascii="Courier New" w:hAnsi="Courier New" w:hint="default"/>
      </w:rPr>
    </w:lvl>
    <w:lvl w:ilvl="5">
      <w:start w:val="1"/>
      <w:numFmt w:val="bullet"/>
      <w:lvlText w:val=""/>
      <w:lvlJc w:val="left"/>
      <w:pPr>
        <w:ind w:left="2380" w:hanging="340"/>
      </w:pPr>
      <w:rPr>
        <w:rFonts w:ascii="Wingdings" w:hAnsi="Wingdings" w:hint="default"/>
      </w:rPr>
    </w:lvl>
    <w:lvl w:ilvl="6">
      <w:start w:val="1"/>
      <w:numFmt w:val="bullet"/>
      <w:lvlText w:val=""/>
      <w:lvlJc w:val="left"/>
      <w:pPr>
        <w:ind w:left="2720" w:hanging="340"/>
      </w:pPr>
      <w:rPr>
        <w:rFonts w:ascii="Symbol" w:hAnsi="Symbol" w:hint="default"/>
      </w:rPr>
    </w:lvl>
    <w:lvl w:ilvl="7">
      <w:start w:val="1"/>
      <w:numFmt w:val="bullet"/>
      <w:lvlText w:val="o"/>
      <w:lvlJc w:val="left"/>
      <w:pPr>
        <w:ind w:left="3060" w:hanging="340"/>
      </w:pPr>
      <w:rPr>
        <w:rFonts w:ascii="Courier New" w:hAnsi="Courier New" w:hint="default"/>
      </w:rPr>
    </w:lvl>
    <w:lvl w:ilvl="8">
      <w:start w:val="1"/>
      <w:numFmt w:val="bullet"/>
      <w:lvlText w:val=""/>
      <w:lvlJc w:val="left"/>
      <w:pPr>
        <w:ind w:left="3400" w:hanging="340"/>
      </w:pPr>
      <w:rPr>
        <w:rFonts w:ascii="Wingdings" w:hAnsi="Wingdings" w:hint="default"/>
      </w:rPr>
    </w:lvl>
  </w:abstractNum>
  <w:abstractNum w:abstractNumId="19">
    <w:nsid w:val="3F210EBE"/>
    <w:multiLevelType w:val="multilevel"/>
    <w:tmpl w:val="B6A69D6E"/>
    <w:lvl w:ilvl="0">
      <w:start w:val="1"/>
      <w:numFmt w:val="bullet"/>
      <w:lvlText w:val=""/>
      <w:lvlJc w:val="left"/>
      <w:pPr>
        <w:ind w:left="680" w:hanging="340"/>
      </w:pPr>
      <w:rPr>
        <w:rFonts w:ascii="Symbol" w:hAnsi="Symbol" w:hint="default"/>
        <w:color w:val="178351"/>
      </w:rPr>
    </w:lvl>
    <w:lvl w:ilvl="1">
      <w:start w:val="1"/>
      <w:numFmt w:val="bullet"/>
      <w:lvlText w:val=""/>
      <w:lvlJc w:val="left"/>
      <w:pPr>
        <w:ind w:left="1021" w:hanging="341"/>
      </w:pPr>
      <w:rPr>
        <w:rFonts w:ascii="Symbol" w:hAnsi="Symbol" w:hint="default"/>
        <w:b w:val="0"/>
        <w:i w:val="0"/>
        <w:color w:val="178351"/>
      </w:rPr>
    </w:lvl>
    <w:lvl w:ilvl="2">
      <w:start w:val="1"/>
      <w:numFmt w:val="bullet"/>
      <w:lvlText w:val=""/>
      <w:lvlJc w:val="left"/>
      <w:pPr>
        <w:ind w:left="1247" w:hanging="340"/>
      </w:pPr>
      <w:rPr>
        <w:rFonts w:ascii="Symbol" w:hAnsi="Symbol" w:hint="default"/>
        <w:b w:val="0"/>
        <w:i w:val="0"/>
        <w:color w:val="178351"/>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419C506E"/>
    <w:multiLevelType w:val="multilevel"/>
    <w:tmpl w:val="8236B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162769"/>
    <w:multiLevelType w:val="multilevel"/>
    <w:tmpl w:val="20E8A7F8"/>
    <w:lvl w:ilvl="0">
      <w:start w:val="1"/>
      <w:numFmt w:val="decimal"/>
      <w:pStyle w:val="Header3-whit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46CA0901"/>
    <w:multiLevelType w:val="multilevel"/>
    <w:tmpl w:val="1D885CFA"/>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23">
    <w:nsid w:val="53231C1B"/>
    <w:multiLevelType w:val="hybridMultilevel"/>
    <w:tmpl w:val="F880039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4">
    <w:nsid w:val="5D072882"/>
    <w:multiLevelType w:val="multilevel"/>
    <w:tmpl w:val="81C28AFC"/>
    <w:lvl w:ilvl="0">
      <w:start w:val="1"/>
      <w:numFmt w:val="bullet"/>
      <w:pStyle w:val="Bullets"/>
      <w:lvlText w:val=""/>
      <w:lvlJc w:val="left"/>
      <w:pPr>
        <w:ind w:left="454" w:hanging="454"/>
      </w:pPr>
      <w:rPr>
        <w:rFonts w:ascii="Symbol" w:hAnsi="Symbol" w:hint="default"/>
        <w:color w:val="178351"/>
      </w:rPr>
    </w:lvl>
    <w:lvl w:ilvl="1">
      <w:start w:val="1"/>
      <w:numFmt w:val="bullet"/>
      <w:lvlText w:val=""/>
      <w:lvlJc w:val="left"/>
      <w:pPr>
        <w:ind w:left="908" w:hanging="454"/>
      </w:pPr>
      <w:rPr>
        <w:rFonts w:ascii="Symbol" w:hAnsi="Symbol" w:hint="default"/>
        <w:b w:val="0"/>
        <w:i w:val="0"/>
        <w:color w:val="178351"/>
      </w:rPr>
    </w:lvl>
    <w:lvl w:ilvl="2">
      <w:start w:val="1"/>
      <w:numFmt w:val="bullet"/>
      <w:lvlText w:val="o"/>
      <w:lvlJc w:val="left"/>
      <w:pPr>
        <w:tabs>
          <w:tab w:val="num" w:pos="964"/>
        </w:tabs>
        <w:ind w:left="1362" w:hanging="454"/>
      </w:pPr>
      <w:rPr>
        <w:rFonts w:ascii="Courier New" w:hAnsi="Courier New" w:hint="default"/>
        <w:b w:val="0"/>
        <w:i w:val="0"/>
      </w:rPr>
    </w:lvl>
    <w:lvl w:ilvl="3">
      <w:start w:val="1"/>
      <w:numFmt w:val="bullet"/>
      <w:lvlText w:val=""/>
      <w:lvlJc w:val="left"/>
      <w:pPr>
        <w:ind w:left="1816" w:hanging="454"/>
      </w:pPr>
      <w:rPr>
        <w:rFonts w:ascii="Symbol" w:hAnsi="Symbol" w:hint="default"/>
      </w:rPr>
    </w:lvl>
    <w:lvl w:ilvl="4">
      <w:start w:val="1"/>
      <w:numFmt w:val="bullet"/>
      <w:lvlText w:val="o"/>
      <w:lvlJc w:val="left"/>
      <w:pPr>
        <w:ind w:left="2270" w:hanging="454"/>
      </w:pPr>
      <w:rPr>
        <w:rFonts w:ascii="Courier New" w:hAnsi="Courier New" w:hint="default"/>
      </w:rPr>
    </w:lvl>
    <w:lvl w:ilvl="5">
      <w:start w:val="1"/>
      <w:numFmt w:val="bullet"/>
      <w:lvlText w:val=""/>
      <w:lvlJc w:val="left"/>
      <w:pPr>
        <w:ind w:left="2724" w:hanging="454"/>
      </w:pPr>
      <w:rPr>
        <w:rFonts w:ascii="Wingdings" w:hAnsi="Wingdings" w:hint="default"/>
      </w:rPr>
    </w:lvl>
    <w:lvl w:ilvl="6">
      <w:start w:val="1"/>
      <w:numFmt w:val="bullet"/>
      <w:lvlText w:val=""/>
      <w:lvlJc w:val="left"/>
      <w:pPr>
        <w:ind w:left="3178" w:hanging="454"/>
      </w:pPr>
      <w:rPr>
        <w:rFonts w:ascii="Symbol" w:hAnsi="Symbol" w:hint="default"/>
      </w:rPr>
    </w:lvl>
    <w:lvl w:ilvl="7">
      <w:start w:val="1"/>
      <w:numFmt w:val="bullet"/>
      <w:lvlText w:val="o"/>
      <w:lvlJc w:val="left"/>
      <w:pPr>
        <w:ind w:left="3632" w:hanging="454"/>
      </w:pPr>
      <w:rPr>
        <w:rFonts w:ascii="Courier New" w:hAnsi="Courier New" w:hint="default"/>
      </w:rPr>
    </w:lvl>
    <w:lvl w:ilvl="8">
      <w:start w:val="1"/>
      <w:numFmt w:val="bullet"/>
      <w:lvlText w:val=""/>
      <w:lvlJc w:val="left"/>
      <w:pPr>
        <w:ind w:left="4086" w:hanging="454"/>
      </w:pPr>
      <w:rPr>
        <w:rFonts w:ascii="Wingdings" w:hAnsi="Wingdings" w:hint="default"/>
      </w:rPr>
    </w:lvl>
  </w:abstractNum>
  <w:abstractNum w:abstractNumId="25">
    <w:nsid w:val="5D0B2CB3"/>
    <w:multiLevelType w:val="multilevel"/>
    <w:tmpl w:val="37308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44E5575"/>
    <w:multiLevelType w:val="hybridMultilevel"/>
    <w:tmpl w:val="4C888958"/>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nsid w:val="702E6C84"/>
    <w:multiLevelType w:val="hybridMultilevel"/>
    <w:tmpl w:val="81FC444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04138B1"/>
    <w:multiLevelType w:val="multilevel"/>
    <w:tmpl w:val="58423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115044F"/>
    <w:multiLevelType w:val="hybridMultilevel"/>
    <w:tmpl w:val="F18876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A2C315B"/>
    <w:multiLevelType w:val="multilevel"/>
    <w:tmpl w:val="7DDAA1AC"/>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num w:numId="1">
    <w:abstractNumId w:val="22"/>
  </w:num>
  <w:num w:numId="2">
    <w:abstractNumId w:val="7"/>
  </w:num>
  <w:num w:numId="3">
    <w:abstractNumId w:val="30"/>
  </w:num>
  <w:num w:numId="4">
    <w:abstractNumId w:val="15"/>
  </w:num>
  <w:num w:numId="5">
    <w:abstractNumId w:val="9"/>
  </w:num>
  <w:num w:numId="6">
    <w:abstractNumId w:val="17"/>
  </w:num>
  <w:num w:numId="7">
    <w:abstractNumId w:val="10"/>
  </w:num>
  <w:num w:numId="8">
    <w:abstractNumId w:val="4"/>
  </w:num>
  <w:num w:numId="9">
    <w:abstractNumId w:val="6"/>
  </w:num>
  <w:num w:numId="10">
    <w:abstractNumId w:val="29"/>
  </w:num>
  <w:num w:numId="11">
    <w:abstractNumId w:val="23"/>
  </w:num>
  <w:num w:numId="12">
    <w:abstractNumId w:val="23"/>
  </w:num>
  <w:num w:numId="13">
    <w:abstractNumId w:val="26"/>
  </w:num>
  <w:num w:numId="14">
    <w:abstractNumId w:val="14"/>
  </w:num>
  <w:num w:numId="15">
    <w:abstractNumId w:val="0"/>
  </w:num>
  <w:num w:numId="16">
    <w:abstractNumId w:val="19"/>
  </w:num>
  <w:num w:numId="17">
    <w:abstractNumId w:val="27"/>
  </w:num>
  <w:num w:numId="18">
    <w:abstractNumId w:val="18"/>
  </w:num>
  <w:num w:numId="19">
    <w:abstractNumId w:val="24"/>
  </w:num>
  <w:num w:numId="20">
    <w:abstractNumId w:val="13"/>
  </w:num>
  <w:num w:numId="21">
    <w:abstractNumId w:val="8"/>
  </w:num>
  <w:num w:numId="22">
    <w:abstractNumId w:val="21"/>
  </w:num>
  <w:num w:numId="23">
    <w:abstractNumId w:val="28"/>
  </w:num>
  <w:num w:numId="24">
    <w:abstractNumId w:val="20"/>
  </w:num>
  <w:num w:numId="25">
    <w:abstractNumId w:val="5"/>
  </w:num>
  <w:num w:numId="26">
    <w:abstractNumId w:val="1"/>
  </w:num>
  <w:num w:numId="27">
    <w:abstractNumId w:val="12"/>
  </w:num>
  <w:num w:numId="28">
    <w:abstractNumId w:val="16"/>
  </w:num>
  <w:num w:numId="29">
    <w:abstractNumId w:val="11"/>
  </w:num>
  <w:num w:numId="30">
    <w:abstractNumId w:val="3"/>
  </w:num>
  <w:num w:numId="31">
    <w:abstractNumId w:val="25"/>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24"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0"/>
  <w:doNotTrackMoves/>
  <w:styleLockTheme/>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DM Sans" w:eastAsia="Calibri" w:hAnsi="DM Sans" w:cs="Times New Roman"/>
        <w:color w:val="292C4F"/>
        <w:sz w:val="24"/>
        <w:szCs w:val="24"/>
        <w:lang w:val="en-GB" w:eastAsia="en-US" w:bidi="ar-SA"/>
      </w:rPr>
    </w:rPrDefault>
    <w:pPrDefault>
      <w:pPr>
        <w:autoSpaceDN w:val="0"/>
        <w:spacing w:after="160"/>
        <w:textAlignment w:val="baseline"/>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414F4F"/>
    <w:pPr>
      <w:autoSpaceDN/>
      <w:spacing w:line="278" w:lineRule="auto"/>
      <w:textAlignment w:val="auto"/>
    </w:pPr>
    <w:rPr>
      <w:rFonts w:asciiTheme="minorHAnsi" w:eastAsiaTheme="minorHAnsi" w:hAnsiTheme="minorHAnsi" w:cstheme="minorBidi"/>
      <w:color w:val="auto"/>
      <w:kern w:val="2"/>
    </w:rPr>
  </w:style>
  <w:style w:type="paragraph" w:styleId="Heading1">
    <w:name w:val="heading 1"/>
    <w:aliases w:val="Header 1"/>
    <w:next w:val="Normal"/>
    <w:link w:val="Heading1Char"/>
    <w:autoRedefine/>
    <w:uiPriority w:val="1"/>
    <w:qFormat/>
    <w:locked/>
    <w:rsid w:val="00B63CBB"/>
    <w:pPr>
      <w:spacing w:before="360" w:after="240"/>
      <w:jc w:val="center"/>
      <w:outlineLvl w:val="0"/>
    </w:pPr>
    <w:rPr>
      <w:rFonts w:ascii="VAG Rounded Std" w:hAnsi="VAG Rounded Std" w:cs="Arial"/>
      <w:b/>
      <w:bCs/>
      <w:color w:val="auto"/>
      <w:sz w:val="34"/>
      <w:szCs w:val="32"/>
    </w:rPr>
  </w:style>
  <w:style w:type="paragraph" w:styleId="Heading2">
    <w:name w:val="heading 2"/>
    <w:aliases w:val="Header 2"/>
    <w:basedOn w:val="Heading1"/>
    <w:next w:val="Normal"/>
    <w:link w:val="Heading2Char"/>
    <w:autoRedefine/>
    <w:uiPriority w:val="1"/>
    <w:qFormat/>
    <w:locked/>
    <w:rsid w:val="006E1701"/>
    <w:pPr>
      <w:spacing w:after="120"/>
      <w:outlineLvl w:val="1"/>
    </w:pPr>
    <w:rPr>
      <w:color w:val="292C4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locked/>
    <w:pPr>
      <w:suppressAutoHyphens/>
      <w:spacing w:before="120" w:line="240" w:lineRule="auto"/>
      <w:ind w:left="720"/>
    </w:pPr>
    <w:rPr>
      <w:rFonts w:ascii="DM Sans" w:eastAsia="Calibri" w:hAnsi="DM Sans" w:cs="Times New Roman"/>
      <w:color w:val="292C4F"/>
      <w:kern w:val="0"/>
    </w:rPr>
  </w:style>
  <w:style w:type="paragraph" w:styleId="NoSpacing">
    <w:name w:val="No Spacing"/>
    <w:semiHidden/>
    <w:locked/>
    <w:pPr>
      <w:suppressAutoHyphens/>
      <w:spacing w:after="0"/>
    </w:pPr>
  </w:style>
  <w:style w:type="character" w:styleId="CommentReference">
    <w:name w:val="annotation reference"/>
    <w:basedOn w:val="DefaultParagraphFont"/>
    <w:unhideWhenUsed/>
    <w:locked/>
    <w:rPr>
      <w:sz w:val="16"/>
      <w:szCs w:val="16"/>
    </w:rPr>
  </w:style>
  <w:style w:type="paragraph" w:styleId="CommentText">
    <w:name w:val="annotation text"/>
    <w:basedOn w:val="Normal"/>
    <w:unhideWhenUsed/>
    <w:locked/>
    <w:pPr>
      <w:suppressAutoHyphens/>
      <w:spacing w:before="120" w:after="120" w:line="240" w:lineRule="auto"/>
    </w:pPr>
    <w:rPr>
      <w:rFonts w:ascii="DM Sans" w:eastAsia="Calibri" w:hAnsi="DM Sans" w:cs="Times New Roman"/>
      <w:color w:val="292C4F"/>
      <w:kern w:val="0"/>
      <w:sz w:val="20"/>
    </w:rPr>
  </w:style>
  <w:style w:type="character" w:customStyle="1" w:styleId="CommentTextChar">
    <w:name w:val="Comment Text Char"/>
    <w:basedOn w:val="DefaultParagraphFont"/>
    <w:unhideWhenUsed/>
    <w:locked/>
    <w:rPr>
      <w:sz w:val="20"/>
      <w:szCs w:val="20"/>
    </w:rPr>
  </w:style>
  <w:style w:type="paragraph" w:styleId="CommentSubject">
    <w:name w:val="annotation subject"/>
    <w:basedOn w:val="CommentText"/>
    <w:next w:val="CommentText"/>
    <w:unhideWhenUsed/>
    <w:locked/>
    <w:rPr>
      <w:b/>
      <w:bCs/>
    </w:rPr>
  </w:style>
  <w:style w:type="character" w:customStyle="1" w:styleId="CommentSubjectChar">
    <w:name w:val="Comment Subject Char"/>
    <w:basedOn w:val="CommentTextChar"/>
    <w:unhideWhenUsed/>
    <w:locked/>
    <w:rPr>
      <w:b/>
      <w:bCs/>
      <w:sz w:val="20"/>
      <w:szCs w:val="20"/>
    </w:rPr>
  </w:style>
  <w:style w:type="character" w:styleId="Hyperlink">
    <w:name w:val="Hyperlink"/>
    <w:basedOn w:val="DefaultParagraphFont"/>
    <w:uiPriority w:val="99"/>
    <w:locked/>
    <w:rsid w:val="0050623B"/>
    <w:rPr>
      <w:rFonts w:asciiTheme="minorHAnsi" w:hAnsiTheme="minorHAnsi"/>
      <w:color w:val="178351"/>
      <w:sz w:val="24"/>
      <w:u w:val="single"/>
    </w:rPr>
  </w:style>
  <w:style w:type="paragraph" w:styleId="Header">
    <w:name w:val="header"/>
    <w:basedOn w:val="Normal"/>
    <w:semiHidden/>
    <w:locked/>
    <w:pPr>
      <w:tabs>
        <w:tab w:val="center" w:pos="4513"/>
        <w:tab w:val="right" w:pos="9026"/>
      </w:tabs>
      <w:suppressAutoHyphens/>
      <w:spacing w:before="120" w:after="120" w:line="240" w:lineRule="auto"/>
    </w:pPr>
    <w:rPr>
      <w:rFonts w:ascii="DM Sans" w:eastAsia="Calibri" w:hAnsi="DM Sans" w:cs="Times New Roman"/>
      <w:color w:val="292C4F"/>
      <w:kern w:val="0"/>
    </w:rPr>
  </w:style>
  <w:style w:type="character" w:customStyle="1" w:styleId="HeaderChar">
    <w:name w:val="Header Char"/>
    <w:basedOn w:val="DefaultParagraphFont"/>
    <w:semiHidden/>
    <w:locked/>
  </w:style>
  <w:style w:type="paragraph" w:styleId="Footer">
    <w:name w:val="footer"/>
    <w:basedOn w:val="Normal"/>
    <w:uiPriority w:val="99"/>
    <w:locked/>
    <w:pPr>
      <w:tabs>
        <w:tab w:val="center" w:pos="4513"/>
        <w:tab w:val="right" w:pos="9026"/>
      </w:tabs>
      <w:suppressAutoHyphens/>
      <w:spacing w:before="120" w:after="120" w:line="240" w:lineRule="auto"/>
    </w:pPr>
    <w:rPr>
      <w:rFonts w:ascii="DM Sans" w:eastAsia="Calibri" w:hAnsi="DM Sans" w:cs="Times New Roman"/>
      <w:color w:val="292C4F"/>
      <w:kern w:val="0"/>
    </w:rPr>
  </w:style>
  <w:style w:type="character" w:customStyle="1" w:styleId="FooterChar">
    <w:name w:val="Footer Char"/>
    <w:basedOn w:val="DefaultParagraphFont"/>
    <w:uiPriority w:val="99"/>
    <w:locked/>
  </w:style>
  <w:style w:type="character" w:customStyle="1" w:styleId="Heading1Char">
    <w:name w:val="Heading 1 Char"/>
    <w:aliases w:val="Header 1 Char"/>
    <w:basedOn w:val="DefaultParagraphFont"/>
    <w:link w:val="Heading1"/>
    <w:uiPriority w:val="1"/>
    <w:rsid w:val="00B63CBB"/>
    <w:rPr>
      <w:rFonts w:ascii="VAG Rounded Std" w:hAnsi="VAG Rounded Std" w:cs="Arial"/>
      <w:b/>
      <w:bCs/>
      <w:color w:val="auto"/>
      <w:sz w:val="34"/>
      <w:szCs w:val="32"/>
    </w:rPr>
  </w:style>
  <w:style w:type="character" w:customStyle="1" w:styleId="Heading2Char">
    <w:name w:val="Heading 2 Char"/>
    <w:aliases w:val="Header 2 Char"/>
    <w:basedOn w:val="DefaultParagraphFont"/>
    <w:link w:val="Heading2"/>
    <w:uiPriority w:val="1"/>
    <w:rsid w:val="00A018BA"/>
    <w:rPr>
      <w:rFonts w:ascii="VAG Rounded Std" w:hAnsi="VAG Rounded Std" w:cs="Arial"/>
      <w:b/>
      <w:sz w:val="28"/>
      <w:szCs w:val="28"/>
    </w:rPr>
  </w:style>
  <w:style w:type="paragraph" w:styleId="Subtitle">
    <w:name w:val="Subtitle"/>
    <w:basedOn w:val="Normal"/>
    <w:next w:val="Normal"/>
    <w:link w:val="SubtitleChar"/>
    <w:uiPriority w:val="11"/>
    <w:locked/>
    <w:rsid w:val="00E47556"/>
    <w:pPr>
      <w:numPr>
        <w:ilvl w:val="1"/>
      </w:numPr>
      <w:suppressAutoHyphens/>
      <w:spacing w:before="120" w:line="240" w:lineRule="auto"/>
    </w:pPr>
    <w:rPr>
      <w:rFonts w:eastAsiaTheme="minorEastAsia"/>
      <w:color w:val="585EA8" w:themeColor="text1" w:themeTint="A5"/>
      <w:spacing w:val="15"/>
      <w:kern w:val="0"/>
    </w:rPr>
  </w:style>
  <w:style w:type="character" w:customStyle="1" w:styleId="SubtitleChar">
    <w:name w:val="Subtitle Char"/>
    <w:basedOn w:val="DefaultParagraphFont"/>
    <w:link w:val="Subtitle"/>
    <w:uiPriority w:val="11"/>
    <w:rsid w:val="00E47556"/>
    <w:rPr>
      <w:rFonts w:asciiTheme="minorHAnsi" w:eastAsiaTheme="minorEastAsia" w:hAnsiTheme="minorHAnsi" w:cstheme="minorBidi"/>
      <w:color w:val="585EA8" w:themeColor="text1" w:themeTint="A5"/>
      <w:spacing w:val="15"/>
    </w:rPr>
  </w:style>
  <w:style w:type="paragraph" w:customStyle="1" w:styleId="Header3">
    <w:name w:val="Header 3"/>
    <w:basedOn w:val="Normal"/>
    <w:next w:val="Normal"/>
    <w:link w:val="Header3Char"/>
    <w:autoRedefine/>
    <w:uiPriority w:val="1"/>
    <w:qFormat/>
    <w:locked/>
    <w:rsid w:val="00A018BA"/>
    <w:pPr>
      <w:suppressAutoHyphens/>
      <w:spacing w:before="360" w:after="120" w:line="240" w:lineRule="auto"/>
    </w:pPr>
    <w:rPr>
      <w:rFonts w:ascii="DM Sans" w:eastAsia="Calibri" w:hAnsi="DM Sans" w:cs="Times New Roman"/>
      <w:b/>
      <w:color w:val="292C4F"/>
      <w:kern w:val="0"/>
    </w:rPr>
  </w:style>
  <w:style w:type="character" w:customStyle="1" w:styleId="Header3Char">
    <w:name w:val="Header 3 Char"/>
    <w:basedOn w:val="DefaultParagraphFont"/>
    <w:link w:val="Header3"/>
    <w:uiPriority w:val="1"/>
    <w:rsid w:val="00A018BA"/>
    <w:rPr>
      <w:b/>
    </w:rPr>
  </w:style>
  <w:style w:type="paragraph" w:styleId="FootnoteText">
    <w:name w:val="footnote text"/>
    <w:basedOn w:val="Normal"/>
    <w:link w:val="FootnoteTextChar"/>
    <w:uiPriority w:val="99"/>
    <w:semiHidden/>
    <w:unhideWhenUsed/>
    <w:locked/>
    <w:rsid w:val="00AA0752"/>
    <w:pPr>
      <w:suppressAutoHyphens/>
      <w:spacing w:before="120" w:after="120" w:line="240" w:lineRule="auto"/>
    </w:pPr>
    <w:rPr>
      <w:rFonts w:ascii="DM Sans" w:eastAsia="Calibri" w:hAnsi="DM Sans" w:cs="Times New Roman"/>
      <w:color w:val="292C4F"/>
      <w:kern w:val="0"/>
      <w:sz w:val="20"/>
    </w:rPr>
  </w:style>
  <w:style w:type="character" w:customStyle="1" w:styleId="FootnoteTextChar">
    <w:name w:val="Footnote Text Char"/>
    <w:basedOn w:val="DefaultParagraphFont"/>
    <w:link w:val="FootnoteText"/>
    <w:uiPriority w:val="99"/>
    <w:semiHidden/>
    <w:rsid w:val="00AA0752"/>
    <w:rPr>
      <w:rFonts w:ascii="VAG Rounded Std" w:hAnsi="VAG Rounded Std" w:cs="Arial"/>
      <w:color w:val="525E66"/>
      <w:sz w:val="20"/>
      <w:szCs w:val="20"/>
    </w:rPr>
  </w:style>
  <w:style w:type="character" w:styleId="FootnoteReference">
    <w:name w:val="footnote reference"/>
    <w:basedOn w:val="DefaultParagraphFont"/>
    <w:uiPriority w:val="99"/>
    <w:semiHidden/>
    <w:unhideWhenUsed/>
    <w:locked/>
    <w:rsid w:val="00AA0752"/>
    <w:rPr>
      <w:vertAlign w:val="superscript"/>
    </w:rPr>
  </w:style>
  <w:style w:type="paragraph" w:customStyle="1" w:styleId="Bullets">
    <w:name w:val="Bullets"/>
    <w:basedOn w:val="ListParagraph"/>
    <w:link w:val="BulletsChar"/>
    <w:autoRedefine/>
    <w:qFormat/>
    <w:locked/>
    <w:rsid w:val="000D6D6B"/>
    <w:pPr>
      <w:numPr>
        <w:numId w:val="19"/>
      </w:numPr>
      <w:spacing w:before="60" w:after="60"/>
    </w:pPr>
  </w:style>
  <w:style w:type="character" w:customStyle="1" w:styleId="ListParagraphChar">
    <w:name w:val="List Paragraph Char"/>
    <w:basedOn w:val="DefaultParagraphFont"/>
    <w:link w:val="ListParagraph"/>
    <w:uiPriority w:val="34"/>
    <w:rsid w:val="00BA6673"/>
    <w:rPr>
      <w:rFonts w:ascii="VAG Rounded Std" w:hAnsi="VAG Rounded Std" w:cs="Arial"/>
      <w:color w:val="525E66"/>
      <w:sz w:val="24"/>
      <w:szCs w:val="24"/>
    </w:rPr>
  </w:style>
  <w:style w:type="character" w:customStyle="1" w:styleId="BulletsChar">
    <w:name w:val="Bullets Char"/>
    <w:basedOn w:val="ListParagraphChar"/>
    <w:link w:val="Bullets"/>
    <w:rsid w:val="00F85259"/>
    <w:rPr>
      <w:rFonts w:ascii="VAG Rounded Std" w:hAnsi="VAG Rounded Std" w:cs="Arial"/>
      <w:color w:val="525E66"/>
      <w:sz w:val="24"/>
      <w:szCs w:val="24"/>
    </w:rPr>
  </w:style>
  <w:style w:type="character" w:customStyle="1" w:styleId="UnresolvedMention1">
    <w:name w:val="Unresolved Mention1"/>
    <w:basedOn w:val="DefaultParagraphFont"/>
    <w:uiPriority w:val="99"/>
    <w:semiHidden/>
    <w:unhideWhenUsed/>
    <w:locked/>
    <w:rsid w:val="005D38BF"/>
    <w:rPr>
      <w:color w:val="605E5C"/>
      <w:shd w:val="clear" w:color="auto" w:fill="E1DFDD"/>
    </w:rPr>
  </w:style>
  <w:style w:type="paragraph" w:customStyle="1" w:styleId="Links">
    <w:name w:val="Links"/>
    <w:basedOn w:val="Normal"/>
    <w:next w:val="Normal"/>
    <w:link w:val="LinksChar"/>
    <w:autoRedefine/>
    <w:uiPriority w:val="3"/>
    <w:qFormat/>
    <w:locked/>
    <w:rsid w:val="009B1BF3"/>
    <w:pPr>
      <w:suppressAutoHyphens/>
      <w:spacing w:before="120" w:after="120" w:line="240" w:lineRule="auto"/>
    </w:pPr>
    <w:rPr>
      <w:rFonts w:ascii="DM Sans" w:eastAsia="Calibri" w:hAnsi="DM Sans" w:cs="Times New Roman"/>
      <w:color w:val="178351"/>
      <w:kern w:val="0"/>
      <w:szCs w:val="22"/>
    </w:rPr>
  </w:style>
  <w:style w:type="character" w:customStyle="1" w:styleId="LinksChar">
    <w:name w:val="Links Char"/>
    <w:basedOn w:val="DefaultParagraphFont"/>
    <w:link w:val="Links"/>
    <w:uiPriority w:val="3"/>
    <w:rsid w:val="00A018BA"/>
    <w:rPr>
      <w:color w:val="178351"/>
      <w:szCs w:val="22"/>
    </w:rPr>
  </w:style>
  <w:style w:type="character" w:styleId="PlaceholderText">
    <w:name w:val="Placeholder Text"/>
    <w:basedOn w:val="DefaultParagraphFont"/>
    <w:uiPriority w:val="99"/>
    <w:semiHidden/>
    <w:locked/>
    <w:rsid w:val="000178A5"/>
    <w:rPr>
      <w:color w:val="808080"/>
    </w:rPr>
  </w:style>
  <w:style w:type="character" w:styleId="FollowedHyperlink">
    <w:name w:val="FollowedHyperlink"/>
    <w:basedOn w:val="DefaultParagraphFont"/>
    <w:uiPriority w:val="99"/>
    <w:unhideWhenUsed/>
    <w:locked/>
    <w:rsid w:val="00772F07"/>
    <w:rPr>
      <w:rFonts w:ascii="VAG Rounded" w:hAnsi="VAG Rounded"/>
      <w:color w:val="178351"/>
      <w:sz w:val="24"/>
      <w:u w:val="single"/>
    </w:rPr>
  </w:style>
  <w:style w:type="paragraph" w:customStyle="1" w:styleId="FAKeyPoint">
    <w:name w:val="FA Key Point"/>
    <w:basedOn w:val="Normal"/>
    <w:next w:val="Normal"/>
    <w:link w:val="FAKeyPointChar"/>
    <w:uiPriority w:val="2"/>
    <w:locked/>
    <w:rsid w:val="00705B60"/>
    <w:rPr>
      <w:rFonts w:ascii="VAGRounded LT Bold" w:hAnsi="VAGRounded LT Bold"/>
      <w:color w:val="7758A5"/>
      <w:szCs w:val="26"/>
      <w:lang w:val="en-US"/>
    </w:rPr>
  </w:style>
  <w:style w:type="paragraph" w:customStyle="1" w:styleId="KeyPoints">
    <w:name w:val="Key Points"/>
    <w:basedOn w:val="FAKeyPoint"/>
    <w:link w:val="KeyPointsChar"/>
    <w:autoRedefine/>
    <w:uiPriority w:val="2"/>
    <w:semiHidden/>
    <w:qFormat/>
    <w:locked/>
    <w:rsid w:val="002A7197"/>
    <w:rPr>
      <w:rFonts w:ascii="DM Sans" w:hAnsi="DM Sans"/>
      <w:b/>
      <w:color w:val="178351"/>
    </w:rPr>
  </w:style>
  <w:style w:type="character" w:customStyle="1" w:styleId="FAKeyPointChar">
    <w:name w:val="FA Key Point Char"/>
    <w:basedOn w:val="DefaultParagraphFont"/>
    <w:link w:val="FAKeyPoint"/>
    <w:uiPriority w:val="2"/>
    <w:rsid w:val="00F85259"/>
    <w:rPr>
      <w:rFonts w:ascii="VAGRounded LT Bold" w:hAnsi="VAGRounded LT Bold"/>
      <w:color w:val="7758A5"/>
      <w:szCs w:val="26"/>
      <w:lang w:val="en-US"/>
    </w:rPr>
  </w:style>
  <w:style w:type="character" w:customStyle="1" w:styleId="KeyPointsChar">
    <w:name w:val="Key Points Char"/>
    <w:basedOn w:val="FAKeyPointChar"/>
    <w:link w:val="KeyPoints"/>
    <w:uiPriority w:val="2"/>
    <w:semiHidden/>
    <w:rsid w:val="00A018BA"/>
    <w:rPr>
      <w:rFonts w:ascii="VAGRounded LT Bold" w:hAnsi="VAGRounded LT Bold"/>
      <w:b/>
      <w:color w:val="178351"/>
      <w:szCs w:val="26"/>
      <w:lang w:val="en-US"/>
    </w:rPr>
  </w:style>
  <w:style w:type="paragraph" w:styleId="TOC1">
    <w:name w:val="toc 1"/>
    <w:basedOn w:val="Normal"/>
    <w:next w:val="Normal"/>
    <w:autoRedefine/>
    <w:uiPriority w:val="39"/>
    <w:unhideWhenUsed/>
    <w:locked/>
    <w:rsid w:val="004F141C"/>
    <w:pPr>
      <w:suppressAutoHyphens/>
      <w:spacing w:before="120" w:after="120" w:line="240" w:lineRule="auto"/>
    </w:pPr>
    <w:rPr>
      <w:rFonts w:ascii="DM Sans" w:eastAsia="Calibri" w:hAnsi="DM Sans" w:cs="Times New Roman"/>
      <w:color w:val="292C4F"/>
      <w:kern w:val="0"/>
    </w:rPr>
  </w:style>
  <w:style w:type="paragraph" w:styleId="TOC2">
    <w:name w:val="toc 2"/>
    <w:basedOn w:val="Normal"/>
    <w:next w:val="Normal"/>
    <w:autoRedefine/>
    <w:uiPriority w:val="39"/>
    <w:unhideWhenUsed/>
    <w:locked/>
    <w:rsid w:val="004F141C"/>
    <w:pPr>
      <w:suppressAutoHyphens/>
      <w:spacing w:before="120" w:after="120" w:line="240" w:lineRule="auto"/>
      <w:ind w:left="261"/>
    </w:pPr>
    <w:rPr>
      <w:rFonts w:ascii="DM Sans" w:eastAsia="Calibri" w:hAnsi="DM Sans" w:cs="Times New Roman"/>
      <w:color w:val="292C4F"/>
      <w:kern w:val="0"/>
    </w:rPr>
  </w:style>
  <w:style w:type="paragraph" w:customStyle="1" w:styleId="DocumentTitle">
    <w:name w:val="Document Title"/>
    <w:basedOn w:val="Heading1"/>
    <w:link w:val="DocumentTitleChar"/>
    <w:autoRedefine/>
    <w:unhideWhenUsed/>
    <w:locked/>
    <w:rsid w:val="004F141C"/>
    <w:pPr>
      <w:spacing w:after="120"/>
      <w:jc w:val="right"/>
    </w:pPr>
    <w:rPr>
      <w:color w:val="292C4F"/>
      <w:sz w:val="84"/>
      <w:szCs w:val="84"/>
    </w:rPr>
  </w:style>
  <w:style w:type="character" w:customStyle="1" w:styleId="DocumentTitleChar">
    <w:name w:val="Document Title Char"/>
    <w:basedOn w:val="Heading1Char"/>
    <w:link w:val="DocumentTitle"/>
    <w:rsid w:val="00F85259"/>
    <w:rPr>
      <w:rFonts w:ascii="VAG Rounded Std" w:hAnsi="VAG Rounded Std" w:cs="Arial"/>
      <w:b/>
      <w:bCs/>
      <w:color w:val="178351"/>
      <w:sz w:val="84"/>
      <w:szCs w:val="84"/>
    </w:rPr>
  </w:style>
  <w:style w:type="paragraph" w:customStyle="1" w:styleId="FATitle">
    <w:name w:val="FA Title"/>
    <w:basedOn w:val="Heading1"/>
    <w:next w:val="Normal"/>
    <w:link w:val="FATitleChar"/>
    <w:autoRedefine/>
    <w:qFormat/>
    <w:locked/>
    <w:rsid w:val="0045107A"/>
    <w:pPr>
      <w:spacing w:after="360"/>
    </w:pPr>
    <w:rPr>
      <w:color w:val="292C4F"/>
      <w:sz w:val="52"/>
    </w:rPr>
  </w:style>
  <w:style w:type="character" w:customStyle="1" w:styleId="FATitleChar">
    <w:name w:val="FA Title Char"/>
    <w:basedOn w:val="Header3Char"/>
    <w:link w:val="FATitle"/>
    <w:rsid w:val="0045107A"/>
    <w:rPr>
      <w:rFonts w:ascii="VAG Rounded Std" w:eastAsia="Times New Roman" w:hAnsi="VAG Rounded Std" w:cs="Arial"/>
      <w:b/>
      <w:color w:val="292C4F"/>
      <w:sz w:val="52"/>
      <w:szCs w:val="28"/>
    </w:rPr>
  </w:style>
  <w:style w:type="paragraph" w:customStyle="1" w:styleId="Numberedbullets">
    <w:name w:val="Numbered bullets"/>
    <w:basedOn w:val="ListParagraph"/>
    <w:link w:val="NumberedbulletsChar"/>
    <w:uiPriority w:val="2"/>
    <w:qFormat/>
    <w:locked/>
    <w:rsid w:val="00726DD4"/>
    <w:pPr>
      <w:numPr>
        <w:numId w:val="20"/>
      </w:numPr>
    </w:pPr>
  </w:style>
  <w:style w:type="character" w:customStyle="1" w:styleId="NumberedbulletsChar">
    <w:name w:val="Numbered bullets Char"/>
    <w:basedOn w:val="ListParagraphChar"/>
    <w:link w:val="Numberedbullets"/>
    <w:uiPriority w:val="2"/>
    <w:rsid w:val="00A018BA"/>
    <w:rPr>
      <w:rFonts w:ascii="VAG Rounded Std" w:hAnsi="VAG Rounded Std" w:cs="Arial"/>
      <w:color w:val="525E66"/>
      <w:sz w:val="24"/>
      <w:szCs w:val="24"/>
    </w:rPr>
  </w:style>
  <w:style w:type="character" w:customStyle="1" w:styleId="FAForms-Normal">
    <w:name w:val="FA Forms - Normal"/>
    <w:basedOn w:val="DefaultParagraphFont"/>
    <w:uiPriority w:val="1"/>
    <w:rsid w:val="0099209A"/>
    <w:rPr>
      <w:rFonts w:ascii="DM Sans" w:hAnsi="DM Sans" w:eastAsiaTheme="minorHAnsi" w:cstheme="minorBidi"/>
      <w:color w:val="292C4F"/>
      <w:sz w:val="22"/>
      <w:szCs w:val="22"/>
    </w:rPr>
  </w:style>
  <w:style w:type="character" w:customStyle="1" w:styleId="FAForms-Normalnotbold">
    <w:name w:val="FA Forms - Normal not bold"/>
    <w:basedOn w:val="DefaultParagraphFont"/>
    <w:uiPriority w:val="1"/>
    <w:rsid w:val="0099209A"/>
    <w:rPr>
      <w:rFonts w:ascii="DM Sans" w:hAnsi="DM Sans"/>
      <w:sz w:val="22"/>
    </w:rPr>
  </w:style>
  <w:style w:type="paragraph" w:customStyle="1" w:styleId="Header3-white">
    <w:name w:val="Header 3 - white"/>
    <w:basedOn w:val="Header3"/>
    <w:link w:val="Header3-whiteChar"/>
    <w:rsid w:val="0099209A"/>
    <w:pPr>
      <w:numPr>
        <w:numId w:val="22"/>
      </w:numPr>
      <w:spacing w:before="40" w:beforeLines="40" w:after="40" w:afterLines="40"/>
      <w:ind w:left="318" w:hanging="284"/>
    </w:pPr>
    <w:rPr>
      <w:color w:val="FFFFFF" w:themeColor="background1"/>
      <w:sz w:val="20"/>
      <w:szCs w:val="20"/>
      <w:lang w:val="en-US"/>
    </w:rPr>
  </w:style>
  <w:style w:type="character" w:customStyle="1" w:styleId="Header3-whiteChar">
    <w:name w:val="Header 3 - white Char"/>
    <w:basedOn w:val="Header3Char"/>
    <w:link w:val="Header3-white"/>
    <w:rsid w:val="0099209A"/>
    <w:rPr>
      <w:b/>
      <w:color w:val="FFFFFF" w:themeColor="background1"/>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2024 Family Action Theme">
  <a:themeElements>
    <a:clrScheme name="2024 Family Action">
      <a:dk1>
        <a:srgbClr val="292C4F"/>
      </a:dk1>
      <a:lt1>
        <a:srgbClr val="FFFFFF"/>
      </a:lt1>
      <a:dk2>
        <a:srgbClr val="178351"/>
      </a:dk2>
      <a:lt2>
        <a:srgbClr val="292C4F"/>
      </a:lt2>
      <a:accent1>
        <a:srgbClr val="178351"/>
      </a:accent1>
      <a:accent2>
        <a:srgbClr val="A0DA00"/>
      </a:accent2>
      <a:accent3>
        <a:srgbClr val="A590E2"/>
      </a:accent3>
      <a:accent4>
        <a:srgbClr val="FF5C84"/>
      </a:accent4>
      <a:accent5>
        <a:srgbClr val="3A9EFF"/>
      </a:accent5>
      <a:accent6>
        <a:srgbClr val="FF6700"/>
      </a:accent6>
      <a:hlink>
        <a:srgbClr val="178351"/>
      </a:hlink>
      <a:folHlink>
        <a:srgbClr val="292C4F"/>
      </a:folHlink>
    </a:clrScheme>
    <a:fontScheme name="2024 Family Action - New branding">
      <a:majorFont>
        <a:latin typeface="VAG Rounded Std"/>
        <a:ea typeface=""/>
        <a:cs typeface=""/>
      </a:majorFont>
      <a:minorFont>
        <a:latin typeface="DM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CYM0143</dc:title>
  <cp:revision>0</cp:revision>
</cp:coreProperties>
</file>