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6CB9" w:rsidRPr="001B3E22" w:rsidP="00276CB9">
      <w:pPr>
        <w:pStyle w:val="Heading1"/>
        <w:jc w:val="center"/>
        <w:rPr>
          <w:rFonts w:ascii="Calibri" w:hAnsi="Calibri" w:cs="Calibri"/>
          <w:color w:val="auto"/>
        </w:rPr>
      </w:pPr>
      <w:r w:rsidRPr="001B3E22">
        <w:rPr>
          <w:rFonts w:ascii="Calibri" w:hAnsi="Calibri" w:cs="Calibri"/>
          <w:color w:val="auto"/>
        </w:rPr>
        <w:t>Written Evidence Submitted by NIHR Children and Families Policy Research Unit (CYM01</w:t>
      </w:r>
      <w:r w:rsidRPr="001B3E22" w:rsidR="00542929">
        <w:rPr>
          <w:rFonts w:ascii="Calibri" w:hAnsi="Calibri" w:cs="Calibri"/>
          <w:color w:val="auto"/>
        </w:rPr>
        <w:t>41</w:t>
      </w:r>
      <w:r w:rsidRPr="001B3E22">
        <w:rPr>
          <w:rFonts w:ascii="Calibri" w:hAnsi="Calibri" w:cs="Calibri"/>
          <w:color w:val="auto"/>
        </w:rPr>
        <w:t>)</w:t>
      </w:r>
    </w:p>
    <w:p w:rsidR="0004065F" w:rsidRPr="001B3E22" w:rsidP="008722B1">
      <w:pPr>
        <w:rPr>
          <w:rFonts w:ascii="Calibri" w:hAnsi="Calibri" w:cs="Calibri"/>
        </w:rPr>
      </w:pPr>
    </w:p>
    <w:p w:rsidR="0004065F" w:rsidRPr="001B3E22" w:rsidP="0058651B">
      <w:pPr>
        <w:pStyle w:val="Heading2"/>
        <w:rPr>
          <w:rFonts w:ascii="Calibri" w:hAnsi="Calibri" w:cs="Calibri"/>
          <w:color w:val="auto"/>
        </w:rPr>
      </w:pPr>
      <w:r w:rsidRPr="001B3E22">
        <w:rPr>
          <w:rFonts w:ascii="Calibri" w:hAnsi="Calibri" w:cs="Calibri"/>
          <w:color w:val="auto"/>
        </w:rPr>
        <w:t xml:space="preserve">Introduction </w:t>
      </w:r>
    </w:p>
    <w:p w:rsidR="0004065F" w:rsidRPr="001B3E22" w:rsidP="003C2C71">
      <w:pPr>
        <w:rPr>
          <w:rFonts w:ascii="Calibri" w:hAnsi="Calibri" w:cs="Calibri"/>
        </w:rPr>
      </w:pPr>
      <w:r w:rsidRPr="001B3E22">
        <w:rPr>
          <w:rFonts w:ascii="Calibri" w:hAnsi="Calibri" w:cs="Calibri"/>
        </w:rPr>
        <w:t xml:space="preserve">This response draws on the work of researchers at the </w:t>
      </w:r>
      <w:r>
        <w:fldChar w:fldCharType="begin"/>
      </w:r>
      <w:r>
        <w:instrText xml:space="preserve"> HYPERLINK "https://www.ucl.ac.uk/children-policy-research/sites/children_policy_research/files/dva_measures_ho_report_06122022.pdf" </w:instrText>
      </w:r>
      <w:r>
        <w:fldChar w:fldCharType="separate"/>
      </w:r>
      <w:r w:rsidRPr="001B3E22">
        <w:rPr>
          <w:rStyle w:val="Hyperlink"/>
          <w:rFonts w:ascii="Calibri" w:hAnsi="Calibri" w:cs="Calibri"/>
          <w:color w:val="auto"/>
        </w:rPr>
        <w:t>NIHR Children and Families Policy Research Unit (CPRU)</w:t>
      </w:r>
      <w:r>
        <w:fldChar w:fldCharType="end"/>
      </w:r>
      <w:r w:rsidRPr="001B3E22">
        <w:rPr>
          <w:rFonts w:ascii="Calibri" w:hAnsi="Calibri" w:cs="Calibri"/>
        </w:rPr>
        <w:t>, based at UCL’s Institute of Child Health and partner institutes. We conduct independent, high-quality research supporting evidence-based policy to improve the health of children and families. The Children and Families Policy Research Unit is commissioned by the Department of Health and Social Care (DHSC) through the National Institute for Health and Care Research (NIHR). Research presented in this response was directly commissioned through this programme of work. The views expressed are those of the researchers and not necessarily those of the NIHR or the DHSC.</w:t>
      </w:r>
    </w:p>
    <w:p w:rsidR="0004065F" w:rsidRPr="001B3E22" w:rsidP="003C2C71">
      <w:pPr>
        <w:rPr>
          <w:rFonts w:ascii="Calibri" w:hAnsi="Calibri" w:cs="Calibri"/>
        </w:rPr>
      </w:pPr>
      <w:r w:rsidRPr="001B3E22">
        <w:rPr>
          <w:rFonts w:ascii="Calibri" w:hAnsi="Calibri" w:cs="Calibri"/>
        </w:rPr>
        <w:t>Our response focuses on the following section of the call for evidence:</w:t>
      </w:r>
      <w:r w:rsidRPr="001B3E22">
        <w:rPr>
          <w:rFonts w:ascii="Calibri" w:hAnsi="Calibri" w:cs="Calibri"/>
          <w:i/>
          <w:iCs/>
        </w:rPr>
        <w:t xml:space="preserve"> The role of NHS and specialist mental health services in support and delivery.</w:t>
      </w:r>
      <w:r w:rsidRPr="001B3E22">
        <w:rPr>
          <w:rFonts w:ascii="Calibri" w:hAnsi="Calibri" w:cs="Calibri"/>
        </w:rPr>
        <w:t xml:space="preserve"> This submission summarises evidence from our quantitative work using electronic health records to examine child/family adversity and mental health service use. Our headline findings include:</w:t>
      </w:r>
    </w:p>
    <w:p w:rsidR="0004065F" w:rsidRPr="001B3E22" w:rsidP="003C2C71">
      <w:pPr>
        <w:pStyle w:val="ListParagraph"/>
        <w:numPr>
          <w:ilvl w:val="0"/>
          <w:numId w:val="9"/>
        </w:numPr>
        <w:spacing w:line="278" w:lineRule="auto"/>
        <w:rPr>
          <w:rFonts w:ascii="Calibri" w:hAnsi="Calibri" w:cs="Calibri"/>
        </w:rPr>
      </w:pPr>
      <w:r w:rsidRPr="001B3E22">
        <w:rPr>
          <w:rFonts w:ascii="Calibri" w:hAnsi="Calibri" w:cs="Calibri"/>
        </w:rPr>
        <w:t xml:space="preserve">Primary care practitioners should practice a </w:t>
      </w:r>
      <w:r w:rsidRPr="001B3E22">
        <w:rPr>
          <w:rFonts w:ascii="Calibri" w:hAnsi="Calibri" w:cs="Calibri"/>
          <w:i/>
          <w:iCs/>
        </w:rPr>
        <w:t>whole-family approach</w:t>
      </w:r>
      <w:r w:rsidRPr="001B3E22">
        <w:rPr>
          <w:rFonts w:ascii="Calibri" w:hAnsi="Calibri" w:cs="Calibri"/>
        </w:rPr>
        <w:t xml:space="preserve"> with regards to children and young people’s mental health. Adversities and their effects cluster within families, so primary care practitioners should routinely ask about parents when treating children and vice versa.</w:t>
      </w:r>
    </w:p>
    <w:p w:rsidR="0004065F" w:rsidRPr="001B3E22" w:rsidP="003C2C71">
      <w:pPr>
        <w:pStyle w:val="ListParagraph"/>
        <w:numPr>
          <w:ilvl w:val="0"/>
          <w:numId w:val="9"/>
        </w:numPr>
        <w:spacing w:line="278" w:lineRule="auto"/>
        <w:rPr>
          <w:rFonts w:ascii="Calibri" w:hAnsi="Calibri" w:cs="Calibri"/>
        </w:rPr>
      </w:pPr>
      <w:r w:rsidRPr="001B3E22">
        <w:rPr>
          <w:rFonts w:ascii="Calibri" w:hAnsi="Calibri" w:cs="Calibri"/>
        </w:rPr>
        <w:t>There are stark inequalities in children and young people’s use of mental health services. Community-led initiatives are needed to build trust within communities and improve navigation of public services.</w:t>
      </w:r>
    </w:p>
    <w:p w:rsidR="0004065F" w:rsidRPr="001B3E22" w:rsidP="0058651B">
      <w:pPr>
        <w:pStyle w:val="Heading2"/>
        <w:rPr>
          <w:rFonts w:ascii="Calibri" w:hAnsi="Calibri" w:cs="Calibri"/>
          <w:color w:val="auto"/>
        </w:rPr>
      </w:pPr>
      <w:r w:rsidRPr="001B3E22">
        <w:rPr>
          <w:rFonts w:ascii="Calibri" w:hAnsi="Calibri" w:cs="Calibri"/>
          <w:color w:val="auto"/>
        </w:rPr>
        <w:t>Evidence</w:t>
      </w:r>
    </w:p>
    <w:p w:rsidR="0004065F" w:rsidRPr="001B3E22" w:rsidP="008949A2">
      <w:pPr>
        <w:pStyle w:val="Heading4"/>
        <w:rPr>
          <w:rFonts w:ascii="Calibri" w:hAnsi="Calibri" w:cs="Calibri"/>
          <w:color w:val="auto"/>
        </w:rPr>
      </w:pPr>
      <w:r w:rsidRPr="001B3E22">
        <w:rPr>
          <w:rFonts w:ascii="Calibri" w:hAnsi="Calibri" w:cs="Calibri"/>
          <w:color w:val="auto"/>
        </w:rPr>
        <w:t>1. What does good practice look like in general practice </w:t>
      </w:r>
      <w:r w:rsidRPr="001B3E22">
        <w:rPr>
          <w:rFonts w:ascii="Calibri" w:hAnsi="Calibri" w:cs="Calibri"/>
          <w:color w:val="auto"/>
        </w:rPr>
        <w:t>with regard to</w:t>
      </w:r>
      <w:r w:rsidRPr="001B3E22">
        <w:rPr>
          <w:rFonts w:ascii="Calibri" w:hAnsi="Calibri" w:cs="Calibri"/>
          <w:color w:val="auto"/>
        </w:rPr>
        <w:t> children and young people’s mental health? </w:t>
      </w:r>
    </w:p>
    <w:p w:rsidR="0004065F" w:rsidRPr="001B3E22" w:rsidP="00426FB3">
      <w:pPr>
        <w:rPr>
          <w:rFonts w:ascii="Calibri" w:hAnsi="Calibri" w:cs="Calibri"/>
        </w:rPr>
      </w:pPr>
      <w:r w:rsidRPr="001B3E22">
        <w:rPr>
          <w:rFonts w:ascii="Calibri" w:hAnsi="Calibri" w:cs="Calibri"/>
        </w:rPr>
        <w:t>There is an established link between exposure to adverse childhood experiences (ACEs) and elevated risk of poor physical and mental health outcomes.</w:t>
      </w:r>
      <w:r>
        <w:rPr>
          <w:rStyle w:val="FootnoteReference"/>
          <w:rFonts w:ascii="Calibri" w:hAnsi="Calibri" w:cs="Calibri"/>
        </w:rPr>
        <w:footnoteReference w:id="2"/>
      </w:r>
      <w:r w:rsidRPr="001B3E22">
        <w:rPr>
          <w:rFonts w:ascii="Calibri" w:hAnsi="Calibri" w:cs="Calibri"/>
        </w:rPr>
        <w:t xml:space="preserve"> We have published various large-scale analyses of routinely collected patient data from electronic health records which can be used to identify ACEs using clinically relevant and validated indicators. These studies focus on family adversity during the first 1000 days of a child’s life. This forms a critical period in terms of parent and child mental health, both within those 1000 days and in how experiences within this period may have a bearing on children’s future outcomes. </w:t>
      </w:r>
    </w:p>
    <w:p w:rsidR="0004065F" w:rsidRPr="001B3E22" w:rsidP="00EF3D9D">
      <w:pPr>
        <w:rPr>
          <w:rFonts w:ascii="Calibri" w:hAnsi="Calibri" w:cs="Calibri"/>
        </w:rPr>
      </w:pPr>
      <w:r w:rsidRPr="001B3E22">
        <w:rPr>
          <w:rFonts w:ascii="Calibri" w:hAnsi="Calibri" w:cs="Calibri"/>
        </w:rPr>
        <w:t>We followed mothers and their children from the first birth to adolescence, using linked electronic health records from primary and secondary healthcare.</w:t>
      </w:r>
      <w:r>
        <w:rPr>
          <w:rStyle w:val="FootnoteReference"/>
          <w:rFonts w:ascii="Calibri" w:hAnsi="Calibri" w:cs="Calibri"/>
        </w:rPr>
        <w:footnoteReference w:id="3"/>
      </w:r>
      <w:r w:rsidRPr="001B3E22">
        <w:rPr>
          <w:rFonts w:ascii="Calibri" w:hAnsi="Calibri" w:cs="Calibri"/>
        </w:rPr>
        <w:t xml:space="preserve"> We found that 37.1% (123 573/333 048) </w:t>
      </w:r>
      <w:r w:rsidRPr="001B3E22">
        <w:rPr>
          <w:rFonts w:ascii="Calibri" w:hAnsi="Calibri" w:cs="Calibri"/>
        </w:rPr>
        <w:t xml:space="preserve">firstborn-mother pairs had records indicating ACEs. Mothers with firstborns with ACEs had 1.7 times as many children in total with mental health problems (mean 29.8 children per 100 mothers) compared with mothers without firstborns with ACEs (mean 17.4 children per 100 mothers). This means that 12.3 additional children per 100 mothers had mental health problems where ACEs were recorded for the firstborn mother-child pair. </w:t>
      </w:r>
    </w:p>
    <w:p w:rsidR="0004065F" w:rsidRPr="001B3E22" w:rsidP="00544444">
      <w:pPr>
        <w:rPr>
          <w:rFonts w:ascii="Calibri" w:hAnsi="Calibri" w:cs="Calibri"/>
        </w:rPr>
      </w:pPr>
      <w:r w:rsidRPr="001B3E22">
        <w:rPr>
          <w:rFonts w:ascii="Calibri" w:hAnsi="Calibri" w:cs="Calibri"/>
        </w:rPr>
        <w:t>The ACEs in the firstborn that were most strongly associated with an increased number of children with mental health problems included maternal mental health problems, as well as maternal severe drug use and intimate partner violence (IPV). Maternal mental health problems were identified as the most common of six ACE domains. Previous work using primary care data has shown that both maternal and paternal mental health problems are strongly linked with intimate partner violence and child maltreatment recorded in primary care records.</w:t>
      </w:r>
      <w:r>
        <w:rPr>
          <w:rStyle w:val="FootnoteReference"/>
          <w:rFonts w:ascii="Calibri" w:hAnsi="Calibri" w:cs="Calibri"/>
        </w:rPr>
        <w:footnoteReference w:id="4"/>
      </w:r>
      <w:r w:rsidRPr="001B3E22">
        <w:rPr>
          <w:rFonts w:ascii="Calibri" w:hAnsi="Calibri" w:cs="Calibri"/>
        </w:rPr>
        <w:t xml:space="preserve"> This is consistent with data from Child in Need Assessments. In 2025, parental mental health concerns were the </w:t>
      </w:r>
      <w:r w:rsidRPr="001B3E22">
        <w:rPr>
          <w:rFonts w:ascii="Calibri" w:hAnsi="Calibri" w:cs="Calibri"/>
        </w:rPr>
        <w:t>most commonly flagged</w:t>
      </w:r>
      <w:r w:rsidRPr="001B3E22">
        <w:rPr>
          <w:rFonts w:ascii="Calibri" w:hAnsi="Calibri" w:cs="Calibri"/>
        </w:rPr>
        <w:t xml:space="preserve"> concern, appearing in one third of all Child in Need Assessments.</w:t>
      </w:r>
      <w:r>
        <w:rPr>
          <w:rStyle w:val="FootnoteReference"/>
          <w:rFonts w:ascii="Calibri" w:hAnsi="Calibri" w:cs="Calibri"/>
        </w:rPr>
        <w:footnoteReference w:id="5"/>
      </w:r>
    </w:p>
    <w:p w:rsidR="0004065F" w:rsidRPr="001B3E22" w:rsidP="00205505">
      <w:pPr>
        <w:rPr>
          <w:rFonts w:ascii="Calibri" w:hAnsi="Calibri" w:cs="Calibri"/>
        </w:rPr>
      </w:pPr>
      <w:r w:rsidRPr="001B3E22">
        <w:rPr>
          <w:rFonts w:ascii="Calibri" w:hAnsi="Calibri" w:cs="Calibri"/>
        </w:rPr>
        <w:t xml:space="preserve">Taken together, these findings suggest a fundamental link between parent, child, and sibling mental health, strongly supporting the importance of family-centred interventions during the first 1000 days of a child’s life. A focus on supporting families with a firstborn, could help to prevent ACEs for subsequent births and identify families that need ongoing support through subsequent births. Robust links between primary care and easy access to perinatal, adult, and child mental health services that can provide long-term support are vital. Since most ACEs were identified from the maternal records, primary care practitioners should prioritise a </w:t>
      </w:r>
      <w:r w:rsidRPr="001B3E22">
        <w:rPr>
          <w:rFonts w:ascii="Calibri" w:hAnsi="Calibri" w:cs="Calibri"/>
          <w:i/>
          <w:iCs/>
        </w:rPr>
        <w:t>whole-family</w:t>
      </w:r>
      <w:r w:rsidRPr="001B3E22">
        <w:rPr>
          <w:rFonts w:ascii="Calibri" w:hAnsi="Calibri" w:cs="Calibri"/>
        </w:rPr>
        <w:t xml:space="preserve"> approach e.g., reviewing parents’ and children’s records and asking about children when treating adults and vice versa. The perinatal period offers increased routine monitoring by healthcare professionals with opportunities for early support via timely and accessible joined-up services (e.g., the Early Help System) and longitudinal monitoring in primary care and connected services (e.g., Family hubs). </w:t>
      </w:r>
    </w:p>
    <w:p w:rsidR="0004065F" w:rsidRPr="001B3E22" w:rsidP="00426FB3">
      <w:pPr>
        <w:rPr>
          <w:rFonts w:ascii="Calibri" w:hAnsi="Calibri" w:cs="Calibri"/>
        </w:rPr>
      </w:pPr>
      <w:r w:rsidRPr="001B3E22">
        <w:rPr>
          <w:rFonts w:ascii="Calibri" w:hAnsi="Calibri" w:cs="Calibri"/>
        </w:rPr>
        <w:t>Perspectives from our lived experience lay involvement group also underline the importance of considering the whole-family context in child mental health. They have reported that children and young people’s mental health services can have a ‘narrow perspective’ which often does not relate child mental health to the family or home context.</w:t>
      </w:r>
      <w:r>
        <w:rPr>
          <w:rStyle w:val="FootnoteReference"/>
          <w:rFonts w:ascii="Calibri" w:hAnsi="Calibri" w:cs="Calibri"/>
        </w:rPr>
        <w:footnoteReference w:id="6"/>
      </w:r>
      <w:r w:rsidRPr="001B3E22">
        <w:rPr>
          <w:rFonts w:ascii="Calibri" w:hAnsi="Calibri" w:cs="Calibri"/>
        </w:rPr>
        <w:t xml:space="preserve">  This was reflected in a 2022 review of child safeguarding policy in England, in which child mental health was discussed in only 22% of policies.</w:t>
      </w:r>
      <w:r>
        <w:rPr>
          <w:rStyle w:val="FootnoteReference"/>
          <w:rFonts w:ascii="Calibri" w:hAnsi="Calibri" w:cs="Calibri"/>
        </w:rPr>
        <w:footnoteReference w:id="7"/>
      </w:r>
      <w:r w:rsidRPr="001B3E22">
        <w:rPr>
          <w:rFonts w:ascii="Calibri" w:hAnsi="Calibri" w:cs="Calibri"/>
        </w:rPr>
        <w:t xml:space="preserve"> </w:t>
      </w:r>
    </w:p>
    <w:p w:rsidR="0004065F" w:rsidRPr="001B3E22" w:rsidP="008949A2">
      <w:pPr>
        <w:pStyle w:val="Heading4"/>
        <w:rPr>
          <w:rFonts w:ascii="Calibri" w:hAnsi="Calibri" w:cs="Calibri"/>
          <w:color w:val="auto"/>
        </w:rPr>
      </w:pPr>
      <w:r w:rsidRPr="001B3E22">
        <w:rPr>
          <w:rFonts w:ascii="Calibri" w:hAnsi="Calibri" w:cs="Calibri"/>
          <w:color w:val="auto"/>
        </w:rPr>
        <w:t>2. How should training for primary care staff be improved to support earlier identification and management of mental health needs? </w:t>
      </w:r>
    </w:p>
    <w:p w:rsidR="0004065F" w:rsidRPr="001B3E22" w:rsidP="00426FB3">
      <w:pPr>
        <w:rPr>
          <w:rFonts w:ascii="Calibri" w:hAnsi="Calibri" w:cs="Calibri"/>
        </w:rPr>
      </w:pPr>
      <w:r w:rsidRPr="001B3E22">
        <w:rPr>
          <w:rFonts w:ascii="Calibri" w:hAnsi="Calibri" w:cs="Calibri"/>
        </w:rPr>
        <w:t xml:space="preserve">Our qualitative research with professionals working in primary care, children and young people’s mental health services (CYPMHS), and domestic abuse services in England identified multiple service gaps, both across different services and for </w:t>
      </w:r>
      <w:r w:rsidRPr="001B3E22">
        <w:rPr>
          <w:rFonts w:ascii="Calibri" w:hAnsi="Calibri" w:cs="Calibri"/>
        </w:rPr>
        <w:t>particular populations</w:t>
      </w:r>
      <w:r w:rsidRPr="001B3E22">
        <w:rPr>
          <w:rFonts w:ascii="Calibri" w:hAnsi="Calibri" w:cs="Calibri"/>
        </w:rPr>
        <w:t xml:space="preserve"> where there is need.</w:t>
      </w:r>
      <w:r w:rsidRPr="001B3E22">
        <w:rPr>
          <w:rFonts w:ascii="Calibri" w:hAnsi="Calibri" w:cs="Calibri"/>
          <w:vertAlign w:val="superscript"/>
        </w:rPr>
        <w:t>5</w:t>
      </w:r>
      <w:r w:rsidRPr="001B3E22">
        <w:rPr>
          <w:rFonts w:ascii="Calibri" w:hAnsi="Calibri" w:cs="Calibri"/>
        </w:rPr>
        <w:t xml:space="preserve"> Overall, findings suggest that priority improvements are higher-level than the domain of primary care. Attention needs to be paid to funding, commissioning and contracting processes, the involvement of strategic groups such as voluntary sector organisations and ‘by and for’ services, and overall service co-ordination. </w:t>
      </w:r>
    </w:p>
    <w:p w:rsidR="0004065F" w:rsidRPr="001B3E22" w:rsidP="00426FB3">
      <w:pPr>
        <w:rPr>
          <w:rFonts w:ascii="Calibri" w:hAnsi="Calibri" w:cs="Calibri"/>
        </w:rPr>
      </w:pPr>
      <w:r w:rsidRPr="001B3E22">
        <w:rPr>
          <w:rFonts w:ascii="Calibri" w:hAnsi="Calibri" w:cs="Calibri"/>
        </w:rPr>
        <w:t xml:space="preserve">However, the qualitative work also identified gaps in coordination between primary care, wider local authority services, domestic abuse services, and statutory CYPMHS. Children exposed to IPV may fall through identification gaps in general practice and CYPMHS if they in a situation not ‘risky enough’ to meet social care thresholds. These children were considered by professionals to be less likely to access CYPMHS, even if they had significant mental health needs. Both parents and children could also fall </w:t>
      </w:r>
      <w:r w:rsidRPr="001B3E22">
        <w:rPr>
          <w:rFonts w:ascii="Calibri" w:hAnsi="Calibri" w:cs="Calibri"/>
          <w:i/>
          <w:iCs/>
        </w:rPr>
        <w:t>between</w:t>
      </w:r>
      <w:r w:rsidRPr="001B3E22">
        <w:rPr>
          <w:rFonts w:ascii="Calibri" w:hAnsi="Calibri" w:cs="Calibri"/>
        </w:rPr>
        <w:t xml:space="preserve"> thresholds: the needs of families exposed to domestic abuse were often considered too complex for primary mental health ‘Talking Therapies’, but simultaneously short of the thresholds or diagnostic criteria for higher-tier or specialist services.</w:t>
      </w:r>
    </w:p>
    <w:p w:rsidR="0004065F" w:rsidRPr="001B3E22" w:rsidP="00426FB3">
      <w:pPr>
        <w:rPr>
          <w:rFonts w:ascii="Calibri" w:hAnsi="Calibri" w:cs="Calibri"/>
        </w:rPr>
      </w:pPr>
      <w:r w:rsidRPr="001B3E22">
        <w:rPr>
          <w:rFonts w:ascii="Calibri" w:hAnsi="Calibri" w:cs="Calibri"/>
        </w:rPr>
        <w:t xml:space="preserve">In terms of training, primary care professionals identified that the training they received on IPV was within a safeguarding framework, separately to mental health. Primary care professionals expressed a desire for child-focused </w:t>
      </w:r>
      <w:r w:rsidRPr="001B3E22">
        <w:rPr>
          <w:rFonts w:ascii="Calibri" w:hAnsi="Calibri" w:cs="Calibri"/>
        </w:rPr>
        <w:t>IPV</w:t>
      </w:r>
      <w:r w:rsidRPr="001B3E22">
        <w:rPr>
          <w:rFonts w:ascii="Calibri" w:hAnsi="Calibri" w:cs="Calibri"/>
        </w:rPr>
        <w:t xml:space="preserve"> and mental health training related to safeguarding, as well as knowledge on what other services do and where to refer for IPV. Practitioners felt that IPV should be integrated throughout all healthcare practitioner training. </w:t>
      </w:r>
    </w:p>
    <w:p w:rsidR="0004065F" w:rsidRPr="001B3E22" w:rsidP="005E5246">
      <w:pPr>
        <w:pStyle w:val="Heading4"/>
        <w:rPr>
          <w:rFonts w:ascii="Calibri" w:hAnsi="Calibri" w:cs="Calibri"/>
          <w:color w:val="auto"/>
        </w:rPr>
      </w:pPr>
    </w:p>
    <w:p w:rsidR="0004065F" w:rsidRPr="001B3E22" w:rsidP="008949A2">
      <w:pPr>
        <w:pStyle w:val="Heading4"/>
        <w:rPr>
          <w:rFonts w:ascii="Calibri" w:hAnsi="Calibri" w:cs="Calibri"/>
          <w:color w:val="auto"/>
        </w:rPr>
      </w:pPr>
      <w:r w:rsidRPr="001B3E22">
        <w:rPr>
          <w:rFonts w:ascii="Calibri" w:hAnsi="Calibri" w:cs="Calibri"/>
          <w:color w:val="auto"/>
        </w:rPr>
        <w:t>3. How effectively are education and community providers identifying and responding to children and young people’s mental health needs? </w:t>
      </w:r>
    </w:p>
    <w:p w:rsidR="0004065F" w:rsidRPr="001B3E22" w:rsidP="008949A2">
      <w:pPr>
        <w:pStyle w:val="Heading4"/>
        <w:rPr>
          <w:rFonts w:ascii="Calibri" w:hAnsi="Calibri" w:cs="Calibri"/>
          <w:color w:val="auto"/>
        </w:rPr>
      </w:pPr>
      <w:r w:rsidRPr="001B3E22">
        <w:rPr>
          <w:rFonts w:ascii="Calibri" w:hAnsi="Calibri" w:cs="Calibri"/>
          <w:color w:val="auto"/>
        </w:rPr>
        <w:t>4. What reforms to CAMHS would best support timely, equitable and continued access to specialist mental health care for children and young people?</w:t>
      </w:r>
    </w:p>
    <w:p w:rsidR="0004065F" w:rsidRPr="001B3E22" w:rsidP="004F62F0">
      <w:pPr>
        <w:rPr>
          <w:rFonts w:ascii="Calibri" w:hAnsi="Calibri" w:cs="Calibri"/>
        </w:rPr>
      </w:pPr>
      <w:r w:rsidRPr="001B3E22">
        <w:rPr>
          <w:rFonts w:ascii="Calibri" w:hAnsi="Calibri" w:cs="Calibri"/>
        </w:rPr>
        <w:t>We present evidence from two national studies using linked health and education data from the ECHILD dataset.</w:t>
      </w:r>
      <w:r>
        <w:rPr>
          <w:rStyle w:val="FootnoteReference"/>
          <w:rFonts w:ascii="Calibri" w:hAnsi="Calibri" w:cs="Calibri"/>
        </w:rPr>
        <w:footnoteReference w:id="8"/>
      </w:r>
      <w:r w:rsidRPr="001B3E22">
        <w:rPr>
          <w:rFonts w:ascii="Calibri" w:hAnsi="Calibri" w:cs="Calibri"/>
          <w:vertAlign w:val="superscript"/>
        </w:rPr>
        <w:t>,8</w:t>
      </w:r>
      <w:r w:rsidRPr="001B3E22">
        <w:rPr>
          <w:rFonts w:ascii="Calibri" w:hAnsi="Calibri" w:cs="Calibri"/>
        </w:rPr>
        <w:t xml:space="preserve"> These findings provide insights for early identification, equitable access, and coordinated support for children and young people’s mental health in England.</w:t>
      </w:r>
    </w:p>
    <w:p w:rsidR="0004065F" w:rsidRPr="001B3E22" w:rsidP="00AE7F77">
      <w:pPr>
        <w:pStyle w:val="Heading4"/>
        <w:rPr>
          <w:rFonts w:ascii="Calibri" w:hAnsi="Calibri" w:cs="Calibri"/>
          <w:color w:val="auto"/>
        </w:rPr>
      </w:pPr>
      <w:r w:rsidRPr="001B3E22">
        <w:rPr>
          <w:rFonts w:ascii="Calibri" w:hAnsi="Calibri" w:cs="Calibri"/>
          <w:color w:val="auto"/>
        </w:rPr>
        <w:t>High levels of need and unequal access across social groups</w:t>
      </w:r>
    </w:p>
    <w:p w:rsidR="0004065F" w:rsidRPr="001B3E22" w:rsidP="003836DE">
      <w:pPr>
        <w:rPr>
          <w:rFonts w:ascii="Calibri" w:hAnsi="Calibri" w:cs="Calibri"/>
        </w:rPr>
      </w:pPr>
      <w:r w:rsidRPr="001B3E22">
        <w:rPr>
          <w:rFonts w:ascii="Calibri" w:hAnsi="Calibri" w:cs="Calibri"/>
        </w:rPr>
        <w:t>Nearly one in five secondary school-aged children in England were referred to NHS Children and Young People’s Mental Health Services (CYPMHS). Although Emergency Department attendance and hospital admissions related to mental health were far less common, patterns of use across social groups were similar. This indicates that inequalities are not limited to a single service type. Instead, they reflect broader differences in underlying need and unequal access across the whole system. Policies aimed at reducing disparities must therefore address:</w:t>
      </w:r>
    </w:p>
    <w:p w:rsidR="0004065F" w:rsidRPr="001B3E22" w:rsidP="005E5246">
      <w:pPr>
        <w:pStyle w:val="ListParagraph"/>
        <w:numPr>
          <w:ilvl w:val="0"/>
          <w:numId w:val="15"/>
        </w:numPr>
        <w:rPr>
          <w:rFonts w:ascii="Calibri" w:hAnsi="Calibri" w:cs="Calibri"/>
        </w:rPr>
      </w:pPr>
      <w:r w:rsidRPr="001B3E22">
        <w:rPr>
          <w:rFonts w:ascii="Calibri" w:hAnsi="Calibri" w:cs="Calibri"/>
        </w:rPr>
        <w:t>the full pathway of care</w:t>
      </w:r>
    </w:p>
    <w:p w:rsidR="0004065F" w:rsidRPr="001B3E22" w:rsidP="005E5246">
      <w:pPr>
        <w:pStyle w:val="ListParagraph"/>
        <w:numPr>
          <w:ilvl w:val="0"/>
          <w:numId w:val="15"/>
        </w:numPr>
        <w:rPr>
          <w:rFonts w:ascii="Calibri" w:hAnsi="Calibri" w:cs="Calibri"/>
        </w:rPr>
      </w:pPr>
      <w:r w:rsidRPr="001B3E22">
        <w:rPr>
          <w:rFonts w:ascii="Calibri" w:hAnsi="Calibri" w:cs="Calibri"/>
        </w:rPr>
        <w:t>social determinants of mental health, and</w:t>
      </w:r>
    </w:p>
    <w:p w:rsidR="0004065F" w:rsidRPr="001B3E22" w:rsidP="004F62F0">
      <w:pPr>
        <w:pStyle w:val="ListParagraph"/>
        <w:numPr>
          <w:ilvl w:val="0"/>
          <w:numId w:val="15"/>
        </w:numPr>
        <w:rPr>
          <w:rFonts w:ascii="Calibri" w:hAnsi="Calibri" w:cs="Calibri"/>
        </w:rPr>
      </w:pPr>
      <w:r w:rsidRPr="001B3E22">
        <w:rPr>
          <w:rFonts w:ascii="Calibri" w:hAnsi="Calibri" w:cs="Calibri"/>
        </w:rPr>
        <w:t>structural barriers that delay or prevent access to timely support</w:t>
      </w:r>
    </w:p>
    <w:p w:rsidR="0004065F" w:rsidRPr="001B3E22" w:rsidP="003836DE">
      <w:pPr>
        <w:rPr>
          <w:rFonts w:ascii="Calibri" w:hAnsi="Calibri" w:cs="Calibri"/>
        </w:rPr>
      </w:pPr>
      <w:r w:rsidRPr="001B3E22">
        <w:rPr>
          <w:rStyle w:val="Heading5Char"/>
          <w:rFonts w:ascii="Calibri" w:hAnsi="Calibri" w:cs="Calibri"/>
          <w:color w:val="auto"/>
        </w:rPr>
        <w:t>Focus on care-experienced young people</w:t>
      </w:r>
      <w:r w:rsidRPr="001B3E22">
        <w:rPr>
          <w:rFonts w:ascii="Calibri" w:hAnsi="Calibri" w:cs="Calibri"/>
          <w:b/>
          <w:bCs/>
        </w:rPr>
        <w:br/>
      </w:r>
      <w:r w:rsidRPr="001B3E22">
        <w:rPr>
          <w:rFonts w:ascii="Calibri" w:hAnsi="Calibri" w:cs="Calibri"/>
        </w:rPr>
        <w:t>Care-experienced young people have the highest levels of mental health</w:t>
      </w:r>
      <w:r w:rsidRPr="001B3E22">
        <w:rPr>
          <w:rFonts w:ascii="Cambria Math" w:hAnsi="Cambria Math" w:cs="Cambria Math"/>
        </w:rPr>
        <w:t>‑</w:t>
      </w:r>
      <w:r w:rsidRPr="001B3E22">
        <w:rPr>
          <w:rFonts w:ascii="Calibri" w:hAnsi="Calibri" w:cs="Calibri"/>
        </w:rPr>
        <w:t>related need and service use and must remain a priority group for public services. Rates of mental health</w:t>
      </w:r>
      <w:r w:rsidRPr="001B3E22">
        <w:rPr>
          <w:rFonts w:ascii="Cambria Math" w:hAnsi="Cambria Math" w:cs="Cambria Math"/>
        </w:rPr>
        <w:t>‑</w:t>
      </w:r>
      <w:r w:rsidRPr="001B3E22">
        <w:rPr>
          <w:rFonts w:ascii="Calibri" w:hAnsi="Calibri" w:cs="Calibri"/>
        </w:rPr>
        <w:t>related service contacts were three times higher for care</w:t>
      </w:r>
      <w:r w:rsidRPr="001B3E22">
        <w:rPr>
          <w:rFonts w:ascii="Cambria Math" w:hAnsi="Cambria Math" w:cs="Cambria Math"/>
        </w:rPr>
        <w:t>‑</w:t>
      </w:r>
      <w:r w:rsidRPr="001B3E22">
        <w:rPr>
          <w:rFonts w:ascii="Calibri" w:hAnsi="Calibri" w:cs="Calibri"/>
        </w:rPr>
        <w:t>experienced young people than the national average:</w:t>
      </w:r>
    </w:p>
    <w:p w:rsidR="0004065F" w:rsidRPr="001B3E22" w:rsidP="005E5246">
      <w:pPr>
        <w:pStyle w:val="ListParagraph"/>
        <w:numPr>
          <w:ilvl w:val="0"/>
          <w:numId w:val="16"/>
        </w:numPr>
        <w:rPr>
          <w:rFonts w:ascii="Calibri" w:hAnsi="Calibri" w:cs="Calibri"/>
        </w:rPr>
      </w:pPr>
      <w:r w:rsidRPr="001B3E22">
        <w:rPr>
          <w:rFonts w:ascii="Calibri" w:hAnsi="Calibri" w:cs="Calibri"/>
        </w:rPr>
        <w:t>NHS CYPMHS referrals: 141.9 per 1,000 person</w:t>
      </w:r>
      <w:r w:rsidRPr="001B3E22">
        <w:rPr>
          <w:rFonts w:ascii="Cambria Math" w:hAnsi="Cambria Math" w:cs="Cambria Math"/>
        </w:rPr>
        <w:t>‑</w:t>
      </w:r>
      <w:r w:rsidRPr="001B3E22">
        <w:rPr>
          <w:rFonts w:ascii="Calibri" w:hAnsi="Calibri" w:cs="Calibri"/>
        </w:rPr>
        <w:t>years vs 45.2 nationally</w:t>
      </w:r>
    </w:p>
    <w:p w:rsidR="0004065F" w:rsidRPr="001B3E22" w:rsidP="005E5246">
      <w:pPr>
        <w:pStyle w:val="ListParagraph"/>
        <w:numPr>
          <w:ilvl w:val="0"/>
          <w:numId w:val="16"/>
        </w:numPr>
        <w:rPr>
          <w:rFonts w:ascii="Calibri" w:hAnsi="Calibri" w:cs="Calibri"/>
        </w:rPr>
      </w:pPr>
      <w:r w:rsidRPr="001B3E22">
        <w:rPr>
          <w:rFonts w:ascii="Calibri" w:hAnsi="Calibri" w:cs="Calibri"/>
        </w:rPr>
        <w:t>Mental health–related A&amp;E attendances: 41.2 vs 13.9</w:t>
      </w:r>
    </w:p>
    <w:p w:rsidR="0004065F" w:rsidRPr="001B3E22" w:rsidP="005E5246">
      <w:pPr>
        <w:pStyle w:val="ListParagraph"/>
        <w:numPr>
          <w:ilvl w:val="0"/>
          <w:numId w:val="16"/>
        </w:numPr>
        <w:rPr>
          <w:rFonts w:ascii="Calibri" w:hAnsi="Calibri" w:cs="Calibri"/>
        </w:rPr>
      </w:pPr>
      <w:r w:rsidRPr="001B3E22">
        <w:rPr>
          <w:rFonts w:ascii="Calibri" w:hAnsi="Calibri" w:cs="Calibri"/>
        </w:rPr>
        <w:t>Mental health–related hospital admissions: 13.0 vs 4.1</w:t>
      </w:r>
    </w:p>
    <w:p w:rsidR="0004065F" w:rsidRPr="001B3E22" w:rsidP="003836DE">
      <w:pPr>
        <w:rPr>
          <w:rFonts w:ascii="Calibri" w:hAnsi="Calibri" w:cs="Calibri"/>
        </w:rPr>
      </w:pPr>
      <w:r w:rsidRPr="001B3E22">
        <w:rPr>
          <w:rFonts w:ascii="Calibri" w:hAnsi="Calibri" w:cs="Calibri"/>
        </w:rPr>
        <w:t>More than one in three care</w:t>
      </w:r>
      <w:r w:rsidRPr="001B3E22">
        <w:rPr>
          <w:rFonts w:ascii="Cambria Math" w:hAnsi="Cambria Math" w:cs="Cambria Math"/>
        </w:rPr>
        <w:t>‑</w:t>
      </w:r>
      <w:r w:rsidRPr="001B3E22">
        <w:rPr>
          <w:rFonts w:ascii="Calibri" w:hAnsi="Calibri" w:cs="Calibri"/>
        </w:rPr>
        <w:t>experienced girls and one in four care</w:t>
      </w:r>
      <w:r w:rsidRPr="001B3E22">
        <w:rPr>
          <w:rFonts w:ascii="Cambria Math" w:hAnsi="Cambria Math" w:cs="Cambria Math"/>
        </w:rPr>
        <w:t>‑</w:t>
      </w:r>
      <w:r w:rsidRPr="001B3E22">
        <w:rPr>
          <w:rFonts w:ascii="Calibri" w:hAnsi="Calibri" w:cs="Calibri"/>
        </w:rPr>
        <w:t>experienced boys were admitted to hospital with a mental health</w:t>
      </w:r>
      <w:r w:rsidRPr="001B3E22">
        <w:rPr>
          <w:rFonts w:ascii="Cambria Math" w:hAnsi="Cambria Math" w:cs="Cambria Math"/>
        </w:rPr>
        <w:t>‑</w:t>
      </w:r>
      <w:r w:rsidRPr="001B3E22">
        <w:rPr>
          <w:rFonts w:ascii="Calibri" w:hAnsi="Calibri" w:cs="Calibri"/>
        </w:rPr>
        <w:t>related condition during secondary school. Those with co</w:t>
      </w:r>
      <w:r w:rsidRPr="001B3E22">
        <w:rPr>
          <w:rFonts w:ascii="Cambria Math" w:hAnsi="Cambria Math" w:cs="Cambria Math"/>
        </w:rPr>
        <w:t>‑</w:t>
      </w:r>
      <w:r w:rsidRPr="001B3E22">
        <w:rPr>
          <w:rFonts w:ascii="Calibri" w:hAnsi="Calibri" w:cs="Calibri"/>
        </w:rPr>
        <w:t>occurring special educational needs (SEN) recorded had particularly high rates of unplanned hospital admissions. This finding is particularly concerning given evidence of unmet need. Notably, low rates of planned mental health admissions for care</w:t>
      </w:r>
      <w:r w:rsidRPr="001B3E22">
        <w:rPr>
          <w:rFonts w:ascii="Cambria Math" w:hAnsi="Cambria Math" w:cs="Cambria Math"/>
        </w:rPr>
        <w:t>‑</w:t>
      </w:r>
      <w:r w:rsidRPr="001B3E22">
        <w:rPr>
          <w:rFonts w:ascii="Calibri" w:hAnsi="Calibri" w:cs="Calibri"/>
        </w:rPr>
        <w:t>experienced boys and high rates of pregnancy</w:t>
      </w:r>
      <w:r w:rsidRPr="001B3E22">
        <w:rPr>
          <w:rFonts w:ascii="Cambria Math" w:hAnsi="Cambria Math" w:cs="Cambria Math"/>
        </w:rPr>
        <w:t>‑</w:t>
      </w:r>
      <w:r w:rsidRPr="001B3E22">
        <w:rPr>
          <w:rFonts w:ascii="Calibri" w:hAnsi="Calibri" w:cs="Calibri"/>
        </w:rPr>
        <w:t>related admissions among care</w:t>
      </w:r>
      <w:r w:rsidRPr="001B3E22">
        <w:rPr>
          <w:rFonts w:ascii="Cambria Math" w:hAnsi="Cambria Math" w:cs="Cambria Math"/>
        </w:rPr>
        <w:t>‑</w:t>
      </w:r>
      <w:r w:rsidRPr="001B3E22">
        <w:rPr>
          <w:rFonts w:ascii="Calibri" w:hAnsi="Calibri" w:cs="Calibri"/>
        </w:rPr>
        <w:t>experienced girls, relative to peers without care-experience.</w:t>
      </w:r>
    </w:p>
    <w:p w:rsidR="0004065F" w:rsidRPr="001B3E22" w:rsidP="00CA6ABB">
      <w:pPr>
        <w:rPr>
          <w:rFonts w:ascii="Calibri" w:hAnsi="Calibri" w:cs="Calibri"/>
        </w:rPr>
      </w:pPr>
      <w:r w:rsidRPr="001B3E22">
        <w:rPr>
          <w:rFonts w:ascii="Calibri" w:hAnsi="Calibri" w:cs="Calibri"/>
        </w:rPr>
        <w:t>Key implications for policy include:</w:t>
      </w:r>
    </w:p>
    <w:p w:rsidR="0004065F" w:rsidRPr="001B3E22" w:rsidP="00CA6ABB">
      <w:pPr>
        <w:pStyle w:val="ListParagraph"/>
        <w:numPr>
          <w:ilvl w:val="0"/>
          <w:numId w:val="17"/>
        </w:numPr>
        <w:rPr>
          <w:rFonts w:ascii="Calibri" w:hAnsi="Calibri" w:cs="Calibri"/>
        </w:rPr>
      </w:pPr>
      <w:r w:rsidRPr="001B3E22">
        <w:rPr>
          <w:rFonts w:ascii="Calibri" w:hAnsi="Calibri" w:cs="Calibri"/>
        </w:rPr>
        <w:t>Care</w:t>
      </w:r>
      <w:r w:rsidRPr="001B3E22">
        <w:rPr>
          <w:rFonts w:ascii="Cambria Math" w:hAnsi="Cambria Math" w:cs="Cambria Math"/>
        </w:rPr>
        <w:t>‑</w:t>
      </w:r>
      <w:r w:rsidRPr="001B3E22">
        <w:rPr>
          <w:rFonts w:ascii="Calibri" w:hAnsi="Calibri" w:cs="Calibri"/>
        </w:rPr>
        <w:t xml:space="preserve">experienced young people face structural barriers, including fragmented responsibilities across health, education, and social care. </w:t>
      </w:r>
    </w:p>
    <w:p w:rsidR="0004065F" w:rsidRPr="001B3E22" w:rsidP="00CA6ABB">
      <w:pPr>
        <w:pStyle w:val="ListParagraph"/>
        <w:numPr>
          <w:ilvl w:val="0"/>
          <w:numId w:val="17"/>
        </w:numPr>
        <w:rPr>
          <w:rFonts w:ascii="Calibri" w:hAnsi="Calibri" w:cs="Calibri"/>
        </w:rPr>
      </w:pPr>
      <w:r w:rsidRPr="001B3E22">
        <w:rPr>
          <w:rFonts w:ascii="Calibri" w:hAnsi="Calibri" w:cs="Calibri"/>
        </w:rPr>
        <w:t>Education and community settings could better aid early identification and support for mental health concerns, including ongoing support for young people who struggle to access effective support through CYMHS.</w:t>
      </w:r>
    </w:p>
    <w:p w:rsidR="0004065F" w:rsidRPr="001B3E22" w:rsidP="00CA6ABB">
      <w:pPr>
        <w:pStyle w:val="ListParagraph"/>
        <w:numPr>
          <w:ilvl w:val="0"/>
          <w:numId w:val="17"/>
        </w:numPr>
        <w:rPr>
          <w:rFonts w:ascii="Calibri" w:hAnsi="Calibri" w:cs="Calibri"/>
        </w:rPr>
      </w:pPr>
      <w:r w:rsidRPr="001B3E22">
        <w:rPr>
          <w:rFonts w:ascii="Calibri" w:hAnsi="Calibri" w:cs="Calibri"/>
        </w:rPr>
        <w:t>Policies should promote integrated, multi</w:t>
      </w:r>
      <w:r w:rsidRPr="001B3E22">
        <w:rPr>
          <w:rFonts w:ascii="Cambria Math" w:hAnsi="Cambria Math" w:cs="Cambria Math"/>
        </w:rPr>
        <w:t>‑</w:t>
      </w:r>
      <w:r w:rsidRPr="001B3E22">
        <w:rPr>
          <w:rFonts w:ascii="Calibri" w:hAnsi="Calibri" w:cs="Calibri"/>
        </w:rPr>
        <w:t>agency models that reduce fragmentation and ensure continuity of care.</w:t>
      </w:r>
    </w:p>
    <w:p w:rsidR="0004065F" w:rsidRPr="001B3E22" w:rsidP="008949A2">
      <w:pPr>
        <w:pStyle w:val="Heading4"/>
        <w:rPr>
          <w:rFonts w:ascii="Calibri" w:hAnsi="Calibri" w:cs="Calibri"/>
          <w:color w:val="auto"/>
        </w:rPr>
      </w:pPr>
      <w:r w:rsidRPr="001B3E22">
        <w:rPr>
          <w:rFonts w:ascii="Calibri" w:hAnsi="Calibri" w:cs="Calibri"/>
          <w:color w:val="auto"/>
        </w:rPr>
        <w:t>5. What reforms to CAMHS would best support timely, equitable and continued access to specialist mental health care for children and young people?</w:t>
      </w:r>
    </w:p>
    <w:p w:rsidR="0004065F" w:rsidRPr="001B3E22">
      <w:pPr>
        <w:rPr>
          <w:rFonts w:ascii="Calibri" w:hAnsi="Calibri" w:cs="Calibri"/>
        </w:rPr>
      </w:pPr>
      <w:r w:rsidRPr="001B3E22">
        <w:rPr>
          <w:rFonts w:ascii="Calibri" w:hAnsi="Calibri" w:cs="Calibri"/>
        </w:rPr>
        <w:t>One of CPRU’s core projects looks at access to services related to adolescent mental health. In our analysis of 5.6 million adolescent primary and secondary care and mental health service records, we found clear inequalities in rates of mental health-related service contacts by social strata.</w:t>
      </w:r>
      <w:r>
        <w:rPr>
          <w:rStyle w:val="FootnoteReference"/>
          <w:rFonts w:ascii="Calibri" w:hAnsi="Calibri" w:cs="Calibri"/>
        </w:rPr>
        <w:footnoteReference w:id="9"/>
      </w:r>
      <w:r w:rsidRPr="001B3E22">
        <w:rPr>
          <w:rFonts w:ascii="Calibri" w:hAnsi="Calibri" w:cs="Calibri"/>
        </w:rPr>
        <w:t xml:space="preserve"> The analysis used ‘wide’ national data (from ECHILD) and ‘deep’ local data (from Born in Bradford). Lower rates of service contacts were found for males, adolescents living in London, and several racial-ethnic groups, including Bangladeshi, Indian, Pakistani and Black African. In Bradford, British Pakistani adolescents had – on average – better parent-reported mental health, the subset of adolescents with high mental health needs (indicated by Strengths and Difficulties Questionnaire scores of 17+) were much less frequently seen by their GP than their White British peers.</w:t>
      </w:r>
      <w:r>
        <w:rPr>
          <w:rStyle w:val="FootnoteReference"/>
          <w:rFonts w:ascii="Calibri" w:hAnsi="Calibri" w:cs="Calibri"/>
        </w:rPr>
        <w:footnoteReference w:id="10"/>
      </w:r>
      <w:r w:rsidRPr="001B3E22">
        <w:rPr>
          <w:rFonts w:ascii="Calibri" w:hAnsi="Calibri" w:cs="Calibri"/>
        </w:rPr>
        <w:t xml:space="preserve"> </w:t>
      </w:r>
    </w:p>
    <w:p w:rsidR="0004065F" w:rsidRPr="001B3E22">
      <w:pPr>
        <w:rPr>
          <w:rFonts w:ascii="Calibri" w:hAnsi="Calibri" w:cs="Calibri"/>
        </w:rPr>
      </w:pPr>
      <w:r w:rsidRPr="001B3E22">
        <w:rPr>
          <w:rFonts w:ascii="Calibri" w:hAnsi="Calibri" w:cs="Calibri"/>
        </w:rPr>
        <w:t xml:space="preserve">Consideration of how mental health presentations are defined and recognised is likely an important component. Applying a wider case definition for mental health-related hospital admissions substantially decreased the relative difference between groups, particularly for young people from Pakistani backgrounds. It is likely that the perception and expression of symptoms differ for </w:t>
      </w:r>
      <w:r w:rsidRPr="001B3E22">
        <w:rPr>
          <w:rFonts w:ascii="Calibri" w:hAnsi="Calibri" w:cs="Calibri"/>
        </w:rPr>
        <w:t xml:space="preserve">individuals. This is important for policymakers to consider when evaluating evidence and for individual clinicians to be mindful of when making clinical judgements. </w:t>
      </w:r>
    </w:p>
    <w:p w:rsidR="0004065F" w:rsidRPr="001B3E22" w:rsidP="00E35CCD">
      <w:pPr>
        <w:rPr>
          <w:rFonts w:ascii="Calibri" w:hAnsi="Calibri" w:cs="Calibri"/>
        </w:rPr>
      </w:pPr>
      <w:r w:rsidRPr="001B3E22">
        <w:rPr>
          <w:rFonts w:ascii="Calibri" w:hAnsi="Calibri" w:cs="Calibri"/>
        </w:rPr>
        <w:t xml:space="preserve">There was a high degree of consistency in relative rates of use of each service type within population strata. Given the lack of evidence that specific population groups disproportionately use specific service types (e.g. emergency care). This suggests that barriers to access are systemic and underpinned by social determinants, rather than limited to </w:t>
      </w:r>
      <w:r w:rsidRPr="001B3E22">
        <w:rPr>
          <w:rFonts w:ascii="Calibri" w:hAnsi="Calibri" w:cs="Calibri"/>
        </w:rPr>
        <w:t>particular types</w:t>
      </w:r>
      <w:r w:rsidRPr="001B3E22">
        <w:rPr>
          <w:rFonts w:ascii="Calibri" w:hAnsi="Calibri" w:cs="Calibri"/>
        </w:rPr>
        <w:t xml:space="preserve"> of care. Targeted, </w:t>
      </w:r>
      <w:r w:rsidRPr="001B3E22">
        <w:rPr>
          <w:rFonts w:ascii="Calibri" w:hAnsi="Calibri" w:cs="Calibri"/>
        </w:rPr>
        <w:t>culturally-appropriate</w:t>
      </w:r>
      <w:r w:rsidRPr="001B3E22">
        <w:rPr>
          <w:rFonts w:ascii="Calibri" w:hAnsi="Calibri" w:cs="Calibri"/>
        </w:rPr>
        <w:t xml:space="preserve"> strategies should be considered to reduce barriers to access. It would be beneficial for such approaches to utilise schools and Mental Health Support Teams for delivery. </w:t>
      </w:r>
    </w:p>
    <w:p w:rsidR="0004065F" w:rsidRPr="001B3E22" w:rsidP="007F24CD">
      <w:pPr>
        <w:pStyle w:val="Heading3"/>
        <w:rPr>
          <w:rFonts w:ascii="Calibri" w:hAnsi="Calibri" w:cs="Calibri"/>
          <w:color w:val="auto"/>
        </w:rPr>
      </w:pPr>
      <w:r w:rsidRPr="001B3E22">
        <w:rPr>
          <w:rFonts w:ascii="Calibri" w:hAnsi="Calibri" w:cs="Calibri"/>
          <w:color w:val="auto"/>
        </w:rPr>
        <w:t>Acknowledgements</w:t>
      </w:r>
    </w:p>
    <w:p w:rsidR="0004065F" w:rsidRPr="001B3E22" w:rsidP="007F24CD">
      <w:pPr>
        <w:rPr>
          <w:rFonts w:ascii="Calibri" w:hAnsi="Calibri" w:cs="Calibri"/>
        </w:rPr>
      </w:pPr>
      <w:r w:rsidRPr="001B3E22">
        <w:rPr>
          <w:rFonts w:ascii="Calibri" w:hAnsi="Calibri" w:cs="Calibri"/>
        </w:rPr>
        <w:t xml:space="preserve">This response has been prepared by CPRU with contributions from Prof Ruth Gilbert, Dr Ruth Blackburn, and Dr Diane Stoianov. We would be pleased to speak further about our response. </w:t>
      </w:r>
    </w:p>
    <w:p w:rsidR="0004065F" w:rsidP="001B3E22">
      <w:pPr>
        <w:rPr>
          <w:rFonts w:ascii="Calibri" w:hAnsi="Calibri" w:cs="Calibri"/>
          <w:b/>
          <w:bCs/>
          <w:i/>
          <w:iCs/>
        </w:rPr>
      </w:pPr>
    </w:p>
    <w:p w:rsidR="001B3E22" w:rsidRPr="001B3E22" w:rsidP="001B3E22">
      <w:pPr>
        <w:rPr>
          <w:rFonts w:ascii="Calibri" w:hAnsi="Calibri" w:cs="Calibri"/>
          <w:b/>
          <w:bCs/>
          <w:i/>
          <w:iCs/>
        </w:rPr>
      </w:pPr>
      <w:r>
        <w:rPr>
          <w:rFonts w:ascii="Calibri" w:hAnsi="Calibri" w:cs="Calibri"/>
          <w:b/>
          <w:bCs/>
          <w:i/>
          <w:iCs/>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A6544" w:rsidP="003C2C71">
      <w:pPr>
        <w:spacing w:after="0" w:line="240" w:lineRule="auto"/>
      </w:pPr>
      <w:r>
        <w:separator/>
      </w:r>
    </w:p>
  </w:footnote>
  <w:footnote w:type="continuationSeparator" w:id="1">
    <w:p w:rsidR="006A6544" w:rsidP="003C2C71">
      <w:pPr>
        <w:spacing w:after="0" w:line="240" w:lineRule="auto"/>
      </w:pPr>
      <w:r>
        <w:continuationSeparator/>
      </w:r>
    </w:p>
  </w:footnote>
  <w:footnote w:id="2">
    <w:p w:rsidR="0004065F" w:rsidP="001F3242">
      <w:pPr>
        <w:pStyle w:val="FootnoteText"/>
      </w:pPr>
      <w:r>
        <w:rPr>
          <w:rStyle w:val="FootnoteReference"/>
        </w:rPr>
        <w:footnoteRef/>
      </w:r>
      <w:r>
        <w:t xml:space="preserve"> </w:t>
      </w:r>
      <w:r w:rsidRPr="00B17B3A">
        <w:t>Hughes K, Bellis M, Hardcastle K et al.</w:t>
      </w:r>
      <w:r>
        <w:t xml:space="preserve"> </w:t>
      </w:r>
      <w:r w:rsidRPr="00B17B3A">
        <w:t>The effect of multiple adverse childhood experiences on health: a systematic review and meta-analysis</w:t>
      </w:r>
      <w:r w:rsidRPr="00B20125">
        <w:t>.</w:t>
      </w:r>
      <w:r>
        <w:t xml:space="preserve"> </w:t>
      </w:r>
      <w:r w:rsidRPr="00B17B3A">
        <w:t>Lancet Public Health, 2, e356-e366</w:t>
      </w:r>
      <w:r>
        <w:t xml:space="preserve">. </w:t>
      </w:r>
      <w:r>
        <w:fldChar w:fldCharType="begin"/>
      </w:r>
      <w:r>
        <w:instrText xml:space="preserve"> HYPERLINK "https://www.thelancet.com/journals/lanpub/article/PIIS2468-2667(17)30118-4/fulltext" </w:instrText>
      </w:r>
      <w:r>
        <w:fldChar w:fldCharType="separate"/>
      </w:r>
      <w:r w:rsidRPr="00F522D5">
        <w:rPr>
          <w:rStyle w:val="Hyperlink"/>
        </w:rPr>
        <w:t>https://www.thelancet.com/journals/lanpub/article/PIIS2468-2667(17)30118-4/fulltext</w:t>
      </w:r>
      <w:r>
        <w:fldChar w:fldCharType="end"/>
      </w:r>
      <w:r>
        <w:t>.</w:t>
      </w:r>
    </w:p>
  </w:footnote>
  <w:footnote w:id="3">
    <w:p w:rsidR="0004065F">
      <w:pPr>
        <w:pStyle w:val="FootnoteText"/>
      </w:pPr>
      <w:r>
        <w:rPr>
          <w:rStyle w:val="FootnoteReference"/>
        </w:rPr>
        <w:footnoteRef/>
      </w:r>
      <w:r>
        <w:t xml:space="preserve"> </w:t>
      </w:r>
      <w:r w:rsidRPr="008754DA">
        <w:t xml:space="preserve">Shabeer S, Howe LD, Lacey RE, Deighton J, </w:t>
      </w:r>
      <w:r w:rsidRPr="008754DA">
        <w:t>Qummer</w:t>
      </w:r>
      <w:r w:rsidRPr="008754DA">
        <w:t xml:space="preserve"> ul </w:t>
      </w:r>
      <w:r w:rsidRPr="008754DA">
        <w:t>Arfeen</w:t>
      </w:r>
      <w:r w:rsidRPr="008754DA">
        <w:t xml:space="preserve"> M, Feder G, Gilbert R, Adverse childhood experiences in firstborns and mental health risk and health-care use in siblings: a population-based birth cohort study of half a million children in England. Lancet Public Health. 2025 10(2</w:t>
      </w:r>
      <w:r w:rsidRPr="008754DA">
        <w:t>):e</w:t>
      </w:r>
      <w:r w:rsidRPr="008754DA">
        <w:t xml:space="preserve">111-e123. </w:t>
      </w:r>
      <w:r>
        <w:fldChar w:fldCharType="begin"/>
      </w:r>
      <w:r>
        <w:instrText xml:space="preserve"> HYPERLINK "https://www.thelancet.com/journals/lanpub/article/PIIS2468-2667(24)00301-3/fulltext" </w:instrText>
      </w:r>
      <w:r>
        <w:fldChar w:fldCharType="separate"/>
      </w:r>
      <w:r w:rsidRPr="008754DA">
        <w:rPr>
          <w:rStyle w:val="Hyperlink"/>
        </w:rPr>
        <w:t>https://www.thelancet.com/journals/lanpub/article/PIIS2468-2667(24)00301-3/fulltext</w:t>
      </w:r>
      <w:r>
        <w:fldChar w:fldCharType="end"/>
      </w:r>
      <w:r w:rsidRPr="008754DA">
        <w:t>.</w:t>
      </w:r>
    </w:p>
  </w:footnote>
  <w:footnote w:id="4">
    <w:p w:rsidR="0004065F">
      <w:pPr>
        <w:pStyle w:val="FootnoteText"/>
      </w:pPr>
      <w:r>
        <w:rPr>
          <w:rStyle w:val="FootnoteReference"/>
        </w:rPr>
        <w:footnoteRef/>
      </w:r>
      <w:r>
        <w:t xml:space="preserve"> </w:t>
      </w:r>
      <w:r w:rsidRPr="005D3C83">
        <w:t>Syed S, Gilbert R, Feder G, Howe LD, Powell C, Howarth E, Deighton J, Lacey RE. Family adversity and health characteristics associated with intimate partner violence in children and parents presenting to health care: a population-based birth cohort study in England. Lancet Public Health. 2023 Jul;8(7</w:t>
      </w:r>
      <w:r w:rsidRPr="005D3C83">
        <w:t>):e</w:t>
      </w:r>
      <w:r w:rsidRPr="005D3C83">
        <w:t xml:space="preserve">520-e534. </w:t>
      </w:r>
      <w:r>
        <w:fldChar w:fldCharType="begin"/>
      </w:r>
      <w:r>
        <w:instrText xml:space="preserve"> HYPERLINK "https://www.thelancet.com/journals/lanpub/article/PIIS2468-2667(23)00119-6/fulltext" </w:instrText>
      </w:r>
      <w:r>
        <w:fldChar w:fldCharType="separate"/>
      </w:r>
      <w:r w:rsidRPr="005D3C83">
        <w:rPr>
          <w:rStyle w:val="Hyperlink"/>
        </w:rPr>
        <w:t>https://www.thelancet.com/journals/lanpub/article/PIIS2468-2667(23)00119-6/fulltext</w:t>
      </w:r>
      <w:r>
        <w:fldChar w:fldCharType="end"/>
      </w:r>
      <w:r w:rsidRPr="005D3C83">
        <w:t>.</w:t>
      </w:r>
    </w:p>
  </w:footnote>
  <w:footnote w:id="5">
    <w:p w:rsidR="0004065F" w:rsidP="00EF3D9D">
      <w:pPr>
        <w:pStyle w:val="FootnoteText"/>
      </w:pPr>
      <w:r>
        <w:rPr>
          <w:rStyle w:val="FootnoteReference"/>
        </w:rPr>
        <w:footnoteRef/>
      </w:r>
      <w:r>
        <w:t xml:space="preserve"> </w:t>
      </w:r>
      <w:r w:rsidRPr="00723C09">
        <w:t>Reporting year 2025</w:t>
      </w:r>
      <w:r>
        <w:t xml:space="preserve">: Children in need. Department for Education. </w:t>
      </w:r>
      <w:r>
        <w:fldChar w:fldCharType="begin"/>
      </w:r>
      <w:r>
        <w:instrText xml:space="preserve"> HYPERLINK "https://explore-education-statistics.service.gov.uk/find-statistics/children-in-need/2025" </w:instrText>
      </w:r>
      <w:r>
        <w:fldChar w:fldCharType="separate"/>
      </w:r>
      <w:r w:rsidRPr="005D3C83">
        <w:rPr>
          <w:rStyle w:val="Hyperlink"/>
        </w:rPr>
        <w:t>https://explore-education-statistics.service.gov.uk/find-statistics/children-in-need/2025</w:t>
      </w:r>
      <w:r>
        <w:fldChar w:fldCharType="end"/>
      </w:r>
    </w:p>
  </w:footnote>
  <w:footnote w:id="6">
    <w:p w:rsidR="0004065F" w:rsidP="001A44A3">
      <w:pPr>
        <w:pStyle w:val="FootnoteText"/>
      </w:pPr>
      <w:r>
        <w:rPr>
          <w:rStyle w:val="FootnoteReference"/>
        </w:rPr>
        <w:footnoteRef/>
      </w:r>
      <w:r>
        <w:t xml:space="preserve"> Powell C, Adisa O, Herlitz L, Bains S, </w:t>
      </w:r>
      <w:r>
        <w:t>Eyrúnardóttir</w:t>
      </w:r>
      <w:r>
        <w:t xml:space="preserve"> Clark S, Deighton S, Syed S, Gilbert R, Feder G, Howarth E. Domestic abuse, primary care and child mental health services: A systems analysis of service coordination from professionals’ perspectives. Children and Youth Services Review. 2025. 169. </w:t>
      </w:r>
      <w:r>
        <w:fldChar w:fldCharType="begin"/>
      </w:r>
      <w:r>
        <w:instrText xml:space="preserve"> HYPERLINK "https://doi.org/10.1016/j.childyouth.2024.108076" </w:instrText>
      </w:r>
      <w:r>
        <w:fldChar w:fldCharType="separate"/>
      </w:r>
      <w:r w:rsidRPr="001A44A3">
        <w:rPr>
          <w:rStyle w:val="Hyperlink"/>
        </w:rPr>
        <w:t>https://doi.org/10.1016/j.childyouth.2024.108076</w:t>
      </w:r>
      <w:r>
        <w:fldChar w:fldCharType="end"/>
      </w:r>
      <w:r>
        <w:t>.</w:t>
      </w:r>
    </w:p>
  </w:footnote>
  <w:footnote w:id="7">
    <w:p w:rsidR="0004065F" w:rsidP="000D0485">
      <w:pPr>
        <w:pStyle w:val="FootnoteText"/>
      </w:pPr>
      <w:r>
        <w:rPr>
          <w:rStyle w:val="FootnoteReference"/>
        </w:rPr>
        <w:footnoteRef/>
      </w:r>
      <w:r>
        <w:t xml:space="preserve"> Russell A., Clements K., Duschinsky R., Howarth E., Mayes T., Reisel A., Coughlan B. Domestic violence and abuse in local child safeguarding policy: How is the problem represented? </w:t>
      </w:r>
      <w:r w:rsidRPr="00143C90">
        <w:rPr>
          <w:i/>
          <w:iCs/>
        </w:rPr>
        <w:t>Health and Social Care in the Community</w:t>
      </w:r>
      <w:r>
        <w:t>. 2022. 30(6</w:t>
      </w:r>
      <w:r>
        <w:t>).e</w:t>
      </w:r>
      <w:r>
        <w:t xml:space="preserve">3871-e3884. </w:t>
      </w:r>
      <w:r>
        <w:fldChar w:fldCharType="begin"/>
      </w:r>
      <w:r>
        <w:instrText xml:space="preserve"> HYPERLINK "http://doi.org/10.1111/hsc.14086" </w:instrText>
      </w:r>
      <w:r>
        <w:fldChar w:fldCharType="separate"/>
      </w:r>
      <w:r w:rsidRPr="00411FC3">
        <w:rPr>
          <w:rStyle w:val="Hyperlink"/>
        </w:rPr>
        <w:t>http://doi.org/10.1111/hsc.14086</w:t>
      </w:r>
      <w:r>
        <w:fldChar w:fldCharType="end"/>
      </w:r>
      <w:r>
        <w:t>.</w:t>
      </w:r>
    </w:p>
  </w:footnote>
  <w:footnote w:id="8">
    <w:p w:rsidR="0004065F">
      <w:pPr>
        <w:pStyle w:val="FootnoteText"/>
      </w:pPr>
      <w:r>
        <w:rPr>
          <w:rStyle w:val="FootnoteReference"/>
        </w:rPr>
        <w:footnoteRef/>
      </w:r>
      <w:r>
        <w:t xml:space="preserve"> </w:t>
      </w:r>
      <w:r w:rsidRPr="00E0735F">
        <w:t xml:space="preserve">Blackburn RM, </w:t>
      </w:r>
      <w:r w:rsidRPr="00E0735F">
        <w:t>Kokosi</w:t>
      </w:r>
      <w:r w:rsidRPr="00E0735F">
        <w:t xml:space="preserve"> T, Heys M, Gilbert R, </w:t>
      </w:r>
      <w:r w:rsidRPr="00E0735F">
        <w:t>Zylbersztejn</w:t>
      </w:r>
      <w:r w:rsidRPr="00E0735F">
        <w:t xml:space="preserve"> A. Hospital admissions among adolescents with local authority care experience or special educational needs in England: a population-based cohort study using linked administrative data from health, education and social care services. </w:t>
      </w:r>
      <w:r w:rsidRPr="00E0735F">
        <w:rPr>
          <w:i/>
          <w:iCs/>
        </w:rPr>
        <w:t>BMJ Public Health</w:t>
      </w:r>
      <w:r w:rsidRPr="00E0735F">
        <w:t>. 2026;</w:t>
      </w:r>
      <w:r w:rsidRPr="00E0735F">
        <w:t>4:e</w:t>
      </w:r>
      <w:r w:rsidRPr="00E0735F">
        <w:t>003106. https://doi.org/10.1136/bmjph-2025-003106</w:t>
      </w:r>
    </w:p>
  </w:footnote>
  <w:footnote w:id="9">
    <w:p w:rsidR="0004065F">
      <w:pPr>
        <w:pStyle w:val="FootnoteText"/>
      </w:pPr>
      <w:r>
        <w:rPr>
          <w:rStyle w:val="FootnoteReference"/>
        </w:rPr>
        <w:footnoteRef/>
      </w:r>
      <w:r>
        <w:t xml:space="preserve"> </w:t>
      </w:r>
      <w:r w:rsidRPr="000D2F2D">
        <w:t>Lewis</w:t>
      </w:r>
      <w:r>
        <w:t xml:space="preserve"> K</w:t>
      </w:r>
      <w:r w:rsidRPr="000D2F2D">
        <w:t>, Dale</w:t>
      </w:r>
      <w:r>
        <w:t xml:space="preserve"> H</w:t>
      </w:r>
      <w:r w:rsidRPr="000D2F2D">
        <w:t>, Lewer</w:t>
      </w:r>
      <w:r>
        <w:t xml:space="preserve"> D</w:t>
      </w:r>
      <w:r w:rsidRPr="000D2F2D">
        <w:t>, Downs</w:t>
      </w:r>
      <w:r>
        <w:t xml:space="preserve"> J</w:t>
      </w:r>
      <w:r w:rsidRPr="000D2F2D">
        <w:t>, Blackburn</w:t>
      </w:r>
      <w:r>
        <w:t xml:space="preserve">, R. </w:t>
      </w:r>
      <w:r w:rsidRPr="000D2F2D">
        <w:t>Disparities in adolescent mental health-related National Health Service presentations in England: secondary school cohort study</w:t>
      </w:r>
      <w:r>
        <w:t xml:space="preserve"> (preprint). </w:t>
      </w:r>
      <w:r w:rsidRPr="000D2F2D">
        <w:rPr>
          <w:i/>
          <w:iCs/>
        </w:rPr>
        <w:t>medRxiv</w:t>
      </w:r>
      <w:r>
        <w:rPr>
          <w:i/>
          <w:iCs/>
        </w:rPr>
        <w:t>.</w:t>
      </w:r>
      <w:r w:rsidRPr="000D2F2D">
        <w:t> 2025.11.03.25338372</w:t>
      </w:r>
      <w:r>
        <w:t>.</w:t>
      </w:r>
      <w:r w:rsidRPr="000D2F2D">
        <w:t> </w:t>
      </w:r>
      <w:r>
        <w:fldChar w:fldCharType="begin"/>
      </w:r>
      <w:r>
        <w:instrText xml:space="preserve"> HYPERLINK "https://doi.org/10.1101/2025.11.03.25338372" </w:instrText>
      </w:r>
      <w:r>
        <w:fldChar w:fldCharType="separate"/>
      </w:r>
      <w:r w:rsidRPr="000D2F2D">
        <w:rPr>
          <w:rStyle w:val="Hyperlink"/>
        </w:rPr>
        <w:t>https://doi.org/10.1101/2025.11.03.25338372</w:t>
      </w:r>
      <w:r>
        <w:fldChar w:fldCharType="end"/>
      </w:r>
    </w:p>
  </w:footnote>
  <w:footnote w:id="10">
    <w:p w:rsidR="0004065F">
      <w:pPr>
        <w:pStyle w:val="FootnoteText"/>
      </w:pPr>
      <w:r>
        <w:rPr>
          <w:rStyle w:val="FootnoteReference"/>
        </w:rPr>
        <w:footnoteRef/>
      </w:r>
      <w:r>
        <w:t xml:space="preserve"> </w:t>
      </w:r>
      <w:r>
        <w:t>In light of</w:t>
      </w:r>
      <w:r>
        <w:t xml:space="preserve"> this finding, it should be noted that it is methodologically difficult to examine both need and service use within a single study.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144FB"/>
    <w:multiLevelType w:val="hybridMultilevel"/>
    <w:tmpl w:val="06E27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76C389B"/>
    <w:multiLevelType w:val="hybridMultilevel"/>
    <w:tmpl w:val="9EDAA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DA0D03"/>
    <w:multiLevelType w:val="hybridMultilevel"/>
    <w:tmpl w:val="D168F9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852BEE"/>
    <w:multiLevelType w:val="hybridMultilevel"/>
    <w:tmpl w:val="17DEEC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873CEC"/>
    <w:multiLevelType w:val="hybridMultilevel"/>
    <w:tmpl w:val="AE5E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E784D"/>
    <w:multiLevelType w:val="multilevel"/>
    <w:tmpl w:val="01E294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0B0F5D"/>
    <w:multiLevelType w:val="multilevel"/>
    <w:tmpl w:val="20A6C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F2D001F"/>
    <w:multiLevelType w:val="multilevel"/>
    <w:tmpl w:val="CA304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79261A"/>
    <w:multiLevelType w:val="multilevel"/>
    <w:tmpl w:val="886C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A6CF2"/>
    <w:multiLevelType w:val="hybridMultilevel"/>
    <w:tmpl w:val="9FF4F2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ABA2BB2"/>
    <w:multiLevelType w:val="multilevel"/>
    <w:tmpl w:val="2B500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E49E8"/>
    <w:multiLevelType w:val="multilevel"/>
    <w:tmpl w:val="17020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8156B4"/>
    <w:multiLevelType w:val="hybridMultilevel"/>
    <w:tmpl w:val="FBCC7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8324EA8"/>
    <w:multiLevelType w:val="multilevel"/>
    <w:tmpl w:val="797C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A4043B"/>
    <w:multiLevelType w:val="hybridMultilevel"/>
    <w:tmpl w:val="0FE88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09B5A1C"/>
    <w:multiLevelType w:val="multilevel"/>
    <w:tmpl w:val="7CC6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D5C3C69"/>
    <w:multiLevelType w:val="hybridMultilevel"/>
    <w:tmpl w:val="6DEA1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2C4B64"/>
    <w:multiLevelType w:val="multilevel"/>
    <w:tmpl w:val="0BF05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65B6010"/>
    <w:multiLevelType w:val="multilevel"/>
    <w:tmpl w:val="0BF05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11"/>
  </w:num>
  <w:num w:numId="4">
    <w:abstractNumId w:val="17"/>
  </w:num>
  <w:num w:numId="5">
    <w:abstractNumId w:val="5"/>
  </w:num>
  <w:num w:numId="6">
    <w:abstractNumId w:val="10"/>
  </w:num>
  <w:num w:numId="7">
    <w:abstractNumId w:val="9"/>
  </w:num>
  <w:num w:numId="8">
    <w:abstractNumId w:val="12"/>
  </w:num>
  <w:num w:numId="9">
    <w:abstractNumId w:val="8"/>
  </w:num>
  <w:num w:numId="10">
    <w:abstractNumId w:val="0"/>
  </w:num>
  <w:num w:numId="11">
    <w:abstractNumId w:val="18"/>
  </w:num>
  <w:num w:numId="12">
    <w:abstractNumId w:val="13"/>
  </w:num>
  <w:num w:numId="13">
    <w:abstractNumId w:val="4"/>
  </w:num>
  <w:num w:numId="14">
    <w:abstractNumId w:val="1"/>
  </w:num>
  <w:num w:numId="15">
    <w:abstractNumId w:val="3"/>
  </w:num>
  <w:num w:numId="16">
    <w:abstractNumId w:val="14"/>
  </w:num>
  <w:num w:numId="17">
    <w:abstractNumId w:val="16"/>
  </w:num>
  <w:num w:numId="18">
    <w:abstractNumId w:val="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26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6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26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6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26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6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26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6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26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331"/>
    <w:rPr>
      <w:rFonts w:eastAsiaTheme="majorEastAsia" w:cstheme="majorBidi"/>
      <w:color w:val="272727" w:themeColor="text1" w:themeTint="D8"/>
    </w:rPr>
  </w:style>
  <w:style w:type="paragraph" w:styleId="Title">
    <w:name w:val="Title"/>
    <w:basedOn w:val="Normal"/>
    <w:next w:val="Normal"/>
    <w:link w:val="TitleChar"/>
    <w:uiPriority w:val="10"/>
    <w:qFormat/>
    <w:rsid w:val="00926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331"/>
    <w:pPr>
      <w:spacing w:before="160"/>
      <w:jc w:val="center"/>
    </w:pPr>
    <w:rPr>
      <w:i/>
      <w:iCs/>
      <w:color w:val="404040" w:themeColor="text1" w:themeTint="BF"/>
    </w:rPr>
  </w:style>
  <w:style w:type="character" w:customStyle="1" w:styleId="QuoteChar">
    <w:name w:val="Quote Char"/>
    <w:basedOn w:val="DefaultParagraphFont"/>
    <w:link w:val="Quote"/>
    <w:uiPriority w:val="29"/>
    <w:rsid w:val="00926331"/>
    <w:rPr>
      <w:i/>
      <w:iCs/>
      <w:color w:val="404040" w:themeColor="text1" w:themeTint="BF"/>
    </w:rPr>
  </w:style>
  <w:style w:type="paragraph" w:styleId="ListParagraph">
    <w:name w:val="List Paragraph"/>
    <w:basedOn w:val="Normal"/>
    <w:uiPriority w:val="34"/>
    <w:qFormat/>
    <w:rsid w:val="00926331"/>
    <w:pPr>
      <w:ind w:left="720"/>
      <w:contextualSpacing/>
    </w:pPr>
  </w:style>
  <w:style w:type="character" w:styleId="IntenseEmphasis">
    <w:name w:val="Intense Emphasis"/>
    <w:basedOn w:val="DefaultParagraphFont"/>
    <w:uiPriority w:val="21"/>
    <w:qFormat/>
    <w:rsid w:val="00926331"/>
    <w:rPr>
      <w:i/>
      <w:iCs/>
      <w:color w:val="0F4761" w:themeColor="accent1" w:themeShade="BF"/>
    </w:rPr>
  </w:style>
  <w:style w:type="paragraph" w:styleId="IntenseQuote">
    <w:name w:val="Intense Quote"/>
    <w:basedOn w:val="Normal"/>
    <w:next w:val="Normal"/>
    <w:link w:val="IntenseQuoteChar"/>
    <w:uiPriority w:val="30"/>
    <w:qFormat/>
    <w:rsid w:val="00926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331"/>
    <w:rPr>
      <w:i/>
      <w:iCs/>
      <w:color w:val="0F4761" w:themeColor="accent1" w:themeShade="BF"/>
    </w:rPr>
  </w:style>
  <w:style w:type="character" w:styleId="IntenseReference">
    <w:name w:val="Intense Reference"/>
    <w:basedOn w:val="DefaultParagraphFont"/>
    <w:uiPriority w:val="32"/>
    <w:qFormat/>
    <w:rsid w:val="00926331"/>
    <w:rPr>
      <w:b/>
      <w:bCs/>
      <w:smallCaps/>
      <w:color w:val="0F4761" w:themeColor="accent1" w:themeShade="BF"/>
      <w:spacing w:val="5"/>
    </w:rPr>
  </w:style>
  <w:style w:type="character" w:styleId="Hyperlink">
    <w:name w:val="Hyperlink"/>
    <w:basedOn w:val="DefaultParagraphFont"/>
    <w:uiPriority w:val="99"/>
    <w:unhideWhenUsed/>
    <w:rsid w:val="00AD1D9E"/>
    <w:rPr>
      <w:color w:val="467886" w:themeColor="hyperlink"/>
      <w:u w:val="single"/>
    </w:rPr>
  </w:style>
  <w:style w:type="character" w:customStyle="1" w:styleId="UnresolvedMention1">
    <w:name w:val="Unresolved Mention1"/>
    <w:basedOn w:val="DefaultParagraphFont"/>
    <w:uiPriority w:val="99"/>
    <w:semiHidden/>
    <w:unhideWhenUsed/>
    <w:rsid w:val="00AD1D9E"/>
    <w:rPr>
      <w:color w:val="605E5C"/>
      <w:shd w:val="clear" w:color="auto" w:fill="E1DFDD"/>
    </w:rPr>
  </w:style>
  <w:style w:type="paragraph" w:styleId="FootnoteText">
    <w:name w:val="footnote text"/>
    <w:basedOn w:val="Normal"/>
    <w:link w:val="FootnoteTextChar"/>
    <w:uiPriority w:val="99"/>
    <w:semiHidden/>
    <w:unhideWhenUsed/>
    <w:rsid w:val="003C2C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2C71"/>
    <w:rPr>
      <w:sz w:val="20"/>
      <w:szCs w:val="20"/>
    </w:rPr>
  </w:style>
  <w:style w:type="character" w:styleId="FootnoteReference">
    <w:name w:val="footnote reference"/>
    <w:basedOn w:val="DefaultParagraphFont"/>
    <w:uiPriority w:val="99"/>
    <w:semiHidden/>
    <w:unhideWhenUsed/>
    <w:rsid w:val="003C2C71"/>
    <w:rPr>
      <w:vertAlign w:val="superscript"/>
    </w:rPr>
  </w:style>
  <w:style w:type="character" w:styleId="FollowedHyperlink">
    <w:name w:val="FollowedHyperlink"/>
    <w:basedOn w:val="DefaultParagraphFont"/>
    <w:uiPriority w:val="99"/>
    <w:semiHidden/>
    <w:unhideWhenUsed/>
    <w:rsid w:val="006F5CB9"/>
    <w:rPr>
      <w:color w:val="96607D" w:themeColor="followedHyperlink"/>
      <w:u w:val="single"/>
    </w:rPr>
  </w:style>
  <w:style w:type="paragraph" w:styleId="Header">
    <w:name w:val="header"/>
    <w:basedOn w:val="Normal"/>
    <w:link w:val="HeaderChar"/>
    <w:uiPriority w:val="99"/>
    <w:unhideWhenUsed/>
    <w:rsid w:val="0072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15B"/>
  </w:style>
  <w:style w:type="paragraph" w:styleId="Footer">
    <w:name w:val="footer"/>
    <w:basedOn w:val="Normal"/>
    <w:link w:val="FooterChar"/>
    <w:uiPriority w:val="99"/>
    <w:unhideWhenUsed/>
    <w:rsid w:val="0072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15B"/>
  </w:style>
  <w:style w:type="paragraph" w:styleId="Revision">
    <w:name w:val="Revision"/>
    <w:hidden/>
    <w:uiPriority w:val="99"/>
    <w:semiHidden/>
    <w:rsid w:val="00247AE1"/>
    <w:pPr>
      <w:spacing w:after="0" w:line="240" w:lineRule="auto"/>
    </w:pPr>
  </w:style>
  <w:style w:type="character" w:styleId="CommentReference">
    <w:name w:val="annotation reference"/>
    <w:basedOn w:val="DefaultParagraphFont"/>
    <w:uiPriority w:val="99"/>
    <w:semiHidden/>
    <w:unhideWhenUsed/>
    <w:rsid w:val="008C0EF9"/>
    <w:rPr>
      <w:sz w:val="16"/>
      <w:szCs w:val="16"/>
    </w:rPr>
  </w:style>
  <w:style w:type="paragraph" w:styleId="CommentText">
    <w:name w:val="annotation text"/>
    <w:basedOn w:val="Normal"/>
    <w:link w:val="CommentTextChar"/>
    <w:uiPriority w:val="99"/>
    <w:unhideWhenUsed/>
    <w:rsid w:val="008C0EF9"/>
    <w:pPr>
      <w:spacing w:line="240" w:lineRule="auto"/>
    </w:pPr>
    <w:rPr>
      <w:sz w:val="20"/>
      <w:szCs w:val="20"/>
    </w:rPr>
  </w:style>
  <w:style w:type="character" w:customStyle="1" w:styleId="CommentTextChar">
    <w:name w:val="Comment Text Char"/>
    <w:basedOn w:val="DefaultParagraphFont"/>
    <w:link w:val="CommentText"/>
    <w:uiPriority w:val="99"/>
    <w:rsid w:val="008C0EF9"/>
    <w:rPr>
      <w:sz w:val="20"/>
      <w:szCs w:val="20"/>
    </w:rPr>
  </w:style>
  <w:style w:type="paragraph" w:styleId="CommentSubject">
    <w:name w:val="annotation subject"/>
    <w:basedOn w:val="CommentText"/>
    <w:next w:val="CommentText"/>
    <w:link w:val="CommentSubjectChar"/>
    <w:uiPriority w:val="99"/>
    <w:semiHidden/>
    <w:unhideWhenUsed/>
    <w:rsid w:val="008C0EF9"/>
    <w:rPr>
      <w:b/>
      <w:bCs/>
    </w:rPr>
  </w:style>
  <w:style w:type="character" w:customStyle="1" w:styleId="CommentSubjectChar">
    <w:name w:val="Comment Subject Char"/>
    <w:basedOn w:val="CommentTextChar"/>
    <w:link w:val="CommentSubject"/>
    <w:uiPriority w:val="99"/>
    <w:semiHidden/>
    <w:rsid w:val="008C0EF9"/>
    <w:rPr>
      <w:b/>
      <w:bCs/>
      <w:sz w:val="20"/>
      <w:szCs w:val="20"/>
    </w:rPr>
  </w:style>
  <w:style w:type="character" w:styleId="PageNumber">
    <w:name w:val="page number"/>
    <w:basedOn w:val="DefaultParagraphFont"/>
    <w:uiPriority w:val="99"/>
    <w:semiHidden/>
    <w:unhideWhenUsed/>
    <w:rsid w:val="007F2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CYM0141</dc:title>
  <cp:revision>0</cp:revision>
</cp:coreProperties>
</file>