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9403F" w:rsidRPr="00D82FD9" w:rsidP="00D82FD9">
      <w:pPr>
        <w:jc w:val="center"/>
        <w:rPr>
          <w:rFonts w:ascii="Arial" w:hAnsi="Arial" w:cs="Arial"/>
          <w:b/>
          <w:bCs/>
          <w:sz w:val="28"/>
          <w:szCs w:val="28"/>
        </w:rPr>
      </w:pPr>
      <w:r w:rsidRPr="00D82FD9">
        <w:rPr>
          <w:rFonts w:ascii="Arial" w:hAnsi="Arial" w:cs="Arial"/>
          <w:b/>
          <w:bCs/>
          <w:sz w:val="28"/>
          <w:szCs w:val="28"/>
        </w:rPr>
        <w:t>Written evidence submitted by Make UK (REM0021)</w:t>
      </w:r>
    </w:p>
    <w:p w:rsidR="00B9403F" w:rsidRPr="00D82FD9" w:rsidP="0045417A">
      <w:pPr>
        <w:pBdr>
          <w:bottom w:val="single" w:sz="4" w:space="1" w:color="auto"/>
        </w:pBdr>
        <w:spacing w:after="0"/>
        <w:rPr>
          <w:rFonts w:ascii="Arial" w:hAnsi="Arial" w:cs="Arial"/>
          <w:b/>
          <w:sz w:val="24"/>
          <w:szCs w:val="24"/>
        </w:rPr>
      </w:pPr>
      <w:r w:rsidRPr="00D82FD9">
        <w:rPr>
          <w:rFonts w:ascii="Arial" w:hAnsi="Arial" w:cs="Arial"/>
          <w:b/>
          <w:sz w:val="24"/>
          <w:szCs w:val="24"/>
        </w:rPr>
        <w:t>Introduction</w:t>
      </w:r>
    </w:p>
    <w:p w:rsidR="00B9403F" w:rsidRPr="00D82FD9" w:rsidP="0045417A">
      <w:pPr>
        <w:jc w:val="both"/>
        <w:rPr>
          <w:rFonts w:ascii="Arial" w:hAnsi="Arial" w:cs="Arial"/>
        </w:rPr>
      </w:pPr>
      <w:r w:rsidRPr="00D82FD9">
        <w:rPr>
          <w:rFonts w:ascii="Arial" w:hAnsi="Arial" w:cs="Arial"/>
        </w:rPr>
        <w:t>Make UK</w:t>
      </w:r>
      <w:r w:rsidRPr="00D82FD9">
        <w:rPr>
          <w:rFonts w:ascii="Arial" w:hAnsi="Arial" w:cs="Arial"/>
        </w:rPr>
        <w:t xml:space="preserve"> welcomes the </w:t>
      </w:r>
      <w:r w:rsidRPr="00D82FD9">
        <w:rPr>
          <w:rFonts w:ascii="Arial" w:hAnsi="Arial" w:cs="Arial"/>
        </w:rPr>
        <w:t xml:space="preserve">opportunity to respond to </w:t>
      </w:r>
      <w:r w:rsidRPr="00D82FD9">
        <w:rPr>
          <w:rFonts w:ascii="Arial" w:hAnsi="Arial" w:cs="Arial"/>
        </w:rPr>
        <w:t xml:space="preserve">inquiry into reviewing the electricity market. The war in Iran has exacerbated the vulnerability UK energy markets face and therefore we welcome efforts to reform the electricity market. We have been disappointed that there has been no further progress on the Review of Electricity Market Arrangements (REMA) programme following the decision on zonal pricing. Therefore, we welcome an ability to contribute to this discussion. </w:t>
      </w:r>
    </w:p>
    <w:p w:rsidR="00B9403F" w:rsidRPr="00D82FD9" w:rsidP="0045417A">
      <w:pPr>
        <w:pBdr>
          <w:bottom w:val="single" w:sz="4" w:space="1" w:color="auto"/>
        </w:pBdr>
        <w:spacing w:after="0"/>
        <w:rPr>
          <w:rFonts w:ascii="Arial" w:hAnsi="Arial" w:cs="Arial"/>
          <w:b/>
          <w:sz w:val="24"/>
          <w:szCs w:val="24"/>
        </w:rPr>
      </w:pPr>
      <w:r w:rsidRPr="00D82FD9">
        <w:rPr>
          <w:rFonts w:ascii="Arial" w:hAnsi="Arial" w:cs="Arial"/>
          <w:b/>
          <w:sz w:val="24"/>
          <w:szCs w:val="24"/>
        </w:rPr>
        <w:t>Response</w:t>
      </w:r>
    </w:p>
    <w:p w:rsidR="00B9403F" w:rsidRPr="00D82FD9" w:rsidP="003405FE">
      <w:pPr>
        <w:pStyle w:val="ListParagraph"/>
        <w:numPr>
          <w:ilvl w:val="0"/>
          <w:numId w:val="1"/>
        </w:numPr>
        <w:rPr>
          <w:rFonts w:ascii="Arial" w:hAnsi="Arial" w:cs="Arial"/>
          <w:b/>
        </w:rPr>
      </w:pPr>
      <w:r w:rsidRPr="00D82FD9">
        <w:rPr>
          <w:rFonts w:ascii="Arial" w:hAnsi="Arial" w:cs="Arial"/>
          <w:b/>
        </w:rPr>
        <w:t>Has Government given sufficient thought to what a reformed national pricing model could look like, as compared to the balance of risk and opportunity in a Locational Marginal Pricing model?</w:t>
      </w:r>
      <w:r w:rsidRPr="00D82FD9">
        <w:rPr>
          <w:b/>
        </w:rPr>
        <w:t xml:space="preserve"> </w:t>
      </w:r>
    </w:p>
    <w:p w:rsidR="00B9403F" w:rsidRPr="00D82FD9" w:rsidP="003405FE">
      <w:pPr>
        <w:pStyle w:val="ListParagraph"/>
        <w:ind w:left="360"/>
      </w:pPr>
    </w:p>
    <w:p w:rsidR="00B9403F" w:rsidRPr="00D82FD9" w:rsidP="003405FE">
      <w:pPr>
        <w:pStyle w:val="ListParagraph"/>
        <w:ind w:left="360"/>
        <w:rPr>
          <w:rFonts w:ascii="Arial" w:hAnsi="Arial" w:cs="Arial"/>
          <w:bCs/>
        </w:rPr>
      </w:pPr>
      <w:r w:rsidRPr="00D82FD9">
        <w:rPr>
          <w:rFonts w:ascii="Arial" w:hAnsi="Arial" w:cs="Arial"/>
          <w:bCs/>
        </w:rPr>
        <w:t>We remain of the view that incremental reforms under a Reformed National Market programme will deliver clean, secure, and competitive energy for the UK in a cost-effective and less risky way</w:t>
      </w:r>
      <w:r w:rsidRPr="00D82FD9">
        <w:rPr>
          <w:rFonts w:ascii="Arial" w:hAnsi="Arial" w:cs="Arial"/>
          <w:bCs/>
        </w:rPr>
        <w:t xml:space="preserve"> however we have yet to see substantial plans on how the proposed model could work. </w:t>
      </w:r>
    </w:p>
    <w:p w:rsidR="00B9403F" w:rsidRPr="00D82FD9" w:rsidP="003405FE">
      <w:pPr>
        <w:pStyle w:val="ListParagraph"/>
        <w:ind w:left="360"/>
        <w:rPr>
          <w:rFonts w:ascii="Arial" w:hAnsi="Arial" w:cs="Arial"/>
          <w:bCs/>
        </w:rPr>
      </w:pPr>
    </w:p>
    <w:p w:rsidR="00B9403F" w:rsidRPr="00D82FD9" w:rsidP="003405FE">
      <w:pPr>
        <w:pStyle w:val="ListParagraph"/>
        <w:ind w:left="360"/>
        <w:rPr>
          <w:rFonts w:ascii="Arial" w:hAnsi="Arial" w:cs="Arial"/>
          <w:bCs/>
        </w:rPr>
      </w:pPr>
      <w:r w:rsidRPr="00D82FD9">
        <w:rPr>
          <w:rFonts w:ascii="Arial" w:hAnsi="Arial" w:cs="Arial"/>
          <w:bCs/>
        </w:rPr>
        <w:t>We believe that REMA can work for manufacturing b</w:t>
      </w:r>
      <w:r w:rsidRPr="00D82FD9">
        <w:rPr>
          <w:rFonts w:ascii="Arial" w:hAnsi="Arial" w:cs="Arial"/>
          <w:bCs/>
        </w:rPr>
        <w:t>ut this must be done with alongside wider market reforms such as decoupling gas and electricity prices,</w:t>
      </w:r>
      <w:r w:rsidRPr="00D82FD9">
        <w:rPr>
          <w:rFonts w:ascii="Arial" w:hAnsi="Arial" w:cs="Arial"/>
          <w:bCs/>
        </w:rPr>
        <w:t xml:space="preserve"> </w:t>
      </w:r>
      <w:r w:rsidRPr="00D82FD9">
        <w:rPr>
          <w:rFonts w:ascii="Arial" w:hAnsi="Arial" w:cs="Arial"/>
          <w:bCs/>
        </w:rPr>
        <w:t xml:space="preserve">rebalancing policy costs from electricity bills onto general taxation, </w:t>
      </w:r>
      <w:r w:rsidRPr="00D82FD9">
        <w:rPr>
          <w:rFonts w:ascii="Arial" w:hAnsi="Arial" w:cs="Arial"/>
          <w:bCs/>
        </w:rPr>
        <w:t>payment reduction incentives for businesses to drive energy efficiencie</w:t>
      </w:r>
      <w:r w:rsidRPr="00D82FD9">
        <w:rPr>
          <w:rFonts w:ascii="Arial" w:hAnsi="Arial" w:cs="Arial"/>
          <w:bCs/>
        </w:rPr>
        <w:t>s and f</w:t>
      </w:r>
      <w:r w:rsidRPr="00D82FD9">
        <w:rPr>
          <w:rFonts w:ascii="Arial" w:hAnsi="Arial" w:cs="Arial"/>
          <w:bCs/>
        </w:rPr>
        <w:t xml:space="preserve">urther investment in national grid infrastructure, and incentives for funding of local alternative sources for a set period to support clean growth opportunities for the UK’s manufacturing sector. </w:t>
      </w:r>
    </w:p>
    <w:p w:rsidR="00B9403F" w:rsidRPr="00D82FD9" w:rsidP="003405FE">
      <w:pPr>
        <w:pStyle w:val="ListParagraph"/>
        <w:ind w:left="360"/>
        <w:rPr>
          <w:rFonts w:ascii="Arial" w:hAnsi="Arial" w:cs="Arial"/>
          <w:bCs/>
        </w:rPr>
      </w:pPr>
    </w:p>
    <w:p w:rsidR="00B9403F" w:rsidRPr="00D82FD9" w:rsidP="003405FE">
      <w:pPr>
        <w:pStyle w:val="ListParagraph"/>
        <w:ind w:left="360"/>
        <w:rPr>
          <w:rFonts w:ascii="Arial" w:hAnsi="Arial" w:cs="Arial"/>
          <w:bCs/>
        </w:rPr>
      </w:pPr>
      <w:r w:rsidRPr="00D82FD9">
        <w:rPr>
          <w:rFonts w:ascii="Arial" w:hAnsi="Arial" w:cs="Arial"/>
          <w:bCs/>
        </w:rPr>
        <w:t>If zonal pricing were to be pursued, the industry would require significant mitigation measures to avoid making operations uncompetitive and deterring investment plans which would need to include a plan for ‘grandfathering’ existing assets.  We understand that some protections for energy intensive industries and for existing investors in low-carbon energy are under consideration, but we still do not know how or to what extent this will be done. At this point, we do not conceive of this being a cost-effectiv</w:t>
      </w:r>
      <w:r w:rsidRPr="00D82FD9">
        <w:rPr>
          <w:rFonts w:ascii="Arial" w:hAnsi="Arial" w:cs="Arial"/>
          <w:bCs/>
        </w:rPr>
        <w:t>e way of addressing the inherent issues within a zonal model.</w:t>
      </w:r>
    </w:p>
    <w:p w:rsidR="00B9403F" w:rsidRPr="00D82FD9" w:rsidP="003405FE">
      <w:pPr>
        <w:pStyle w:val="ListParagraph"/>
        <w:ind w:left="360"/>
        <w:rPr>
          <w:rFonts w:ascii="Arial" w:hAnsi="Arial" w:cs="Arial"/>
          <w:bCs/>
        </w:rPr>
      </w:pPr>
    </w:p>
    <w:p w:rsidR="00B9403F" w:rsidRPr="00D82FD9" w:rsidP="003405FE">
      <w:pPr>
        <w:pStyle w:val="ListParagraph"/>
        <w:ind w:left="360"/>
        <w:rPr>
          <w:rFonts w:ascii="Arial" w:hAnsi="Arial" w:cs="Arial"/>
          <w:bCs/>
        </w:rPr>
      </w:pPr>
      <w:r w:rsidRPr="00D82FD9">
        <w:rPr>
          <w:rFonts w:ascii="Arial" w:hAnsi="Arial" w:cs="Arial"/>
          <w:bCs/>
        </w:rPr>
        <w:t xml:space="preserve">The pressing need to achieve the CP2030 mission and requirement for coordinated action, with unprecedented pace in investment, means that we must prioritise certainty for industry and investors. We do, however, appreciate there could be logic in moving to a zonal market at a later stage once transmission uncertainties have been addressed and with a longer, more considered period of gesticulation with data driven decisions and substantial industry engagement.  </w:t>
      </w:r>
    </w:p>
    <w:p w:rsidR="00B9403F" w:rsidRPr="00D82FD9" w:rsidP="003405FE">
      <w:pPr>
        <w:pStyle w:val="ListParagraph"/>
        <w:ind w:left="360"/>
        <w:rPr>
          <w:rFonts w:ascii="Arial" w:hAnsi="Arial" w:cs="Arial"/>
          <w:bCs/>
        </w:rPr>
      </w:pPr>
    </w:p>
    <w:p w:rsidR="00B9403F" w:rsidRPr="00D82FD9" w:rsidP="003832A9">
      <w:pPr>
        <w:pStyle w:val="ListParagraph"/>
        <w:numPr>
          <w:ilvl w:val="0"/>
          <w:numId w:val="1"/>
        </w:numPr>
        <w:rPr>
          <w:rFonts w:ascii="Arial" w:hAnsi="Arial" w:cs="Arial"/>
          <w:b/>
        </w:rPr>
      </w:pPr>
      <w:r w:rsidRPr="00D82FD9">
        <w:rPr>
          <w:rFonts w:ascii="Arial" w:hAnsi="Arial" w:cs="Arial"/>
          <w:b/>
        </w:rPr>
        <w:t>Did Government consider the most useful evidence in assessing the impact of different reform options?</w:t>
      </w:r>
    </w:p>
    <w:p w:rsidR="00B9403F" w:rsidRPr="00D82FD9" w:rsidP="003832A9">
      <w:pPr>
        <w:pStyle w:val="ListParagraph"/>
        <w:ind w:left="360"/>
        <w:rPr>
          <w:rFonts w:ascii="Arial" w:hAnsi="Arial" w:cs="Arial"/>
          <w:b/>
        </w:rPr>
      </w:pPr>
    </w:p>
    <w:p w:rsidR="00B9403F" w:rsidRPr="00D82FD9" w:rsidP="003832A9">
      <w:pPr>
        <w:pStyle w:val="ListParagraph"/>
        <w:ind w:left="360"/>
        <w:rPr>
          <w:rFonts w:ascii="Arial" w:hAnsi="Arial" w:cs="Arial"/>
        </w:rPr>
      </w:pPr>
      <w:r w:rsidRPr="00D82FD9">
        <w:rPr>
          <w:rFonts w:ascii="Arial" w:hAnsi="Arial" w:cs="Arial"/>
          <w:bCs/>
        </w:rPr>
        <w:t xml:space="preserve">Whilst it is not our position to opine on the Government’s use of evidence. </w:t>
      </w:r>
      <w:r w:rsidRPr="00D82FD9">
        <w:rPr>
          <w:rFonts w:ascii="Arial" w:hAnsi="Arial" w:cs="Arial"/>
        </w:rPr>
        <w:t>DESNZ</w:t>
      </w:r>
      <w:r w:rsidRPr="00D82FD9">
        <w:rPr>
          <w:rFonts w:ascii="Arial" w:hAnsi="Arial" w:cs="Arial"/>
        </w:rPr>
        <w:t xml:space="preserve"> did not provide a cost benefit analysis and failed to </w:t>
      </w:r>
      <w:r w:rsidRPr="00D82FD9">
        <w:rPr>
          <w:rFonts w:ascii="Arial" w:hAnsi="Arial" w:cs="Arial"/>
        </w:rPr>
        <w:t xml:space="preserve">provide evidence that </w:t>
      </w:r>
      <w:r w:rsidRPr="00D82FD9">
        <w:rPr>
          <w:rFonts w:ascii="Arial" w:hAnsi="Arial" w:cs="Arial"/>
        </w:rPr>
        <w:t>the</w:t>
      </w:r>
      <w:r w:rsidRPr="00D82FD9">
        <w:rPr>
          <w:rFonts w:ascii="Arial" w:hAnsi="Arial" w:cs="Arial"/>
        </w:rPr>
        <w:t xml:space="preserve"> imposition</w:t>
      </w:r>
      <w:r w:rsidRPr="00D82FD9">
        <w:rPr>
          <w:rFonts w:ascii="Arial" w:hAnsi="Arial" w:cs="Arial"/>
        </w:rPr>
        <w:t xml:space="preserve"> of </w:t>
      </w:r>
      <w:r w:rsidRPr="00D82FD9">
        <w:rPr>
          <w:rFonts w:ascii="Arial" w:hAnsi="Arial" w:cs="Arial"/>
        </w:rPr>
        <w:t>zonal pricing</w:t>
      </w:r>
      <w:r w:rsidRPr="00D82FD9">
        <w:rPr>
          <w:rFonts w:ascii="Arial" w:hAnsi="Arial" w:cs="Arial"/>
        </w:rPr>
        <w:t xml:space="preserve"> would lower total system costs</w:t>
      </w:r>
      <w:r w:rsidRPr="00D82FD9">
        <w:rPr>
          <w:rFonts w:ascii="Arial" w:hAnsi="Arial" w:cs="Arial"/>
        </w:rPr>
        <w:t>. This was coupled with a lack of</w:t>
      </w:r>
      <w:r w:rsidRPr="00D82FD9">
        <w:rPr>
          <w:rFonts w:ascii="Arial" w:hAnsi="Arial" w:cs="Arial"/>
        </w:rPr>
        <w:t xml:space="preserve"> consensus amongst the available analysis</w:t>
      </w:r>
      <w:r w:rsidRPr="00D82FD9">
        <w:rPr>
          <w:rFonts w:ascii="Arial" w:hAnsi="Arial" w:cs="Arial"/>
        </w:rPr>
        <w:t xml:space="preserve"> creating considerable risk for industry.  </w:t>
      </w:r>
    </w:p>
    <w:p w:rsidR="00B9403F" w:rsidRPr="00D82FD9" w:rsidP="003832A9">
      <w:pPr>
        <w:pStyle w:val="ListParagraph"/>
        <w:ind w:left="360"/>
        <w:rPr>
          <w:rFonts w:ascii="Arial" w:hAnsi="Arial" w:cs="Arial"/>
          <w:b/>
        </w:rPr>
      </w:pPr>
    </w:p>
    <w:p w:rsidR="00B9403F" w:rsidRPr="00D82FD9" w:rsidP="003405FE">
      <w:pPr>
        <w:pStyle w:val="ListParagraph"/>
        <w:ind w:left="360"/>
        <w:rPr>
          <w:rFonts w:ascii="Arial" w:hAnsi="Arial" w:cs="Arial"/>
          <w:bCs/>
        </w:rPr>
      </w:pPr>
      <w:r w:rsidRPr="00D82FD9">
        <w:rPr>
          <w:rFonts w:ascii="Arial" w:hAnsi="Arial" w:cs="Arial"/>
          <w:bCs/>
        </w:rPr>
        <w:t xml:space="preserve">Make UK believe that moving to a zonal pricing model would’ve been a bad option for manufacturers. </w:t>
      </w:r>
      <w:r w:rsidRPr="00D82FD9">
        <w:rPr>
          <w:rFonts w:ascii="Arial" w:hAnsi="Arial" w:cs="Arial"/>
          <w:bCs/>
        </w:rPr>
        <w:t>The industry understands that there is a clear case for market reform to deliver a more efficient energy system and is supportive of the underlying aims within the REMA programm</w:t>
      </w:r>
      <w:r w:rsidRPr="00D82FD9">
        <w:rPr>
          <w:rFonts w:ascii="Arial" w:hAnsi="Arial" w:cs="Arial"/>
          <w:bCs/>
        </w:rPr>
        <w:t>e</w:t>
      </w:r>
      <w:r w:rsidRPr="00D82FD9">
        <w:rPr>
          <w:rFonts w:ascii="Arial" w:hAnsi="Arial" w:cs="Arial"/>
          <w:bCs/>
        </w:rPr>
        <w:t xml:space="preserve"> ensuring that the market is fit for a future dominated by renewables and a decreasing role for fossil fuel power generation.  However, there is significant concern that the zonal reforms being considered are not being balanced with the potential impacts for industrial users. The sector strongly believes that a move to zonal pricing</w:t>
      </w:r>
      <w:r w:rsidRPr="00D82FD9">
        <w:rPr>
          <w:rFonts w:ascii="Arial" w:hAnsi="Arial" w:cs="Arial"/>
          <w:bCs/>
        </w:rPr>
        <w:t xml:space="preserve"> could distort competition; complicate investment decisions; and ultimately stymie growth preventing the Government from delivering on its Industrial Strategy. </w:t>
      </w:r>
    </w:p>
    <w:p w:rsidR="00B9403F" w:rsidRPr="00D82FD9" w:rsidP="003405FE">
      <w:pPr>
        <w:pStyle w:val="ListParagraph"/>
        <w:ind w:left="360"/>
        <w:rPr>
          <w:rFonts w:ascii="Arial" w:hAnsi="Arial" w:cs="Arial"/>
          <w:bCs/>
        </w:rPr>
      </w:pPr>
    </w:p>
    <w:p w:rsidR="00B9403F" w:rsidRPr="00D82FD9" w:rsidP="00C27C8C">
      <w:pPr>
        <w:pStyle w:val="ListParagraph"/>
        <w:ind w:left="360"/>
        <w:rPr>
          <w:rFonts w:ascii="Arial" w:hAnsi="Arial" w:cs="Arial"/>
          <w:bCs/>
        </w:rPr>
      </w:pPr>
      <w:r w:rsidRPr="00D82FD9">
        <w:rPr>
          <w:rFonts w:ascii="Arial" w:hAnsi="Arial" w:cs="Arial"/>
          <w:bCs/>
        </w:rPr>
        <w:t xml:space="preserve">There </w:t>
      </w:r>
      <w:r w:rsidRPr="00D82FD9">
        <w:rPr>
          <w:rFonts w:ascii="Arial" w:hAnsi="Arial" w:cs="Arial"/>
          <w:bCs/>
        </w:rPr>
        <w:t>was</w:t>
      </w:r>
      <w:r w:rsidRPr="00D82FD9">
        <w:rPr>
          <w:rFonts w:ascii="Arial" w:hAnsi="Arial" w:cs="Arial"/>
          <w:bCs/>
        </w:rPr>
        <w:t xml:space="preserve"> significant concern for the manufacturing sector that a zonal market w</w:t>
      </w:r>
      <w:r w:rsidRPr="00D82FD9">
        <w:rPr>
          <w:rFonts w:ascii="Arial" w:hAnsi="Arial" w:cs="Arial"/>
          <w:bCs/>
        </w:rPr>
        <w:t>ould</w:t>
      </w:r>
      <w:r w:rsidRPr="00D82FD9">
        <w:rPr>
          <w:rFonts w:ascii="Arial" w:hAnsi="Arial" w:cs="Arial"/>
          <w:bCs/>
        </w:rPr>
        <w:t xml:space="preserve"> effectively create competitive zones that will directly impact investment decisions and distort competition across the UK. Most UK manufacturers already find their international competitiveness hampered because of high energy costs per unit of production relative to their foreign competitors</w:t>
      </w:r>
      <w:r w:rsidRPr="00D82FD9">
        <w:rPr>
          <w:rFonts w:ascii="Arial" w:hAnsi="Arial" w:cs="Arial"/>
          <w:bCs/>
        </w:rPr>
        <w:t xml:space="preserve">. </w:t>
      </w:r>
      <w:r w:rsidRPr="00D82FD9">
        <w:rPr>
          <w:rFonts w:ascii="Arial" w:hAnsi="Arial" w:cs="Arial"/>
          <w:bCs/>
        </w:rPr>
        <w:t>Zonal pricing has the potential to exacerbate this at a domestic level creating new competitive barriers in an already difficult business envi</w:t>
      </w:r>
      <w:r w:rsidRPr="00D82FD9">
        <w:rPr>
          <w:rFonts w:ascii="Arial" w:hAnsi="Arial" w:cs="Arial"/>
          <w:bCs/>
        </w:rPr>
        <w:t xml:space="preserve">ronment. This could have the impact of harming the collective long-term growth for the sector and potentially push business operations out of the UK as they look for cheaper alternatives.  </w:t>
      </w:r>
    </w:p>
    <w:p w:rsidR="00B9403F" w:rsidRPr="00D82FD9" w:rsidP="00C27C8C">
      <w:pPr>
        <w:pStyle w:val="ListParagraph"/>
        <w:ind w:left="360"/>
        <w:rPr>
          <w:rFonts w:ascii="Arial" w:hAnsi="Arial" w:cs="Arial"/>
          <w:bCs/>
        </w:rPr>
      </w:pPr>
    </w:p>
    <w:p w:rsidR="00B9403F" w:rsidRPr="00D82FD9" w:rsidP="003405FE">
      <w:pPr>
        <w:pStyle w:val="ListParagraph"/>
        <w:numPr>
          <w:ilvl w:val="0"/>
          <w:numId w:val="1"/>
        </w:numPr>
        <w:rPr>
          <w:rFonts w:ascii="Arial" w:hAnsi="Arial" w:cs="Arial"/>
          <w:b/>
        </w:rPr>
      </w:pPr>
      <w:r w:rsidRPr="00D82FD9">
        <w:rPr>
          <w:rFonts w:ascii="Arial" w:hAnsi="Arial" w:cs="Arial"/>
          <w:b/>
        </w:rPr>
        <w:t>How do various options for market reform impact achieving zero carbon electricity generation and wider net zero targets?</w:t>
      </w:r>
    </w:p>
    <w:p w:rsidR="00B9403F" w:rsidRPr="00D82FD9" w:rsidP="00023095">
      <w:pPr>
        <w:pStyle w:val="ListParagraph"/>
        <w:ind w:left="360"/>
        <w:rPr>
          <w:rFonts w:ascii="Arial" w:hAnsi="Arial" w:cs="Arial"/>
          <w:b/>
        </w:rPr>
      </w:pPr>
    </w:p>
    <w:p w:rsidR="00B9403F" w:rsidRPr="00D82FD9" w:rsidP="00023095">
      <w:pPr>
        <w:pStyle w:val="ListParagraph"/>
        <w:ind w:left="360"/>
        <w:rPr>
          <w:rFonts w:ascii="Arial" w:hAnsi="Arial" w:cs="Arial"/>
          <w:bCs/>
        </w:rPr>
      </w:pPr>
      <w:r w:rsidRPr="00D82FD9">
        <w:rPr>
          <w:rFonts w:ascii="Arial" w:hAnsi="Arial" w:cs="Arial"/>
          <w:bCs/>
        </w:rPr>
        <w:t>The war in Iran has highlighted vulnerabilities in the UK energy market that now requires efficient and substantive action to bring down the cost of energy for industry</w:t>
      </w:r>
      <w:r w:rsidRPr="00D82FD9">
        <w:rPr>
          <w:rFonts w:ascii="Arial" w:hAnsi="Arial" w:cs="Arial"/>
          <w:bCs/>
        </w:rPr>
        <w:t xml:space="preserve"> through clean power</w:t>
      </w:r>
      <w:r w:rsidRPr="00D82FD9">
        <w:rPr>
          <w:rFonts w:ascii="Arial" w:hAnsi="Arial" w:cs="Arial"/>
          <w:bCs/>
        </w:rPr>
        <w:t xml:space="preserve">. </w:t>
      </w:r>
      <w:r w:rsidRPr="00D82FD9">
        <w:rPr>
          <w:rFonts w:ascii="Arial" w:hAnsi="Arial" w:cs="Arial"/>
          <w:bCs/>
        </w:rPr>
        <w:t>The only way to prevent future price shocks is through an accelerated transition to a renewables-led power system</w:t>
      </w:r>
      <w:r w:rsidRPr="00D82FD9">
        <w:rPr>
          <w:rFonts w:ascii="Arial" w:hAnsi="Arial" w:cs="Arial"/>
          <w:bCs/>
        </w:rPr>
        <w:t xml:space="preserve"> and this requires a holistic reform of the market</w:t>
      </w:r>
      <w:r w:rsidRPr="00D82FD9">
        <w:rPr>
          <w:rFonts w:ascii="Arial" w:hAnsi="Arial" w:cs="Arial"/>
          <w:bCs/>
        </w:rPr>
        <w:t xml:space="preserve">. The delays to progressing reform in the market have meant that our preparedness has been poor following 2022 and more adoption of renewables was needed to protect against price shocks.  </w:t>
      </w:r>
    </w:p>
    <w:p w:rsidR="00B9403F" w:rsidRPr="00D82FD9" w:rsidP="00023095">
      <w:pPr>
        <w:pStyle w:val="ListParagraph"/>
        <w:ind w:left="360"/>
        <w:rPr>
          <w:rFonts w:ascii="Arial" w:hAnsi="Arial" w:cs="Arial"/>
          <w:bCs/>
        </w:rPr>
      </w:pPr>
    </w:p>
    <w:p w:rsidR="00B9403F" w:rsidRPr="00D82FD9" w:rsidP="00023095">
      <w:pPr>
        <w:pStyle w:val="ListParagraph"/>
        <w:ind w:left="360"/>
        <w:rPr>
          <w:rFonts w:ascii="Arial" w:hAnsi="Arial" w:cs="Arial"/>
          <w:bCs/>
        </w:rPr>
      </w:pPr>
      <w:r w:rsidRPr="00D82FD9">
        <w:rPr>
          <w:rFonts w:ascii="Arial" w:hAnsi="Arial" w:cs="Arial"/>
          <w:bCs/>
        </w:rPr>
        <w:t>This means all options must remain on the table beyond immediate support packages. This could include fundamental reforms to energy markets such as decoupling gas and electricity pricing; moving regressive policy costs from electricity bills into general taxation; and supporting industry to move away from reliance on unpredictable gas and oil markets by enabling industrial electrification and accelerating deployment of hydrogen, green gas, and onsite generation and storage of electricity.</w:t>
      </w:r>
    </w:p>
    <w:p w:rsidR="00B9403F" w:rsidRPr="00D82FD9" w:rsidP="00023095">
      <w:pPr>
        <w:pStyle w:val="ListParagraph"/>
        <w:ind w:left="360"/>
        <w:rPr>
          <w:rFonts w:ascii="Arial" w:hAnsi="Arial" w:cs="Arial"/>
          <w:b/>
        </w:rPr>
      </w:pPr>
    </w:p>
    <w:p w:rsidR="00B9403F" w:rsidRPr="00D82FD9" w:rsidP="003405FE">
      <w:pPr>
        <w:pStyle w:val="ListParagraph"/>
        <w:numPr>
          <w:ilvl w:val="0"/>
          <w:numId w:val="1"/>
        </w:numPr>
        <w:rPr>
          <w:rFonts w:ascii="Arial" w:hAnsi="Arial" w:cs="Arial"/>
          <w:b/>
        </w:rPr>
      </w:pPr>
      <w:r w:rsidRPr="00D82FD9">
        <w:rPr>
          <w:rFonts w:ascii="Arial" w:hAnsi="Arial" w:cs="Arial"/>
          <w:b/>
        </w:rPr>
        <w:t>Is there still a case for wholesale reforms towards a locational pricing model within the context of the government’s 2030 clean electricity mission and energy security aims?</w:t>
      </w:r>
    </w:p>
    <w:p w:rsidR="00B9403F" w:rsidRPr="00D82FD9" w:rsidP="003405FE">
      <w:pPr>
        <w:pStyle w:val="ListParagraph"/>
        <w:rPr>
          <w:rFonts w:ascii="Arial" w:hAnsi="Arial" w:cs="Arial"/>
          <w:b/>
        </w:rPr>
      </w:pPr>
    </w:p>
    <w:p w:rsidR="00B9403F" w:rsidRPr="00D82FD9" w:rsidP="003405FE">
      <w:pPr>
        <w:pStyle w:val="ListParagraph"/>
        <w:ind w:left="360"/>
        <w:rPr>
          <w:rFonts w:ascii="Arial" w:hAnsi="Arial" w:cs="Arial"/>
          <w:bCs/>
        </w:rPr>
      </w:pPr>
      <w:r w:rsidRPr="00D82FD9">
        <w:rPr>
          <w:rFonts w:ascii="Arial" w:hAnsi="Arial" w:cs="Arial"/>
          <w:bCs/>
        </w:rPr>
        <w:t>No, the delays to decision-making in the REMA process have ultimately diminished the benefit case for a locational pricing model</w:t>
      </w:r>
      <w:r w:rsidRPr="00D82FD9">
        <w:rPr>
          <w:rFonts w:ascii="Arial" w:hAnsi="Arial" w:cs="Arial"/>
          <w:bCs/>
        </w:rPr>
        <w:t xml:space="preserve"> business requires certainty and the current </w:t>
      </w:r>
      <w:r w:rsidRPr="00D82FD9">
        <w:rPr>
          <w:rFonts w:ascii="Arial" w:hAnsi="Arial" w:cs="Arial"/>
          <w:bCs/>
        </w:rPr>
        <w:t xml:space="preserve">atmosphere around energy markets would not be helped with another debate around pricing models. </w:t>
      </w:r>
    </w:p>
    <w:p w:rsidR="00B9403F" w:rsidRPr="00D82FD9" w:rsidP="003405FE">
      <w:pPr>
        <w:pStyle w:val="ListParagraph"/>
        <w:ind w:left="360"/>
        <w:rPr>
          <w:rFonts w:ascii="Arial" w:hAnsi="Arial" w:cs="Arial"/>
          <w:bCs/>
        </w:rPr>
      </w:pPr>
    </w:p>
    <w:p w:rsidR="00B9403F" w:rsidRPr="00D82FD9" w:rsidP="003405FE">
      <w:pPr>
        <w:pStyle w:val="ListParagraph"/>
        <w:ind w:left="360"/>
        <w:rPr>
          <w:rFonts w:ascii="Arial" w:hAnsi="Arial" w:cs="Arial"/>
        </w:rPr>
      </w:pPr>
      <w:r w:rsidRPr="00D82FD9">
        <w:rPr>
          <w:rFonts w:ascii="Arial" w:hAnsi="Arial" w:cs="Arial"/>
        </w:rPr>
        <w:t>The uncertain investment environment that a shift to a zonal market could risking turning zonal pricing into a cost and prevent the necessary investment into the market to achieve the Government’s aims for £200bn of private investment to reach Clean Power 2030 (CP2030).</w:t>
      </w:r>
      <w:r>
        <w:rPr>
          <w:rStyle w:val="FootnoteReference"/>
          <w:rFonts w:ascii="Arial" w:hAnsi="Arial" w:cs="Arial"/>
        </w:rPr>
        <w:footnoteReference w:id="2"/>
      </w:r>
      <w:r w:rsidRPr="00D82FD9">
        <w:rPr>
          <w:rFonts w:ascii="Arial" w:hAnsi="Arial" w:cs="Arial"/>
        </w:rPr>
        <w:t xml:space="preserve">  Recent LCP/Delta analysis has indicated adding just a single percentage point increase to the cost of capital to upcoming investment would make a switch to zonal pricing a potential £19bn net cost to the system over 2030-50 – up from £12bn under the previous grid plan.</w:t>
      </w:r>
      <w:r>
        <w:rPr>
          <w:rStyle w:val="FootnoteReference"/>
          <w:rFonts w:ascii="Arial" w:hAnsi="Arial" w:cs="Arial"/>
        </w:rPr>
        <w:footnoteReference w:id="3"/>
      </w:r>
      <w:r w:rsidRPr="00D82FD9">
        <w:rPr>
          <w:rFonts w:ascii="Arial" w:hAnsi="Arial" w:cs="Arial"/>
        </w:rPr>
        <w:t xml:space="preserve"> The manufacturing sector requires investment certainty in order to electrify operations and move ahead with production plans, the evidence is showing that zonal reforms are more likely to disrupt investment flows and reduce market confidence making it untenable for industry.</w:t>
      </w:r>
      <w:r>
        <w:rPr>
          <w:rStyle w:val="FootnoteReference"/>
          <w:rFonts w:ascii="Arial" w:hAnsi="Arial" w:cs="Arial"/>
        </w:rPr>
        <w:footnoteReference w:id="4"/>
      </w:r>
      <w:r w:rsidRPr="00D82FD9">
        <w:rPr>
          <w:rFonts w:ascii="Arial" w:hAnsi="Arial" w:cs="Arial"/>
        </w:rPr>
        <w:t xml:space="preserve">  </w:t>
      </w:r>
    </w:p>
    <w:p w:rsidR="00B9403F" w:rsidRPr="00D82FD9" w:rsidP="003405FE">
      <w:pPr>
        <w:pStyle w:val="ListParagraph"/>
        <w:ind w:left="360"/>
        <w:rPr>
          <w:rFonts w:ascii="Arial" w:hAnsi="Arial" w:cs="Arial"/>
        </w:rPr>
      </w:pPr>
    </w:p>
    <w:p w:rsidR="00B9403F" w:rsidRPr="00D82FD9" w:rsidP="003405FE">
      <w:pPr>
        <w:pStyle w:val="ListParagraph"/>
        <w:ind w:left="360"/>
        <w:rPr>
          <w:rFonts w:ascii="Arial" w:hAnsi="Arial" w:cs="Arial"/>
          <w:bCs/>
        </w:rPr>
      </w:pPr>
      <w:r w:rsidRPr="00D82FD9">
        <w:rPr>
          <w:rFonts w:ascii="Arial" w:hAnsi="Arial" w:cs="Arial"/>
        </w:rPr>
        <w:t xml:space="preserve">It has become clear that the delays to decisions taken on REMA have minimised the potential benefits of zonal pricing. There has developed a consensus between DESNZ, Ofgem and the NESO in moving towards strategic planning of GB’s energy infrastructure meaning that the location of future assets and the associated network to connect them are planned years in advance of delivery through role of the Strategic Spatial Energy Plan (SSEP) and Centralised Strategic Network Plan (CSNP), and the Clean Power Plan for </w:t>
      </w:r>
      <w:r w:rsidRPr="00D82FD9">
        <w:rPr>
          <w:rFonts w:ascii="Arial" w:hAnsi="Arial" w:cs="Arial"/>
        </w:rPr>
        <w:t>2030.</w:t>
      </w:r>
      <w:r>
        <w:rPr>
          <w:rStyle w:val="FootnoteReference"/>
          <w:rFonts w:ascii="Arial" w:hAnsi="Arial" w:cs="Arial"/>
        </w:rPr>
        <w:footnoteReference w:id="5"/>
      </w:r>
      <w:r w:rsidRPr="00D82FD9">
        <w:rPr>
          <w:rFonts w:ascii="Arial" w:hAnsi="Arial" w:cs="Arial"/>
        </w:rPr>
        <w:t xml:space="preserve"> These policy interventions negate the necessity for locational price signals generated from a zonal market and may deliver the purported benefits without ‘revolutionary’ reform to established operations.  </w:t>
      </w:r>
    </w:p>
    <w:p w:rsidR="00B9403F" w:rsidRPr="00D82FD9" w:rsidP="003405FE">
      <w:pPr>
        <w:pStyle w:val="ListParagraph"/>
        <w:ind w:left="360"/>
        <w:rPr>
          <w:rFonts w:ascii="Arial" w:hAnsi="Arial" w:cs="Arial"/>
          <w:bCs/>
        </w:rPr>
      </w:pPr>
    </w:p>
    <w:p w:rsidR="00B9403F" w:rsidRPr="00D82FD9" w:rsidP="003405FE">
      <w:pPr>
        <w:pStyle w:val="ListParagraph"/>
        <w:ind w:left="360"/>
        <w:rPr>
          <w:rFonts w:ascii="Arial" w:hAnsi="Arial" w:cs="Arial"/>
          <w:b/>
        </w:rPr>
      </w:pPr>
    </w:p>
    <w:p w:rsidR="00B9403F" w:rsidRPr="00D82FD9" w:rsidP="00567B41">
      <w:pPr>
        <w:pStyle w:val="ListParagraph"/>
        <w:numPr>
          <w:ilvl w:val="0"/>
          <w:numId w:val="1"/>
        </w:numPr>
        <w:rPr>
          <w:rFonts w:ascii="Arial" w:hAnsi="Arial" w:cs="Arial"/>
          <w:b/>
        </w:rPr>
      </w:pPr>
      <w:r w:rsidRPr="00D82FD9">
        <w:rPr>
          <w:rFonts w:ascii="Arial" w:hAnsi="Arial" w:cs="Arial"/>
          <w:b/>
        </w:rPr>
        <w:t>How does the government intend to incentivise the energy sector to accelerate development and generation of clean power within its planned market reforms?</w:t>
      </w:r>
    </w:p>
    <w:p w:rsidR="00B9403F" w:rsidRPr="00D82FD9" w:rsidP="00567B41">
      <w:pPr>
        <w:pStyle w:val="ListParagraph"/>
        <w:ind w:left="360"/>
        <w:rPr>
          <w:rFonts w:ascii="Arial" w:hAnsi="Arial" w:cs="Arial"/>
          <w:b/>
        </w:rPr>
      </w:pPr>
    </w:p>
    <w:p w:rsidR="00B9403F" w:rsidRPr="00D82FD9" w:rsidP="00567B41">
      <w:pPr>
        <w:pStyle w:val="ListParagraph"/>
        <w:ind w:left="360"/>
        <w:rPr>
          <w:rFonts w:ascii="Arial" w:hAnsi="Arial" w:cs="Arial"/>
          <w:bCs/>
        </w:rPr>
      </w:pPr>
      <w:r w:rsidRPr="00D82FD9">
        <w:rPr>
          <w:rFonts w:ascii="Arial" w:hAnsi="Arial" w:cs="Arial"/>
          <w:bCs/>
        </w:rPr>
        <w:t>It is our view that the Government has failed to accelerate the development and generation of clean power</w:t>
      </w:r>
      <w:r w:rsidRPr="00D82FD9">
        <w:rPr>
          <w:rFonts w:ascii="Arial" w:hAnsi="Arial" w:cs="Arial"/>
          <w:bCs/>
        </w:rPr>
        <w:t xml:space="preserve"> </w:t>
      </w:r>
      <w:r w:rsidRPr="00D82FD9">
        <w:rPr>
          <w:rFonts w:ascii="Arial" w:hAnsi="Arial" w:cs="Arial"/>
          <w:bCs/>
        </w:rPr>
        <w:t xml:space="preserve">hampering the industrial sector and preventing them from further contributing to the clean power mission. </w:t>
      </w:r>
    </w:p>
    <w:p w:rsidR="00B9403F" w:rsidRPr="00D82FD9" w:rsidP="00567B41">
      <w:pPr>
        <w:pStyle w:val="ListParagraph"/>
        <w:ind w:left="360"/>
        <w:rPr>
          <w:rFonts w:ascii="Arial" w:hAnsi="Arial" w:cs="Arial"/>
          <w:bCs/>
        </w:rPr>
      </w:pPr>
    </w:p>
    <w:p w:rsidR="00B9403F" w:rsidRPr="00D82FD9" w:rsidP="00791A2D">
      <w:pPr>
        <w:pStyle w:val="ListParagraph"/>
        <w:ind w:left="360"/>
        <w:rPr>
          <w:rFonts w:ascii="Arial" w:hAnsi="Arial" w:cs="Arial"/>
          <w:bCs/>
        </w:rPr>
      </w:pPr>
      <w:r w:rsidRPr="00D82FD9">
        <w:rPr>
          <w:rFonts w:ascii="Arial" w:hAnsi="Arial" w:cs="Arial"/>
          <w:bCs/>
        </w:rPr>
        <w:t xml:space="preserve">The fundamentals of how policy costs are charged is preventing electricity from closing the spark gap between gas and electricity. </w:t>
      </w:r>
      <w:r w:rsidRPr="00D82FD9">
        <w:rPr>
          <w:rFonts w:ascii="Arial" w:hAnsi="Arial" w:cs="Arial"/>
          <w:bCs/>
        </w:rPr>
        <w:t>Government should look to re</w:t>
      </w:r>
      <w:r w:rsidRPr="00D82FD9">
        <w:rPr>
          <w:rFonts w:ascii="Arial" w:hAnsi="Arial" w:cs="Arial"/>
          <w:bCs/>
        </w:rPr>
        <w:t>mov</w:t>
      </w:r>
      <w:r w:rsidRPr="00D82FD9">
        <w:rPr>
          <w:rFonts w:ascii="Arial" w:hAnsi="Arial" w:cs="Arial"/>
          <w:bCs/>
        </w:rPr>
        <w:t xml:space="preserve">e </w:t>
      </w:r>
      <w:r w:rsidRPr="00D82FD9">
        <w:rPr>
          <w:rFonts w:ascii="Arial" w:hAnsi="Arial" w:cs="Arial"/>
          <w:bCs/>
        </w:rPr>
        <w:t>regressive policy levies from electricity bills and commit to rule out further levies</w:t>
      </w:r>
      <w:r w:rsidRPr="00D82FD9">
        <w:rPr>
          <w:rFonts w:ascii="Arial" w:hAnsi="Arial" w:cs="Arial"/>
          <w:bCs/>
        </w:rPr>
        <w:t>.</w:t>
      </w:r>
      <w:r w:rsidRPr="00D82FD9">
        <w:rPr>
          <w:rFonts w:ascii="Arial" w:hAnsi="Arial" w:cs="Arial"/>
          <w:bCs/>
        </w:rPr>
        <w:t xml:space="preserve"> This should include removing the costs of the Renewables Obligation, Feed-in Tariffs, Contracts for Difference, Capacity Market, and Climate Change Levy. This is the only way to bring down electricity bills for manufacturers for good. Make UK and Flint Global analysis indicates that this could save manufacturers up to 15% of their electricity bills. It would also deliver measurable economi</w:t>
      </w:r>
      <w:r w:rsidRPr="00D82FD9">
        <w:rPr>
          <w:rFonts w:ascii="Arial" w:hAnsi="Arial" w:cs="Arial"/>
          <w:bCs/>
        </w:rPr>
        <w:t>c growth. Every £10 reduction per MWh in energy bills across manufacturing boosts the economy by £800 million (0.03%) a year if sustained over the medium term (with an associated direct fiscal cost of £750 million a year)</w:t>
      </w:r>
      <w:r w:rsidRPr="00D82FD9">
        <w:rPr>
          <w:rFonts w:ascii="Arial" w:hAnsi="Arial" w:cs="Arial"/>
          <w:bCs/>
        </w:rPr>
        <w:t>.</w:t>
      </w:r>
    </w:p>
    <w:p w:rsidR="00B9403F" w:rsidRPr="00D82FD9" w:rsidP="0045417A">
      <w:pPr>
        <w:pBdr>
          <w:bottom w:val="single" w:sz="4" w:space="1" w:color="auto"/>
        </w:pBdr>
        <w:spacing w:after="0"/>
        <w:rPr>
          <w:rFonts w:ascii="Arial" w:hAnsi="Arial" w:cs="Arial"/>
          <w:b/>
          <w:sz w:val="24"/>
          <w:szCs w:val="24"/>
        </w:rPr>
      </w:pPr>
    </w:p>
    <w:p w:rsidR="00B9403F" w:rsidRPr="00D82FD9" w:rsidP="0045417A">
      <w:pPr>
        <w:pBdr>
          <w:bottom w:val="single" w:sz="4" w:space="1" w:color="auto"/>
        </w:pBdr>
        <w:spacing w:after="0"/>
        <w:rPr>
          <w:rFonts w:ascii="Arial" w:hAnsi="Arial" w:cs="Arial"/>
          <w:b/>
          <w:sz w:val="24"/>
          <w:szCs w:val="24"/>
        </w:rPr>
      </w:pPr>
      <w:r w:rsidRPr="00D82FD9">
        <w:rPr>
          <w:rFonts w:ascii="Arial" w:hAnsi="Arial" w:cs="Arial"/>
          <w:b/>
          <w:sz w:val="24"/>
          <w:szCs w:val="24"/>
        </w:rPr>
        <w:t>Background</w:t>
      </w:r>
    </w:p>
    <w:p w:rsidR="00B9403F" w:rsidRPr="00D82FD9" w:rsidP="0045417A">
      <w:pPr>
        <w:pStyle w:val="ListParagraph"/>
        <w:numPr>
          <w:ilvl w:val="0"/>
          <w:numId w:val="12"/>
        </w:numPr>
        <w:spacing w:after="160" w:line="259" w:lineRule="auto"/>
        <w:jc w:val="both"/>
        <w:rPr>
          <w:rFonts w:ascii="Arial" w:hAnsi="Arial" w:cs="Arial"/>
          <w:bCs/>
        </w:rPr>
      </w:pPr>
      <w:r w:rsidRPr="00D82FD9">
        <w:rPr>
          <w:rFonts w:ascii="Arial" w:hAnsi="Arial" w:cs="Arial"/>
          <w:bCs/>
        </w:rPr>
        <w:t xml:space="preserve">Make UK, The Manufacturers’ Organisation, is the representative voice of UK manufacturing, with offices in London, every English region and Wales. </w:t>
      </w:r>
    </w:p>
    <w:p w:rsidR="00B9403F" w:rsidRPr="00D82FD9" w:rsidP="0045417A">
      <w:pPr>
        <w:pStyle w:val="ListParagraph"/>
        <w:ind w:left="360"/>
        <w:jc w:val="both"/>
        <w:rPr>
          <w:rFonts w:ascii="Arial" w:hAnsi="Arial" w:cs="Arial"/>
          <w:bCs/>
        </w:rPr>
      </w:pPr>
    </w:p>
    <w:p w:rsidR="00B9403F" w:rsidRPr="00D82FD9" w:rsidP="0045417A">
      <w:pPr>
        <w:pStyle w:val="ListParagraph"/>
        <w:numPr>
          <w:ilvl w:val="0"/>
          <w:numId w:val="12"/>
        </w:numPr>
        <w:spacing w:after="160" w:line="259" w:lineRule="auto"/>
        <w:jc w:val="both"/>
        <w:rPr>
          <w:rFonts w:ascii="Arial" w:hAnsi="Arial" w:cs="Arial"/>
          <w:bCs/>
        </w:rPr>
      </w:pPr>
      <w:r w:rsidRPr="00D82FD9">
        <w:rPr>
          <w:rFonts w:ascii="Arial" w:hAnsi="Arial" w:cs="Arial"/>
          <w:bCs/>
        </w:rPr>
        <w:t>Collectively we represent 20,000 companies of all sizes, from start-ups to multinationals, across engineering, manufacturing, technology and the wider industrial sector. Everything we do – from providing essential business support and training to championing manufacturing industry in the UK and internationally – is designed to help British manufacturers compete, innovate and grow.</w:t>
      </w:r>
    </w:p>
    <w:p w:rsidR="00B9403F" w:rsidRPr="00D82FD9" w:rsidP="0045417A">
      <w:pPr>
        <w:pStyle w:val="ListParagraph"/>
        <w:rPr>
          <w:rFonts w:ascii="Arial" w:hAnsi="Arial" w:cs="Arial"/>
          <w:bCs/>
        </w:rPr>
      </w:pPr>
    </w:p>
    <w:p w:rsidR="00B9403F" w:rsidRPr="00D82FD9" w:rsidP="0045417A">
      <w:pPr>
        <w:pStyle w:val="ListParagraph"/>
        <w:numPr>
          <w:ilvl w:val="0"/>
          <w:numId w:val="12"/>
        </w:numPr>
        <w:spacing w:after="160" w:line="259" w:lineRule="auto"/>
        <w:jc w:val="both"/>
        <w:rPr>
          <w:rFonts w:ascii="Arial" w:hAnsi="Arial" w:cs="Arial"/>
          <w:bCs/>
        </w:rPr>
      </w:pPr>
      <w:r w:rsidRPr="00D82FD9">
        <w:rPr>
          <w:rFonts w:ascii="Arial" w:hAnsi="Arial" w:cs="Arial"/>
          <w:bCs/>
        </w:rPr>
        <w:t>From HR and employment law, health and safety to environmental and productivity improvement, our advice, expertise and influence enables businesses to remain safe, compliant and future-focused.</w:t>
      </w:r>
    </w:p>
    <w:p w:rsidR="00B9403F" w:rsidRPr="00D82FD9" w:rsidP="0045417A">
      <w:pPr>
        <w:pStyle w:val="ListParagraph"/>
        <w:ind w:left="180"/>
        <w:jc w:val="both"/>
        <w:rPr>
          <w:rFonts w:ascii="Arial" w:hAnsi="Arial" w:cs="Arial"/>
        </w:rPr>
      </w:pPr>
    </w:p>
    <w:p w:rsidR="00D82FD9" w:rsidRPr="00D82FD9">
      <w:pPr>
        <w:rPr>
          <w:i/>
          <w:iCs/>
        </w:rPr>
      </w:pPr>
      <w:r w:rsidRPr="00D82FD9">
        <w:rPr>
          <w:i/>
          <w:iCs/>
        </w:rPr>
        <w:t>March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9403F" w:rsidP="0045417A">
      <w:pPr>
        <w:spacing w:after="0" w:line="240" w:lineRule="auto"/>
      </w:pPr>
      <w:r>
        <w:separator/>
      </w:r>
    </w:p>
  </w:footnote>
  <w:footnote w:type="continuationSeparator" w:id="1">
    <w:p w:rsidR="00B9403F" w:rsidP="0045417A">
      <w:pPr>
        <w:spacing w:after="0" w:line="240" w:lineRule="auto"/>
      </w:pPr>
      <w:r>
        <w:continuationSeparator/>
      </w:r>
    </w:p>
  </w:footnote>
  <w:footnote w:id="2">
    <w:p w:rsidR="00B9403F" w:rsidRPr="004C735F" w:rsidP="003405FE">
      <w:pPr>
        <w:pStyle w:val="FootnoteText"/>
        <w:rPr>
          <w:rFonts w:ascii="Arial" w:hAnsi="Arial" w:cs="Arial"/>
          <w:sz w:val="16"/>
          <w:szCs w:val="16"/>
        </w:rPr>
      </w:pPr>
      <w:r w:rsidRPr="00441CE3">
        <w:rPr>
          <w:rStyle w:val="FootnoteReference"/>
          <w:rFonts w:ascii="Arial" w:hAnsi="Arial" w:cs="Arial"/>
          <w:sz w:val="16"/>
          <w:szCs w:val="16"/>
        </w:rPr>
        <w:footnoteRef/>
      </w:r>
      <w:r w:rsidRPr="00441CE3">
        <w:rPr>
          <w:rFonts w:ascii="Arial" w:hAnsi="Arial" w:cs="Arial"/>
          <w:sz w:val="16"/>
          <w:szCs w:val="16"/>
        </w:rPr>
        <w:t xml:space="preserve"> </w:t>
      </w:r>
      <w:r>
        <w:fldChar w:fldCharType="begin"/>
      </w:r>
      <w:r>
        <w:instrText xml:space="preserve"> HYPERLINK "https://assets.publishing.service.gov.uk/media/677bc80399c93b7286a396d6/clean-power-2030-action-plan-main-report.pdf" </w:instrText>
      </w:r>
      <w:r>
        <w:fldChar w:fldCharType="separate"/>
      </w:r>
      <w:r w:rsidRPr="00441CE3">
        <w:rPr>
          <w:rStyle w:val="Hyperlink"/>
          <w:rFonts w:ascii="Arial" w:hAnsi="Arial" w:eastAsiaTheme="majorEastAsia" w:cs="Arial"/>
          <w:sz w:val="16"/>
          <w:szCs w:val="16"/>
        </w:rPr>
        <w:t>Clean Power 2030: Action Plan: A new era of clean electricity</w:t>
      </w:r>
      <w:r>
        <w:fldChar w:fldCharType="end"/>
      </w:r>
      <w:r w:rsidRPr="00441CE3">
        <w:rPr>
          <w:rFonts w:ascii="Arial" w:hAnsi="Arial" w:cs="Arial"/>
          <w:sz w:val="16"/>
          <w:szCs w:val="16"/>
        </w:rPr>
        <w:t>, UK Government December 2024</w:t>
      </w:r>
    </w:p>
  </w:footnote>
  <w:footnote w:id="3">
    <w:p w:rsidR="00B9403F" w:rsidRPr="00433CA9" w:rsidP="003405FE">
      <w:pPr>
        <w:pStyle w:val="FootnoteText"/>
        <w:rPr>
          <w:rFonts w:ascii="Arial" w:hAnsi="Arial" w:cs="Arial"/>
          <w:sz w:val="16"/>
          <w:szCs w:val="16"/>
        </w:rPr>
      </w:pPr>
      <w:r w:rsidRPr="00433CA9">
        <w:rPr>
          <w:rStyle w:val="FootnoteReference"/>
          <w:rFonts w:ascii="Arial" w:hAnsi="Arial" w:cs="Arial"/>
          <w:sz w:val="16"/>
          <w:szCs w:val="16"/>
        </w:rPr>
        <w:footnoteRef/>
      </w:r>
      <w:r w:rsidRPr="00433CA9">
        <w:rPr>
          <w:rFonts w:ascii="Arial" w:hAnsi="Arial" w:cs="Arial"/>
          <w:sz w:val="16"/>
          <w:szCs w:val="16"/>
        </w:rPr>
        <w:t xml:space="preserve"> </w:t>
      </w:r>
      <w:r>
        <w:fldChar w:fldCharType="begin"/>
      </w:r>
      <w:r>
        <w:instrText xml:space="preserve"> HYPERLINK "https://www.sse.com/media/x3ehjdpg/lcp-d-sse-impacts-of-beyond-2030-network-plans-on-zonal-pricing-october-2024.pdf" </w:instrText>
      </w:r>
      <w:r>
        <w:fldChar w:fldCharType="separate"/>
      </w:r>
      <w:r w:rsidRPr="00433CA9">
        <w:rPr>
          <w:rStyle w:val="Hyperlink"/>
          <w:rFonts w:ascii="Arial" w:hAnsi="Arial" w:eastAsiaTheme="majorEastAsia" w:cs="Arial"/>
          <w:sz w:val="16"/>
          <w:szCs w:val="16"/>
        </w:rPr>
        <w:t>Impacts of 'Beyond 2030' network plans on zonal pricing</w:t>
      </w:r>
      <w:r>
        <w:fldChar w:fldCharType="end"/>
      </w:r>
      <w:r w:rsidRPr="00433CA9">
        <w:rPr>
          <w:rFonts w:ascii="Arial" w:hAnsi="Arial" w:cs="Arial"/>
          <w:sz w:val="16"/>
          <w:szCs w:val="16"/>
        </w:rPr>
        <w:t>, LCP Delta/SSE</w:t>
      </w:r>
    </w:p>
  </w:footnote>
  <w:footnote w:id="4">
    <w:p w:rsidR="00B9403F" w:rsidRPr="00433CA9" w:rsidP="003405FE">
      <w:pPr>
        <w:pStyle w:val="FootnoteText"/>
        <w:rPr>
          <w:rFonts w:ascii="Arial" w:hAnsi="Arial" w:cs="Arial"/>
          <w:sz w:val="16"/>
          <w:szCs w:val="16"/>
        </w:rPr>
      </w:pPr>
      <w:r w:rsidRPr="00433CA9">
        <w:rPr>
          <w:rStyle w:val="FootnoteReference"/>
          <w:rFonts w:ascii="Arial" w:hAnsi="Arial" w:cs="Arial"/>
          <w:sz w:val="16"/>
          <w:szCs w:val="16"/>
        </w:rPr>
        <w:footnoteRef/>
      </w:r>
      <w:r w:rsidRPr="00433CA9">
        <w:rPr>
          <w:rFonts w:ascii="Arial" w:hAnsi="Arial" w:cs="Arial"/>
          <w:sz w:val="16"/>
          <w:szCs w:val="16"/>
        </w:rPr>
        <w:t xml:space="preserve"> </w:t>
      </w:r>
      <w:r w:rsidRPr="00CD6BD0">
        <w:rPr>
          <w:rFonts w:ascii="Arial" w:hAnsi="Arial" w:cs="Arial"/>
          <w:i/>
          <w:iCs/>
          <w:sz w:val="16"/>
          <w:szCs w:val="16"/>
        </w:rPr>
        <w:t xml:space="preserve">Manufacturing represents 16% of UK business investment, </w:t>
      </w:r>
      <w:r>
        <w:fldChar w:fldCharType="begin"/>
      </w:r>
      <w:r>
        <w:instrText xml:space="preserve"> HYPERLINK "C:\\Users\\PMATTH~1\\AppData\\Local\\Temp\\MicrosoftEdgeDownloads\\7b5199bf-3a4c-463f-8c79-43f1a5fd9908\\executive-survey-2025.pdf" </w:instrText>
      </w:r>
      <w:r>
        <w:fldChar w:fldCharType="separate"/>
      </w:r>
      <w:r w:rsidRPr="00433CA9">
        <w:rPr>
          <w:rStyle w:val="Hyperlink"/>
          <w:rFonts w:ascii="Arial" w:hAnsi="Arial" w:eastAsiaTheme="majorEastAsia" w:cs="Arial"/>
          <w:sz w:val="16"/>
          <w:szCs w:val="16"/>
        </w:rPr>
        <w:t>Executive Survey 2025</w:t>
      </w:r>
      <w:r>
        <w:fldChar w:fldCharType="end"/>
      </w:r>
      <w:r>
        <w:rPr>
          <w:rFonts w:ascii="Arial" w:hAnsi="Arial" w:cs="Arial"/>
          <w:sz w:val="16"/>
          <w:szCs w:val="16"/>
        </w:rPr>
        <w:t xml:space="preserve">, Make UK </w:t>
      </w:r>
      <w:r w:rsidRPr="00433CA9">
        <w:rPr>
          <w:rFonts w:ascii="Arial" w:hAnsi="Arial" w:cs="Arial"/>
          <w:sz w:val="16"/>
          <w:szCs w:val="16"/>
        </w:rPr>
        <w:t xml:space="preserve"> </w:t>
      </w:r>
    </w:p>
  </w:footnote>
  <w:footnote w:id="5">
    <w:p w:rsidR="00B9403F" w:rsidRPr="007425E3" w:rsidP="003405FE">
      <w:pPr>
        <w:pStyle w:val="FootnoteText"/>
        <w:rPr>
          <w:rFonts w:ascii="Arial" w:hAnsi="Arial" w:cs="Arial"/>
          <w:sz w:val="16"/>
          <w:szCs w:val="16"/>
        </w:rPr>
      </w:pPr>
      <w:r w:rsidRPr="007425E3">
        <w:rPr>
          <w:rStyle w:val="FootnoteReference"/>
          <w:rFonts w:ascii="Arial" w:hAnsi="Arial" w:cs="Arial"/>
          <w:sz w:val="16"/>
          <w:szCs w:val="16"/>
        </w:rPr>
        <w:footnoteRef/>
      </w:r>
      <w:r w:rsidRPr="007425E3">
        <w:rPr>
          <w:rFonts w:ascii="Arial" w:hAnsi="Arial" w:cs="Arial"/>
          <w:sz w:val="16"/>
          <w:szCs w:val="16"/>
        </w:rPr>
        <w:t xml:space="preserve"> </w:t>
      </w:r>
      <w:r>
        <w:fldChar w:fldCharType="begin"/>
      </w:r>
      <w:r>
        <w:instrText xml:space="preserve"> HYPERLINK "https://www.gov.uk/government/news/strategic-plan-for-long-term-energy-infrastructure" </w:instrText>
      </w:r>
      <w:r>
        <w:fldChar w:fldCharType="separate"/>
      </w:r>
      <w:r w:rsidRPr="007425E3">
        <w:rPr>
          <w:rStyle w:val="Hyperlink"/>
          <w:rFonts w:ascii="Arial" w:hAnsi="Arial" w:eastAsiaTheme="majorEastAsia" w:cs="Arial"/>
          <w:sz w:val="16"/>
          <w:szCs w:val="16"/>
        </w:rPr>
        <w:t>Strategic plan for long-term energy infrastructure - GOV.UK</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F30EC4"/>
    <w:multiLevelType w:val="hybridMultilevel"/>
    <w:tmpl w:val="163445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2404C6"/>
    <w:multiLevelType w:val="hybridMultilevel"/>
    <w:tmpl w:val="F440CE8C"/>
    <w:lvl w:ilvl="0">
      <w:start w:val="1"/>
      <w:numFmt w:val="decimal"/>
      <w:lvlText w:val="%1."/>
      <w:lvlJc w:val="left"/>
      <w:pPr>
        <w:ind w:left="360" w:hanging="360"/>
      </w:pPr>
      <w:rPr>
        <w:rFonts w:hint="default"/>
        <w:b w:val="0"/>
        <w:color w:val="auto"/>
      </w:rPr>
    </w:lvl>
    <w:lvl w:ilvl="1">
      <w:start w:val="1"/>
      <w:numFmt w:val="decimal"/>
      <w:lvlText w:val="%2."/>
      <w:lvlJc w:val="left"/>
      <w:pPr>
        <w:ind w:left="1080" w:hanging="360"/>
      </w:pPr>
      <w:rPr>
        <w:rFonts w:hint="default"/>
        <w:b w:val="0"/>
        <w:color w:val="auto"/>
      </w:rPr>
    </w:lvl>
    <w:lvl w:ilvl="2">
      <w:start w:val="4"/>
      <w:numFmt w:val="bullet"/>
      <w:lvlText w:val="-"/>
      <w:lvlJc w:val="left"/>
      <w:pPr>
        <w:ind w:left="1980" w:hanging="360"/>
      </w:pPr>
      <w:rPr>
        <w:rFonts w:ascii="Calibri" w:hAnsi="Calibri" w:eastAsiaTheme="minorHAnsi" w:cs="Calibri" w:hint="default"/>
      </w:rPr>
    </w:lvl>
    <w:lvl w:ilvl="3">
      <w:start w:val="0"/>
      <w:numFmt w:val="bullet"/>
      <w:lvlText w:val=""/>
      <w:lvlJc w:val="left"/>
      <w:pPr>
        <w:ind w:left="2520" w:hanging="360"/>
      </w:pPr>
      <w:rPr>
        <w:rFonts w:ascii="Symbol" w:eastAsia="Calibri" w:hAnsi="Symbol" w:cs="Arial" w:hint="default"/>
      </w:r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44D2B40"/>
    <w:multiLevelType w:val="hybridMultilevel"/>
    <w:tmpl w:val="E4C290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30187F"/>
    <w:multiLevelType w:val="hybridMultilevel"/>
    <w:tmpl w:val="FBEACD0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84A14E3"/>
    <w:multiLevelType w:val="hybridMultilevel"/>
    <w:tmpl w:val="E92E49E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0121A9B"/>
    <w:multiLevelType w:val="hybridMultilevel"/>
    <w:tmpl w:val="C1FC73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DD0764"/>
    <w:multiLevelType w:val="hybridMultilevel"/>
    <w:tmpl w:val="712657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4217094"/>
    <w:multiLevelType w:val="hybridMultilevel"/>
    <w:tmpl w:val="DB98F650"/>
    <w:lvl w:ilvl="0">
      <w:start w:val="1"/>
      <w:numFmt w:val="decimal"/>
      <w:lvlText w:val="%1."/>
      <w:lvlJc w:val="left"/>
      <w:pPr>
        <w:ind w:left="643"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43B43F0"/>
    <w:multiLevelType w:val="hybridMultilevel"/>
    <w:tmpl w:val="F440CE8C"/>
    <w:lvl w:ilvl="0">
      <w:start w:val="1"/>
      <w:numFmt w:val="decimal"/>
      <w:lvlText w:val="%1."/>
      <w:lvlJc w:val="left"/>
      <w:pPr>
        <w:ind w:left="360" w:hanging="360"/>
      </w:pPr>
      <w:rPr>
        <w:rFonts w:hint="default"/>
        <w:b w:val="0"/>
        <w:color w:val="auto"/>
      </w:rPr>
    </w:lvl>
    <w:lvl w:ilvl="1">
      <w:start w:val="1"/>
      <w:numFmt w:val="decimal"/>
      <w:lvlText w:val="%2."/>
      <w:lvlJc w:val="left"/>
      <w:pPr>
        <w:ind w:left="1080" w:hanging="360"/>
      </w:pPr>
      <w:rPr>
        <w:rFonts w:hint="default"/>
        <w:b w:val="0"/>
        <w:color w:val="auto"/>
      </w:rPr>
    </w:lvl>
    <w:lvl w:ilvl="2">
      <w:start w:val="4"/>
      <w:numFmt w:val="bullet"/>
      <w:lvlText w:val="-"/>
      <w:lvlJc w:val="left"/>
      <w:pPr>
        <w:ind w:left="1980" w:hanging="360"/>
      </w:pPr>
      <w:rPr>
        <w:rFonts w:ascii="Calibri" w:hAnsi="Calibri" w:eastAsiaTheme="minorHAnsi" w:cs="Calibri" w:hint="default"/>
      </w:rPr>
    </w:lvl>
    <w:lvl w:ilvl="3">
      <w:start w:val="0"/>
      <w:numFmt w:val="bullet"/>
      <w:lvlText w:val=""/>
      <w:lvlJc w:val="left"/>
      <w:pPr>
        <w:ind w:left="2520" w:hanging="360"/>
      </w:pPr>
      <w:rPr>
        <w:rFonts w:ascii="Symbol" w:eastAsia="Calibri" w:hAnsi="Symbol" w:cs="Arial" w:hint="default"/>
      </w:r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6A062FB8"/>
    <w:multiLevelType w:val="hybridMultilevel"/>
    <w:tmpl w:val="E898AA2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AC85340"/>
    <w:multiLevelType w:val="hybridMultilevel"/>
    <w:tmpl w:val="014AE65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CAD0850"/>
    <w:multiLevelType w:val="multilevel"/>
    <w:tmpl w:val="0B02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DA2948"/>
    <w:multiLevelType w:val="hybridMultilevel"/>
    <w:tmpl w:val="F4C6FE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0"/>
  </w:num>
  <w:num w:numId="3">
    <w:abstractNumId w:val="11"/>
  </w:num>
  <w:num w:numId="4">
    <w:abstractNumId w:val="12"/>
  </w:num>
  <w:num w:numId="5">
    <w:abstractNumId w:val="10"/>
  </w:num>
  <w:num w:numId="6">
    <w:abstractNumId w:val="2"/>
  </w:num>
  <w:num w:numId="7">
    <w:abstractNumId w:val="4"/>
  </w:num>
  <w:num w:numId="8">
    <w:abstractNumId w:val="5"/>
  </w:num>
  <w:num w:numId="9">
    <w:abstractNumId w:val="6"/>
  </w:num>
  <w:num w:numId="10">
    <w:abstractNumId w:val="9"/>
  </w:num>
  <w:num w:numId="11">
    <w:abstractNumId w:val="3"/>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417A"/>
    <w:pPr>
      <w:spacing w:after="200" w:line="276" w:lineRule="auto"/>
    </w:pPr>
    <w:rPr>
      <w:rFonts w:ascii="Calibri" w:eastAsia="Calibri" w:hAnsi="Calibri" w:cs="Times New Roman"/>
      <w:kern w:val="0"/>
      <w:sz w:val="22"/>
      <w:szCs w:val="22"/>
    </w:rPr>
  </w:style>
  <w:style w:type="paragraph" w:styleId="Heading1">
    <w:name w:val="heading 1"/>
    <w:basedOn w:val="Normal"/>
    <w:next w:val="Normal"/>
    <w:link w:val="Heading1Char"/>
    <w:uiPriority w:val="9"/>
    <w:qFormat/>
    <w:rsid w:val="004541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41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41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41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41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41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1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1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1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1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41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41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41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41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41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1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1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17A"/>
    <w:rPr>
      <w:rFonts w:eastAsiaTheme="majorEastAsia" w:cstheme="majorBidi"/>
      <w:color w:val="272727" w:themeColor="text1" w:themeTint="D8"/>
    </w:rPr>
  </w:style>
  <w:style w:type="paragraph" w:styleId="Title">
    <w:name w:val="Title"/>
    <w:basedOn w:val="Normal"/>
    <w:next w:val="Normal"/>
    <w:link w:val="TitleChar"/>
    <w:uiPriority w:val="10"/>
    <w:qFormat/>
    <w:rsid w:val="004541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1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1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1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17A"/>
    <w:pPr>
      <w:spacing w:before="160"/>
      <w:jc w:val="center"/>
    </w:pPr>
    <w:rPr>
      <w:i/>
      <w:iCs/>
      <w:color w:val="404040" w:themeColor="text1" w:themeTint="BF"/>
    </w:rPr>
  </w:style>
  <w:style w:type="character" w:customStyle="1" w:styleId="QuoteChar">
    <w:name w:val="Quote Char"/>
    <w:basedOn w:val="DefaultParagraphFont"/>
    <w:link w:val="Quote"/>
    <w:uiPriority w:val="29"/>
    <w:rsid w:val="0045417A"/>
    <w:rPr>
      <w:i/>
      <w:iCs/>
      <w:color w:val="404040" w:themeColor="text1" w:themeTint="BF"/>
    </w:rPr>
  </w:style>
  <w:style w:type="paragraph" w:styleId="ListParagraph">
    <w:name w:val="List Paragraph"/>
    <w:aliases w:val="Bullet 1,Bullet Paragraph,Bullet Points,Dot pt,Indicator Text,L,List Paragraph Char Char Char,List Paragraph1,List Paragraph11,MAIN CONTENT,NHF Bullet Paragraph,NHF List Paragraph,No Spacing1,Numbered Para 1,Numbered paragraph,OBC Bullet"/>
    <w:basedOn w:val="Normal"/>
    <w:link w:val="ListParagraphChar"/>
    <w:uiPriority w:val="34"/>
    <w:qFormat/>
    <w:rsid w:val="0045417A"/>
    <w:pPr>
      <w:ind w:left="720"/>
      <w:contextualSpacing/>
    </w:pPr>
  </w:style>
  <w:style w:type="character" w:styleId="IntenseEmphasis">
    <w:name w:val="Intense Emphasis"/>
    <w:basedOn w:val="DefaultParagraphFont"/>
    <w:uiPriority w:val="21"/>
    <w:qFormat/>
    <w:rsid w:val="0045417A"/>
    <w:rPr>
      <w:i/>
      <w:iCs/>
      <w:color w:val="0F4761" w:themeColor="accent1" w:themeShade="BF"/>
    </w:rPr>
  </w:style>
  <w:style w:type="paragraph" w:styleId="IntenseQuote">
    <w:name w:val="Intense Quote"/>
    <w:basedOn w:val="Normal"/>
    <w:next w:val="Normal"/>
    <w:link w:val="IntenseQuoteChar"/>
    <w:uiPriority w:val="30"/>
    <w:qFormat/>
    <w:rsid w:val="004541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17A"/>
    <w:rPr>
      <w:i/>
      <w:iCs/>
      <w:color w:val="0F4761" w:themeColor="accent1" w:themeShade="BF"/>
    </w:rPr>
  </w:style>
  <w:style w:type="character" w:styleId="IntenseReference">
    <w:name w:val="Intense Reference"/>
    <w:basedOn w:val="DefaultParagraphFont"/>
    <w:uiPriority w:val="32"/>
    <w:qFormat/>
    <w:rsid w:val="0045417A"/>
    <w:rPr>
      <w:b/>
      <w:bCs/>
      <w:smallCaps/>
      <w:color w:val="0F4761" w:themeColor="accent1" w:themeShade="BF"/>
      <w:spacing w:val="5"/>
    </w:rPr>
  </w:style>
  <w:style w:type="character" w:styleId="Hyperlink">
    <w:name w:val="Hyperlink"/>
    <w:basedOn w:val="DefaultParagraphFont"/>
    <w:uiPriority w:val="99"/>
    <w:unhideWhenUsed/>
    <w:rsid w:val="0045417A"/>
    <w:rPr>
      <w:color w:val="467886" w:themeColor="hyperlink"/>
      <w:u w:val="single"/>
    </w:rPr>
  </w:style>
  <w:style w:type="paragraph" w:styleId="Header">
    <w:name w:val="header"/>
    <w:basedOn w:val="Normal"/>
    <w:link w:val="HeaderChar"/>
    <w:uiPriority w:val="99"/>
    <w:unhideWhenUsed/>
    <w:rsid w:val="004541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17A"/>
    <w:rPr>
      <w:rFonts w:ascii="Calibri" w:eastAsia="Calibri" w:hAnsi="Calibri" w:cs="Times New Roman"/>
      <w:kern w:val="0"/>
      <w:sz w:val="22"/>
      <w:szCs w:val="22"/>
    </w:rPr>
  </w:style>
  <w:style w:type="paragraph" w:styleId="Footer">
    <w:name w:val="footer"/>
    <w:basedOn w:val="Normal"/>
    <w:link w:val="FooterChar"/>
    <w:uiPriority w:val="99"/>
    <w:unhideWhenUsed/>
    <w:rsid w:val="004541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17A"/>
    <w:rPr>
      <w:rFonts w:ascii="Calibri" w:eastAsia="Calibri" w:hAnsi="Calibri" w:cs="Times New Roman"/>
      <w:kern w:val="0"/>
      <w:sz w:val="22"/>
      <w:szCs w:val="22"/>
    </w:rPr>
  </w:style>
  <w:style w:type="character" w:customStyle="1" w:styleId="ListParagraphChar">
    <w:name w:val="List Paragraph Char"/>
    <w:aliases w:val="Bullet 1 Char,Bullet Paragraph Char,Bullet Points Char,Dot pt Char,Indicator Text Char,L Char,List Paragraph Char Char Char Char,List Paragraph1 Char,List Paragraph11 Char,MAIN CONTENT Char,NHF Bullet Paragraph Char,No Spacing1 Char"/>
    <w:link w:val="ListParagraph"/>
    <w:uiPriority w:val="34"/>
    <w:qFormat/>
    <w:locked/>
    <w:rsid w:val="003405FE"/>
    <w:rPr>
      <w:rFonts w:ascii="Calibri" w:eastAsia="Calibri" w:hAnsi="Calibri" w:cs="Times New Roman"/>
      <w:kern w:val="0"/>
      <w:sz w:val="22"/>
      <w:szCs w:val="22"/>
    </w:rPr>
  </w:style>
  <w:style w:type="paragraph" w:styleId="FootnoteText">
    <w:name w:val="footnote text"/>
    <w:basedOn w:val="Normal"/>
    <w:link w:val="FootnoteTextChar"/>
    <w:uiPriority w:val="99"/>
    <w:semiHidden/>
    <w:unhideWhenUsed/>
    <w:rsid w:val="003405FE"/>
    <w:pPr>
      <w:spacing w:after="0" w:line="240" w:lineRule="auto"/>
    </w:pPr>
    <w:rPr>
      <w:rFonts w:ascii="Times New Roman" w:eastAsia="Times New Roman" w:hAnsi="Times New Roman"/>
      <w:sz w:val="20"/>
      <w:szCs w:val="20"/>
      <w:lang w:eastAsia="en-GB"/>
    </w:rPr>
  </w:style>
  <w:style w:type="character" w:customStyle="1" w:styleId="FootnoteTextChar">
    <w:name w:val="Footnote Text Char"/>
    <w:basedOn w:val="DefaultParagraphFont"/>
    <w:link w:val="FootnoteText"/>
    <w:uiPriority w:val="99"/>
    <w:semiHidden/>
    <w:rsid w:val="003405FE"/>
    <w:rPr>
      <w:rFonts w:ascii="Times New Roman" w:eastAsia="Times New Roman" w:hAnsi="Times New Roman" w:cs="Times New Roman"/>
      <w:kern w:val="0"/>
      <w:sz w:val="20"/>
      <w:szCs w:val="20"/>
      <w:lang w:eastAsia="en-GB"/>
    </w:rPr>
  </w:style>
  <w:style w:type="character" w:styleId="FootnoteReference">
    <w:name w:val="footnote reference"/>
    <w:basedOn w:val="DefaultParagraphFont"/>
    <w:uiPriority w:val="99"/>
    <w:semiHidden/>
    <w:unhideWhenUsed/>
    <w:rsid w:val="003405FE"/>
    <w:rPr>
      <w:vertAlign w:val="superscript"/>
    </w:rPr>
  </w:style>
  <w:style w:type="paragraph" w:styleId="NoSpacing">
    <w:name w:val="No Spacing"/>
    <w:uiPriority w:val="1"/>
    <w:qFormat/>
    <w:rsid w:val="003832A9"/>
    <w:pPr>
      <w:spacing w:after="0" w:line="240" w:lineRule="auto"/>
    </w:pPr>
    <w:rPr>
      <w:kern w:val="0"/>
      <w:sz w:val="22"/>
      <w:szCs w:val="22"/>
    </w:rPr>
  </w:style>
  <w:style w:type="character" w:styleId="CommentReference">
    <w:name w:val="annotation reference"/>
    <w:basedOn w:val="DefaultParagraphFont"/>
    <w:uiPriority w:val="99"/>
    <w:semiHidden/>
    <w:unhideWhenUsed/>
    <w:rsid w:val="009571BC"/>
    <w:rPr>
      <w:sz w:val="16"/>
      <w:szCs w:val="16"/>
    </w:rPr>
  </w:style>
  <w:style w:type="paragraph" w:styleId="CommentText">
    <w:name w:val="annotation text"/>
    <w:basedOn w:val="Normal"/>
    <w:link w:val="CommentTextChar"/>
    <w:uiPriority w:val="99"/>
    <w:unhideWhenUsed/>
    <w:rsid w:val="009571BC"/>
    <w:pPr>
      <w:spacing w:line="240" w:lineRule="auto"/>
    </w:pPr>
    <w:rPr>
      <w:sz w:val="20"/>
      <w:szCs w:val="20"/>
    </w:rPr>
  </w:style>
  <w:style w:type="character" w:customStyle="1" w:styleId="CommentTextChar">
    <w:name w:val="Comment Text Char"/>
    <w:basedOn w:val="DefaultParagraphFont"/>
    <w:link w:val="CommentText"/>
    <w:uiPriority w:val="99"/>
    <w:rsid w:val="009571BC"/>
    <w:rPr>
      <w:rFonts w:ascii="Calibri" w:eastAsia="Calibri" w:hAnsi="Calibri" w:cs="Times New Roman"/>
      <w:kern w:val="0"/>
      <w:sz w:val="20"/>
      <w:szCs w:val="20"/>
    </w:rPr>
  </w:style>
  <w:style w:type="paragraph" w:styleId="CommentSubject">
    <w:name w:val="annotation subject"/>
    <w:basedOn w:val="CommentText"/>
    <w:next w:val="CommentText"/>
    <w:link w:val="CommentSubjectChar"/>
    <w:uiPriority w:val="99"/>
    <w:semiHidden/>
    <w:unhideWhenUsed/>
    <w:rsid w:val="009571BC"/>
    <w:rPr>
      <w:b/>
      <w:bCs/>
    </w:rPr>
  </w:style>
  <w:style w:type="character" w:customStyle="1" w:styleId="CommentSubjectChar">
    <w:name w:val="Comment Subject Char"/>
    <w:basedOn w:val="CommentTextChar"/>
    <w:link w:val="CommentSubject"/>
    <w:uiPriority w:val="99"/>
    <w:semiHidden/>
    <w:rsid w:val="009571BC"/>
    <w:rPr>
      <w:rFonts w:ascii="Calibri" w:eastAsia="Calibri" w:hAnsi="Calibri" w:cs="Times New Roman"/>
      <w:b/>
      <w:bCs/>
      <w:kern w:val="0"/>
      <w:sz w:val="20"/>
      <w:szCs w:val="20"/>
    </w:rPr>
  </w:style>
  <w:style w:type="character" w:customStyle="1" w:styleId="Mention1">
    <w:name w:val="Mention1"/>
    <w:basedOn w:val="DefaultParagraphFont"/>
    <w:uiPriority w:val="99"/>
    <w:unhideWhenUsed/>
    <w:rsid w:val="009571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22FBC88FC3A043A2C759EE5CBEA67A" ma:contentTypeVersion="10" ma:contentTypeDescription="Create a new document." ma:contentTypeScope="" ma:versionID="4c50c978d49e27e1249e997f44791808">
  <xsd:schema xmlns:xsd="http://www.w3.org/2001/XMLSchema" xmlns:xs="http://www.w3.org/2001/XMLSchema" xmlns:p="http://schemas.microsoft.com/office/2006/metadata/properties" xmlns:ns3="991f5c13-31a1-4712-be8a-8a228ddd5610" targetNamespace="http://schemas.microsoft.com/office/2006/metadata/properties" ma:root="true" ma:fieldsID="32ff3cc094cff86f28dc09bc3804541e" ns3:_="">
    <xsd:import namespace="991f5c13-31a1-4712-be8a-8a228ddd5610"/>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f5c13-31a1-4712-be8a-8a228ddd561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91f5c13-31a1-4712-be8a-8a228ddd5610" xsi:nil="true"/>
  </documentManagement>
</p:properties>
</file>

<file path=customXml/itemProps1.xml><?xml version="1.0" encoding="utf-8"?>
<ds:datastoreItem xmlns:ds="http://schemas.openxmlformats.org/officeDocument/2006/customXml" ds:itemID="{440CCF40-5F38-4AD2-953C-47FC4C3DE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f5c13-31a1-4712-be8a-8a228ddd56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F990C7-FB98-4334-842A-C3457DBD33C6}">
  <ds:schemaRefs>
    <ds:schemaRef ds:uri="http://schemas.microsoft.com/sharepoint/v3/contenttype/forms"/>
  </ds:schemaRefs>
</ds:datastoreItem>
</file>

<file path=customXml/itemProps3.xml><?xml version="1.0" encoding="utf-8"?>
<ds:datastoreItem xmlns:ds="http://schemas.openxmlformats.org/officeDocument/2006/customXml" ds:itemID="{B2DA52FC-359F-4CFA-8ED8-0507EAAC2B29}">
  <ds:schemaRefs>
    <ds:schemaRef ds:uri="http://schemas.microsoft.com/office/2006/metadata/properties"/>
    <ds:schemaRef ds:uri="http://schemas.microsoft.com/office/infopath/2007/PartnerControls"/>
    <ds:schemaRef ds:uri="991f5c13-31a1-4712-be8a-8a228ddd5610"/>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 id="{cdf1b5e6-f0e2-4770-aa57-dfea3179424b}" enabled="0" method="" siteId="{cdf1b5e6-f0e2-4770-aa57-dfea3179424b}"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REM0021</dc:title>
  <cp:revision>0</cp:revision>
</cp:coreProperties>
</file>